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072" w:rsidRPr="004E11BA" w:rsidRDefault="004160AB" w:rsidP="004E11BA">
      <w:pPr>
        <w:ind w:right="-428"/>
        <w:jc w:val="right"/>
        <w:rPr>
          <w:rFonts w:eastAsia="Times New Roman"/>
          <w:color w:val="42145F"/>
          <w:sz w:val="22"/>
        </w:rPr>
      </w:pPr>
      <w:r w:rsidRPr="004E11BA">
        <w:rPr>
          <w:noProof/>
          <w:color w:val="42145F"/>
          <w:lang w:eastAsia="en-GB"/>
        </w:rPr>
        <w:drawing>
          <wp:inline distT="0" distB="0" distL="0" distR="0">
            <wp:extent cx="1616869" cy="1800225"/>
            <wp:effectExtent l="0" t="0" r="2540" b="0"/>
            <wp:docPr id="2" name="Picture 2" descr="F2A4E6A5-86EA-4413-90D6-619423C4A8DF|3|Oracle.SmartView.EPRCS|{86262e33-96fb-4c42-a709-0e94f1ae6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50211" name=""/>
                    <pic:cNvPicPr/>
                  </pic:nvPicPr>
                  <pic:blipFill>
                    <a:blip r:embed="rId9"/>
                    <a:stretch>
                      <a:fillRect/>
                    </a:stretch>
                  </pic:blipFill>
                  <pic:spPr>
                    <a:xfrm>
                      <a:off x="0" y="0"/>
                      <a:ext cx="1618359" cy="1801884"/>
                    </a:xfrm>
                    <a:prstGeom prst="rect">
                      <a:avLst/>
                    </a:prstGeom>
                  </pic:spPr>
                </pic:pic>
              </a:graphicData>
            </a:graphic>
          </wp:inline>
        </w:drawing>
      </w:r>
    </w:p>
    <w:p w:rsidR="000C0072" w:rsidRPr="004E11BA" w:rsidRDefault="000C0072" w:rsidP="000C0072">
      <w:pPr>
        <w:rPr>
          <w:rFonts w:eastAsia="Times New Roman"/>
          <w:color w:val="42145F"/>
          <w:sz w:val="22"/>
        </w:rPr>
      </w:pPr>
    </w:p>
    <w:p w:rsidR="000C0072" w:rsidRPr="004E11BA" w:rsidRDefault="000C0072" w:rsidP="000C0072">
      <w:pPr>
        <w:rPr>
          <w:rFonts w:eastAsia="Times New Roman"/>
          <w:color w:val="42145F"/>
          <w:sz w:val="22"/>
        </w:rPr>
      </w:pPr>
    </w:p>
    <w:p w:rsidR="000C0072" w:rsidRPr="004E11BA" w:rsidRDefault="000C0072" w:rsidP="000C0072">
      <w:pPr>
        <w:rPr>
          <w:rFonts w:eastAsia="Times New Roman"/>
          <w:color w:val="42145F"/>
          <w:sz w:val="22"/>
        </w:rPr>
      </w:pPr>
    </w:p>
    <w:p w:rsidR="000C0072" w:rsidRPr="004E11BA" w:rsidRDefault="000C0072" w:rsidP="000C0072">
      <w:pPr>
        <w:rPr>
          <w:rFonts w:eastAsia="Times New Roman"/>
          <w:color w:val="42145F"/>
          <w:sz w:val="22"/>
        </w:rPr>
      </w:pPr>
    </w:p>
    <w:p w:rsidR="000C0072" w:rsidRPr="004E11BA" w:rsidRDefault="000C0072" w:rsidP="000C0072">
      <w:pPr>
        <w:rPr>
          <w:rFonts w:eastAsia="Times New Roman"/>
          <w:color w:val="42145F"/>
          <w:sz w:val="22"/>
        </w:rPr>
      </w:pPr>
    </w:p>
    <w:p w:rsidR="000C0072" w:rsidRPr="004E11BA" w:rsidRDefault="000C0072" w:rsidP="000C0072">
      <w:pPr>
        <w:rPr>
          <w:rFonts w:eastAsia="Times New Roman"/>
          <w:color w:val="42145F"/>
          <w:sz w:val="22"/>
        </w:rPr>
      </w:pPr>
    </w:p>
    <w:p w:rsidR="000C0072" w:rsidRPr="004E11BA" w:rsidRDefault="000C0072" w:rsidP="000C0072">
      <w:pPr>
        <w:rPr>
          <w:rFonts w:eastAsia="Times New Roman"/>
          <w:color w:val="42145F"/>
          <w:sz w:val="22"/>
        </w:rPr>
      </w:pPr>
    </w:p>
    <w:p w:rsidR="000C0072" w:rsidRPr="004E11BA" w:rsidRDefault="000C0072" w:rsidP="000C0072">
      <w:pPr>
        <w:rPr>
          <w:rFonts w:eastAsia="Times New Roman"/>
          <w:color w:val="42145F"/>
          <w:sz w:val="22"/>
        </w:rPr>
      </w:pPr>
    </w:p>
    <w:p w:rsidR="000C0072" w:rsidRPr="004E11BA" w:rsidRDefault="000C0072" w:rsidP="000C0072">
      <w:pPr>
        <w:rPr>
          <w:rFonts w:eastAsia="Times New Roman"/>
          <w:color w:val="42145F"/>
          <w:sz w:val="22"/>
        </w:rPr>
      </w:pPr>
    </w:p>
    <w:p w:rsidR="000C0072" w:rsidRPr="004E11BA" w:rsidRDefault="000C0072" w:rsidP="000C0072">
      <w:pPr>
        <w:rPr>
          <w:rFonts w:eastAsia="Times New Roman"/>
          <w:color w:val="42145F"/>
          <w:sz w:val="22"/>
        </w:rPr>
      </w:pPr>
    </w:p>
    <w:p w:rsidR="00A46638" w:rsidRPr="004E11BA" w:rsidRDefault="00A46638" w:rsidP="000C0072">
      <w:pPr>
        <w:rPr>
          <w:rFonts w:eastAsia="Times New Roman"/>
          <w:color w:val="42145F"/>
          <w:sz w:val="22"/>
        </w:rPr>
      </w:pPr>
    </w:p>
    <w:p w:rsidR="000C0072" w:rsidRPr="004E11BA" w:rsidRDefault="000C0072" w:rsidP="000C0072">
      <w:pPr>
        <w:rPr>
          <w:rFonts w:eastAsia="Times New Roman"/>
          <w:color w:val="42145F"/>
          <w:sz w:val="22"/>
        </w:rPr>
      </w:pPr>
    </w:p>
    <w:p w:rsidR="005F4CAB" w:rsidRPr="004E11BA" w:rsidRDefault="004160AB" w:rsidP="005F4CAB">
      <w:pPr>
        <w:pStyle w:val="Normal0"/>
        <w:rPr>
          <w:rFonts w:ascii="Arial" w:hAnsi="Arial" w:cs="Arial"/>
          <w:b/>
          <w:color w:val="42145F"/>
          <w:sz w:val="56"/>
          <w:szCs w:val="56"/>
        </w:rPr>
      </w:pPr>
      <w:r w:rsidRPr="004E11BA">
        <w:rPr>
          <w:rFonts w:ascii="Arial" w:hAnsi="Arial" w:cs="Arial"/>
          <w:b/>
          <w:color w:val="42145F"/>
          <w:sz w:val="56"/>
          <w:szCs w:val="56"/>
        </w:rPr>
        <w:t>Q3 2020</w:t>
      </w:r>
    </w:p>
    <w:p w:rsidR="005F4CAB" w:rsidRPr="004E11BA" w:rsidRDefault="004160AB" w:rsidP="005F4CAB">
      <w:pPr>
        <w:pStyle w:val="Normal0"/>
        <w:rPr>
          <w:rFonts w:ascii="Arial" w:hAnsi="Arial" w:cs="Arial"/>
          <w:b/>
          <w:color w:val="42145F"/>
          <w:sz w:val="36"/>
          <w:szCs w:val="36"/>
        </w:rPr>
      </w:pPr>
      <w:r w:rsidRPr="004E11BA">
        <w:rPr>
          <w:rFonts w:ascii="Arial" w:hAnsi="Arial" w:cs="Arial"/>
          <w:b/>
          <w:color w:val="42145F"/>
          <w:sz w:val="56"/>
          <w:szCs w:val="56"/>
        </w:rPr>
        <w:t>Interim Management Statement</w:t>
      </w:r>
    </w:p>
    <w:p w:rsidR="005F4CAB" w:rsidRPr="004E11BA" w:rsidRDefault="005F4CAB" w:rsidP="000C0072">
      <w:pPr>
        <w:rPr>
          <w:rFonts w:eastAsia="Times New Roman"/>
          <w:color w:val="42145F"/>
          <w:sz w:val="22"/>
        </w:rPr>
      </w:pPr>
    </w:p>
    <w:p w:rsidR="000C0072" w:rsidRPr="004E11BA" w:rsidRDefault="000C0072" w:rsidP="000C0072">
      <w:pPr>
        <w:rPr>
          <w:rFonts w:eastAsia="Times New Roman"/>
          <w:color w:val="42145F"/>
          <w:sz w:val="22"/>
        </w:rPr>
      </w:pPr>
    </w:p>
    <w:p w:rsidR="00A46638" w:rsidRPr="004E11BA" w:rsidRDefault="00A46638" w:rsidP="009E1D0C">
      <w:pPr>
        <w:tabs>
          <w:tab w:val="left" w:pos="5580"/>
        </w:tabs>
        <w:rPr>
          <w:color w:val="42145F"/>
        </w:rPr>
      </w:pPr>
    </w:p>
    <w:p w:rsidR="00A46638" w:rsidRDefault="00A46638" w:rsidP="009E1D0C">
      <w:pPr>
        <w:tabs>
          <w:tab w:val="left" w:pos="5580"/>
        </w:tabs>
        <w:rPr>
          <w:color w:val="42145F"/>
        </w:rPr>
      </w:pPr>
    </w:p>
    <w:p w:rsidR="00A8010D" w:rsidRDefault="00A8010D" w:rsidP="009E1D0C">
      <w:pPr>
        <w:tabs>
          <w:tab w:val="left" w:pos="5580"/>
        </w:tabs>
        <w:rPr>
          <w:color w:val="42145F"/>
        </w:rPr>
      </w:pPr>
    </w:p>
    <w:p w:rsidR="00A8010D" w:rsidRDefault="00A8010D" w:rsidP="009E1D0C">
      <w:pPr>
        <w:tabs>
          <w:tab w:val="left" w:pos="5580"/>
        </w:tabs>
        <w:rPr>
          <w:color w:val="42145F"/>
        </w:rPr>
      </w:pPr>
    </w:p>
    <w:p w:rsidR="00A8010D" w:rsidRPr="004E11BA" w:rsidRDefault="00A8010D" w:rsidP="009E1D0C">
      <w:pPr>
        <w:tabs>
          <w:tab w:val="left" w:pos="5580"/>
        </w:tabs>
        <w:rPr>
          <w:color w:val="42145F"/>
        </w:rPr>
      </w:pPr>
    </w:p>
    <w:p w:rsidR="00A46638" w:rsidRPr="004E11BA" w:rsidRDefault="00A46638" w:rsidP="009E1D0C">
      <w:pPr>
        <w:tabs>
          <w:tab w:val="left" w:pos="5580"/>
        </w:tabs>
        <w:rPr>
          <w:color w:val="42145F"/>
        </w:rPr>
      </w:pPr>
    </w:p>
    <w:p w:rsidR="00A46638" w:rsidRPr="004E11BA" w:rsidRDefault="00A46638" w:rsidP="009E1D0C">
      <w:pPr>
        <w:tabs>
          <w:tab w:val="left" w:pos="5580"/>
        </w:tabs>
        <w:rPr>
          <w:color w:val="42145F"/>
        </w:rPr>
      </w:pPr>
    </w:p>
    <w:p w:rsidR="004E11BA" w:rsidRPr="004E11BA" w:rsidRDefault="004E11BA" w:rsidP="004E11BA">
      <w:pPr>
        <w:pStyle w:val="Normal00"/>
        <w:ind w:left="4320" w:firstLine="720"/>
        <w:jc w:val="center"/>
        <w:outlineLvl w:val="0"/>
        <w:rPr>
          <w:rFonts w:ascii="Arial" w:eastAsia="SimSun" w:hAnsi="Arial" w:cs="Arial"/>
          <w:b/>
          <w:color w:val="42145F"/>
        </w:rPr>
      </w:pPr>
    </w:p>
    <w:p w:rsidR="004E11BA" w:rsidRPr="004E11BA" w:rsidRDefault="004E11BA" w:rsidP="004E11BA">
      <w:pPr>
        <w:pStyle w:val="Normal00"/>
        <w:ind w:left="4320" w:firstLine="720"/>
        <w:jc w:val="center"/>
        <w:outlineLvl w:val="0"/>
        <w:rPr>
          <w:rFonts w:ascii="Arial" w:eastAsia="SimSun" w:hAnsi="Arial" w:cs="Arial"/>
          <w:b/>
          <w:color w:val="42145F"/>
        </w:rPr>
      </w:pPr>
    </w:p>
    <w:p w:rsidR="004E11BA" w:rsidRPr="004E11BA" w:rsidRDefault="004E11BA" w:rsidP="004E11BA">
      <w:pPr>
        <w:pStyle w:val="Normal00"/>
        <w:ind w:left="4320" w:firstLine="720"/>
        <w:jc w:val="center"/>
        <w:outlineLvl w:val="0"/>
        <w:rPr>
          <w:rFonts w:ascii="Arial" w:eastAsia="SimSun" w:hAnsi="Arial" w:cs="Arial"/>
          <w:b/>
          <w:color w:val="42145F"/>
        </w:rPr>
      </w:pPr>
    </w:p>
    <w:p w:rsidR="004E11BA" w:rsidRPr="004E11BA" w:rsidRDefault="004E11BA" w:rsidP="004E11BA">
      <w:pPr>
        <w:pStyle w:val="Normal00"/>
        <w:ind w:left="4320" w:firstLine="720"/>
        <w:jc w:val="center"/>
        <w:outlineLvl w:val="0"/>
        <w:rPr>
          <w:rFonts w:ascii="Arial" w:eastAsia="SimSun" w:hAnsi="Arial" w:cs="Arial"/>
          <w:b/>
          <w:color w:val="42145F"/>
        </w:rPr>
      </w:pPr>
    </w:p>
    <w:p w:rsidR="004E11BA" w:rsidRPr="004E11BA" w:rsidRDefault="004E11BA" w:rsidP="004E11BA">
      <w:pPr>
        <w:pStyle w:val="Normal00"/>
        <w:ind w:left="4320" w:firstLine="720"/>
        <w:jc w:val="center"/>
        <w:outlineLvl w:val="0"/>
        <w:rPr>
          <w:rFonts w:ascii="Arial" w:eastAsia="SimSun" w:hAnsi="Arial" w:cs="Arial"/>
          <w:b/>
          <w:color w:val="42145F"/>
        </w:rPr>
      </w:pPr>
    </w:p>
    <w:p w:rsidR="004E11BA" w:rsidRPr="004E11BA" w:rsidRDefault="004E11BA" w:rsidP="004E11BA">
      <w:pPr>
        <w:pStyle w:val="Normal00"/>
        <w:ind w:left="4320" w:firstLine="720"/>
        <w:jc w:val="center"/>
        <w:outlineLvl w:val="0"/>
        <w:rPr>
          <w:rFonts w:ascii="Arial" w:eastAsia="SimSun" w:hAnsi="Arial" w:cs="Arial"/>
          <w:b/>
          <w:color w:val="42145F"/>
        </w:rPr>
      </w:pPr>
    </w:p>
    <w:p w:rsidR="004E11BA" w:rsidRPr="004E11BA" w:rsidRDefault="004E11BA" w:rsidP="004E11BA">
      <w:pPr>
        <w:pStyle w:val="Normal00"/>
        <w:ind w:left="4320" w:firstLine="720"/>
        <w:jc w:val="center"/>
        <w:outlineLvl w:val="0"/>
        <w:rPr>
          <w:rFonts w:ascii="Arial" w:eastAsia="SimSun" w:hAnsi="Arial" w:cs="Arial"/>
          <w:b/>
          <w:color w:val="42145F"/>
        </w:rPr>
      </w:pPr>
    </w:p>
    <w:p w:rsidR="004E11BA" w:rsidRPr="004E11BA" w:rsidRDefault="004E11BA" w:rsidP="004E11BA">
      <w:pPr>
        <w:pStyle w:val="Normal00"/>
        <w:ind w:left="4320" w:firstLine="720"/>
        <w:jc w:val="center"/>
        <w:outlineLvl w:val="0"/>
        <w:rPr>
          <w:rFonts w:ascii="Arial" w:eastAsia="SimSun" w:hAnsi="Arial" w:cs="Arial"/>
          <w:b/>
          <w:color w:val="42145F"/>
        </w:rPr>
      </w:pPr>
    </w:p>
    <w:p w:rsidR="004E11BA" w:rsidRPr="004E11BA" w:rsidRDefault="004E11BA" w:rsidP="004E11BA">
      <w:pPr>
        <w:pStyle w:val="Normal00"/>
        <w:ind w:left="4320" w:firstLine="720"/>
        <w:jc w:val="center"/>
        <w:outlineLvl w:val="0"/>
        <w:rPr>
          <w:rFonts w:ascii="Arial" w:eastAsia="SimSun" w:hAnsi="Arial" w:cs="Arial"/>
          <w:b/>
          <w:color w:val="42145F"/>
        </w:rPr>
      </w:pPr>
    </w:p>
    <w:p w:rsidR="004E11BA" w:rsidRPr="004E11BA" w:rsidRDefault="004160AB" w:rsidP="004E11BA">
      <w:pPr>
        <w:pStyle w:val="Normal00"/>
        <w:ind w:left="4320" w:firstLine="720"/>
        <w:jc w:val="center"/>
        <w:outlineLvl w:val="0"/>
        <w:rPr>
          <w:rFonts w:ascii="Arial" w:eastAsia="SimSun" w:hAnsi="Arial" w:cs="Arial"/>
          <w:b/>
          <w:color w:val="42145F"/>
        </w:rPr>
      </w:pPr>
      <w:r w:rsidRPr="004E11BA">
        <w:rPr>
          <w:rFonts w:ascii="Arial" w:eastAsia="SimSun" w:hAnsi="Arial" w:cs="Arial"/>
          <w:b/>
          <w:color w:val="42145F"/>
        </w:rPr>
        <w:t xml:space="preserve">                          www.natwestgroup.com</w:t>
      </w:r>
    </w:p>
    <w:p w:rsidR="00A46638" w:rsidRPr="004E11BA" w:rsidRDefault="00A46638" w:rsidP="009E1D0C">
      <w:pPr>
        <w:tabs>
          <w:tab w:val="left" w:pos="5580"/>
        </w:tabs>
        <w:rPr>
          <w:color w:val="42145F"/>
        </w:rPr>
      </w:pPr>
    </w:p>
    <w:p w:rsidR="00A46638" w:rsidRPr="004E11BA" w:rsidRDefault="00A46638" w:rsidP="009E1D0C">
      <w:pPr>
        <w:tabs>
          <w:tab w:val="left" w:pos="5580"/>
        </w:tabs>
        <w:rPr>
          <w:color w:val="42145F"/>
        </w:rPr>
      </w:pPr>
    </w:p>
    <w:p w:rsidR="00A46638" w:rsidRPr="004E11BA" w:rsidRDefault="00A46638" w:rsidP="009E1D0C">
      <w:pPr>
        <w:tabs>
          <w:tab w:val="left" w:pos="5580"/>
        </w:tabs>
        <w:rPr>
          <w:color w:val="42145F"/>
        </w:rPr>
      </w:pPr>
    </w:p>
    <w:p w:rsidR="00A46638" w:rsidRPr="004E11BA" w:rsidRDefault="00A46638" w:rsidP="009E1D0C">
      <w:pPr>
        <w:tabs>
          <w:tab w:val="left" w:pos="5580"/>
        </w:tabs>
        <w:rPr>
          <w:color w:val="42145F"/>
        </w:rPr>
      </w:pPr>
    </w:p>
    <w:p w:rsidR="00E106BC" w:rsidRPr="004E11BA" w:rsidRDefault="004160AB" w:rsidP="00A46638">
      <w:pPr>
        <w:spacing w:after="200"/>
        <w:rPr>
          <w:color w:val="42145F"/>
        </w:rPr>
      </w:pPr>
      <w:r w:rsidRPr="004E11BA">
        <w:rPr>
          <w:color w:val="42145F"/>
        </w:rPr>
        <w:br w:type="page"/>
      </w:r>
    </w:p>
    <w:p w:rsidR="00E106BC" w:rsidRPr="004E11BA" w:rsidRDefault="00E106BC" w:rsidP="009E1D0C">
      <w:pPr>
        <w:tabs>
          <w:tab w:val="left" w:pos="5580"/>
        </w:tabs>
        <w:rPr>
          <w:color w:val="42145F"/>
        </w:rPr>
        <w:sectPr w:rsidR="00E106BC" w:rsidRPr="004E11BA" w:rsidSect="002D6242">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680" w:left="851" w:header="708" w:footer="708" w:gutter="0"/>
          <w:cols w:space="708"/>
          <w:docGrid w:linePitch="360"/>
        </w:sectPr>
      </w:pPr>
    </w:p>
    <w:p w:rsidR="00AF3FF7" w:rsidRPr="00590B44" w:rsidRDefault="004160AB" w:rsidP="00AF3FF7">
      <w:pPr>
        <w:pStyle w:val="Normal200"/>
        <w:spacing w:line="288" w:lineRule="auto"/>
        <w:ind w:right="119"/>
        <w:jc w:val="both"/>
        <w:rPr>
          <w:rFonts w:eastAsia="Calibri"/>
          <w:b/>
          <w:color w:val="42145F"/>
          <w:sz w:val="18"/>
          <w:szCs w:val="18"/>
          <w:lang w:eastAsia="ja-JP"/>
        </w:rPr>
      </w:pPr>
      <w:r w:rsidRPr="00590B44">
        <w:rPr>
          <w:rFonts w:eastAsia="Calibri"/>
          <w:b/>
          <w:color w:val="42145F"/>
          <w:sz w:val="18"/>
          <w:szCs w:val="18"/>
          <w:lang w:eastAsia="ja-JP"/>
        </w:rPr>
        <w:lastRenderedPageBreak/>
        <w:t>NatWest Group plc</w:t>
      </w:r>
    </w:p>
    <w:p w:rsidR="00AF3FF7" w:rsidRPr="00590B44" w:rsidRDefault="004160AB" w:rsidP="00AF3FF7">
      <w:pPr>
        <w:pStyle w:val="Normal200"/>
        <w:spacing w:line="276" w:lineRule="auto"/>
        <w:jc w:val="both"/>
        <w:rPr>
          <w:rFonts w:eastAsia="Calibri"/>
          <w:b/>
          <w:color w:val="42145F"/>
          <w:sz w:val="18"/>
          <w:szCs w:val="18"/>
          <w:lang w:eastAsia="ja-JP"/>
        </w:rPr>
      </w:pPr>
      <w:r w:rsidRPr="00590B44">
        <w:rPr>
          <w:rFonts w:eastAsia="Calibri"/>
          <w:b/>
          <w:color w:val="42145F"/>
          <w:sz w:val="18"/>
          <w:szCs w:val="18"/>
          <w:lang w:eastAsia="ja-JP"/>
        </w:rPr>
        <w:t xml:space="preserve">Q3 2020 Interim Management Statement </w:t>
      </w:r>
    </w:p>
    <w:p w:rsidR="00AF3FF7" w:rsidRPr="00590B44" w:rsidRDefault="00AF3FF7" w:rsidP="00AF3FF7">
      <w:pPr>
        <w:pStyle w:val="Normal200"/>
        <w:spacing w:line="276" w:lineRule="auto"/>
        <w:jc w:val="both"/>
        <w:rPr>
          <w:rFonts w:eastAsia="Calibri"/>
          <w:b/>
          <w:color w:val="42145F"/>
          <w:sz w:val="18"/>
          <w:szCs w:val="18"/>
          <w:lang w:eastAsia="ja-JP"/>
        </w:rPr>
      </w:pPr>
    </w:p>
    <w:p w:rsidR="00AF3FF7" w:rsidRDefault="004160AB" w:rsidP="00AF3FF7">
      <w:pPr>
        <w:rPr>
          <w:rFonts w:eastAsia="Calibri" w:cs="Arial"/>
          <w:b/>
          <w:color w:val="42145F"/>
          <w:szCs w:val="18"/>
          <w:lang w:eastAsia="ja-JP"/>
        </w:rPr>
      </w:pPr>
      <w:r w:rsidRPr="00590B44">
        <w:rPr>
          <w:rFonts w:eastAsia="Calibri" w:cs="Arial"/>
          <w:b/>
          <w:color w:val="5E10B1"/>
          <w:szCs w:val="18"/>
          <w:lang w:eastAsia="ja-JP"/>
        </w:rPr>
        <w:t xml:space="preserve">Alison Rose, Chief Executive Officer, commented: </w:t>
      </w:r>
    </w:p>
    <w:p w:rsidR="00646D59" w:rsidRPr="00646D59" w:rsidRDefault="00646D59" w:rsidP="00AF3FF7">
      <w:pPr>
        <w:rPr>
          <w:rFonts w:eastAsia="Calibri" w:cs="Arial"/>
          <w:b/>
          <w:color w:val="42145F"/>
          <w:szCs w:val="18"/>
          <w:lang w:eastAsia="ja-JP"/>
        </w:rPr>
      </w:pPr>
    </w:p>
    <w:p w:rsidR="005542A8" w:rsidRPr="0016087F" w:rsidRDefault="004160AB" w:rsidP="005542A8">
      <w:pPr>
        <w:pStyle w:val="Heading2"/>
        <w:jc w:val="both"/>
        <w:rPr>
          <w:rFonts w:eastAsia="Arial" w:cs="Arial"/>
          <w:bCs w:val="0"/>
          <w:color w:val="auto"/>
          <w:szCs w:val="18"/>
        </w:rPr>
      </w:pPr>
      <w:r w:rsidRPr="0016087F">
        <w:rPr>
          <w:rFonts w:eastAsia="Arial" w:cs="Arial"/>
          <w:bCs w:val="0"/>
          <w:color w:val="auto"/>
          <w:szCs w:val="18"/>
        </w:rPr>
        <w:t xml:space="preserve">“These results demonstrate the resilience of our underlying business and the strength of our balance sheet in the face of significant continued uncertainty. Our sector-leading capital position, strong levels of liquidity and intelligent and consistent approach to risk mean we can continue to provide our customers and communities with the support they need. </w:t>
      </w:r>
    </w:p>
    <w:p w:rsidR="005542A8" w:rsidRPr="0016087F" w:rsidRDefault="004160AB" w:rsidP="005542A8">
      <w:pPr>
        <w:pStyle w:val="Heading2"/>
        <w:jc w:val="both"/>
        <w:rPr>
          <w:rFonts w:eastAsia="Arial" w:cs="Arial"/>
          <w:bCs w:val="0"/>
          <w:color w:val="auto"/>
          <w:szCs w:val="18"/>
        </w:rPr>
      </w:pPr>
      <w:r w:rsidRPr="0016087F">
        <w:rPr>
          <w:rFonts w:eastAsia="Arial" w:cs="Arial"/>
          <w:bCs w:val="0"/>
          <w:color w:val="auto"/>
          <w:szCs w:val="18"/>
        </w:rPr>
        <w:t> </w:t>
      </w:r>
    </w:p>
    <w:p w:rsidR="005542A8" w:rsidRPr="0016087F" w:rsidRDefault="004160AB" w:rsidP="005542A8">
      <w:pPr>
        <w:pStyle w:val="Heading2"/>
        <w:jc w:val="both"/>
        <w:rPr>
          <w:rFonts w:eastAsia="Arial" w:cs="Arial"/>
          <w:bCs w:val="0"/>
          <w:color w:val="auto"/>
          <w:szCs w:val="18"/>
        </w:rPr>
      </w:pPr>
      <w:r w:rsidRPr="0016087F">
        <w:rPr>
          <w:rFonts w:eastAsia="Arial" w:cs="Arial"/>
          <w:bCs w:val="0"/>
          <w:color w:val="auto"/>
          <w:szCs w:val="18"/>
        </w:rPr>
        <w:t>Although impairments were relatively low in the quarter and we have seen some positive trends across our customer base, the full impact of Covid-19 remains very unclear. Challenging times lie ahead, especially as the current government support schemes come to an end and as new Covid-19 related restrictions are introduced.</w:t>
      </w:r>
    </w:p>
    <w:p w:rsidR="005542A8" w:rsidRPr="0016087F" w:rsidRDefault="004160AB" w:rsidP="005542A8">
      <w:pPr>
        <w:rPr>
          <w:rFonts w:eastAsia="Arial" w:cs="Arial"/>
          <w:szCs w:val="18"/>
        </w:rPr>
      </w:pPr>
      <w:r w:rsidRPr="0016087F">
        <w:rPr>
          <w:rFonts w:eastAsia="Arial" w:cs="Arial"/>
          <w:szCs w:val="18"/>
        </w:rPr>
        <w:t> </w:t>
      </w:r>
    </w:p>
    <w:p w:rsidR="005542A8" w:rsidRPr="0016087F" w:rsidRDefault="004160AB" w:rsidP="005542A8">
      <w:pPr>
        <w:pStyle w:val="Heading2"/>
        <w:jc w:val="both"/>
        <w:rPr>
          <w:rFonts w:eastAsia="Arial" w:cs="Arial"/>
          <w:bCs w:val="0"/>
          <w:color w:val="auto"/>
          <w:szCs w:val="18"/>
        </w:rPr>
      </w:pPr>
      <w:r w:rsidRPr="0016087F">
        <w:rPr>
          <w:rFonts w:eastAsia="Arial" w:cs="Arial"/>
          <w:bCs w:val="0"/>
          <w:color w:val="auto"/>
          <w:szCs w:val="18"/>
        </w:rPr>
        <w:t>We continue to deliver well against our strategy, building a bank that champions potential and has the capability to grow. By building deeper relationships with our customers at every stage of their lives, simplifying the bank further, investing in innovation and partnerships and allocating capital well, we will deliver sustainable returns to our shareholders.”</w:t>
      </w:r>
    </w:p>
    <w:p w:rsidR="002B1125" w:rsidRPr="00590B44" w:rsidRDefault="002B1125" w:rsidP="00AF3FF7">
      <w:pPr>
        <w:rPr>
          <w:rFonts w:cs="Arial"/>
          <w:color w:val="5E10B1"/>
          <w:szCs w:val="18"/>
          <w:lang w:val="en-US"/>
        </w:rPr>
      </w:pPr>
    </w:p>
    <w:p w:rsidR="00AF3FF7" w:rsidRPr="00590B44" w:rsidRDefault="004160AB" w:rsidP="00AF3FF7">
      <w:pPr>
        <w:rPr>
          <w:rFonts w:eastAsia="Calibri" w:cs="Arial"/>
          <w:b/>
          <w:color w:val="5E10B1"/>
          <w:szCs w:val="18"/>
          <w:lang w:eastAsia="ja-JP"/>
        </w:rPr>
      </w:pPr>
      <w:r w:rsidRPr="00590B44">
        <w:rPr>
          <w:rFonts w:eastAsia="Calibri" w:cs="Arial"/>
          <w:b/>
          <w:color w:val="5E10B1"/>
          <w:szCs w:val="18"/>
          <w:lang w:eastAsia="ja-JP"/>
        </w:rPr>
        <w:t>Financial performance in a challenging environment</w:t>
      </w:r>
    </w:p>
    <w:tbl>
      <w:tblPr>
        <w:tblW w:w="10206" w:type="dxa"/>
        <w:tblCellMar>
          <w:left w:w="0" w:type="dxa"/>
          <w:right w:w="0" w:type="dxa"/>
        </w:tblCellMar>
        <w:tblLook w:val="01E0" w:firstRow="1" w:lastRow="1" w:firstColumn="1" w:lastColumn="1" w:noHBand="0" w:noVBand="0"/>
      </w:tblPr>
      <w:tblGrid>
        <w:gridCol w:w="381"/>
        <w:gridCol w:w="9825"/>
      </w:tblGrid>
      <w:tr w:rsidR="00130A6D" w:rsidTr="002B1125">
        <w:trPr>
          <w:trHeight w:val="183"/>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590B44" w:rsidRDefault="004160AB" w:rsidP="005542A8">
            <w:pPr>
              <w:spacing w:before="6"/>
              <w:rPr>
                <w:rFonts w:eastAsia="Arial" w:cs="Arial"/>
                <w:spacing w:val="-1"/>
                <w:szCs w:val="18"/>
              </w:rPr>
            </w:pPr>
            <w:r>
              <w:rPr>
                <w:rFonts w:eastAsia="Arial" w:cs="Arial"/>
                <w:spacing w:val="-1"/>
                <w:szCs w:val="18"/>
              </w:rPr>
              <w:t xml:space="preserve">Q3 2020 operating profit before tax of £355 million and an attributable profit to ordinary shareholders of £61 million including a £324 million </w:t>
            </w:r>
            <w:r>
              <w:rPr>
                <w:rFonts w:eastAsia="SimSun" w:cs="Arial"/>
                <w:noProof/>
                <w:szCs w:val="18"/>
              </w:rPr>
              <w:t xml:space="preserve">loss on redemption of own debt. </w:t>
            </w:r>
          </w:p>
        </w:tc>
      </w:tr>
      <w:tr w:rsidR="00130A6D" w:rsidTr="00DD5D95">
        <w:trPr>
          <w:trHeight w:val="219"/>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590B44" w:rsidRDefault="004160AB" w:rsidP="005542A8">
            <w:pPr>
              <w:spacing w:before="7"/>
              <w:rPr>
                <w:rFonts w:eastAsia="Arial" w:cs="Arial"/>
                <w:color w:val="FF0000"/>
                <w:szCs w:val="18"/>
              </w:rPr>
            </w:pPr>
            <w:r>
              <w:rPr>
                <w:rFonts w:eastAsia="Arial" w:cs="Arial"/>
                <w:szCs w:val="18"/>
              </w:rPr>
              <w:t xml:space="preserve">In comparison to Q3 2019, across the retail and commercial businesses income decreased by 12.1%. Within NatWest Markets (NWM), </w:t>
            </w:r>
            <w:r>
              <w:rPr>
                <w:rFonts w:cs="Arial"/>
                <w:szCs w:val="18"/>
              </w:rPr>
              <w:t>the level of primary issuance and market activity eased in Q3 2020, compared to the first half of the year.</w:t>
            </w:r>
          </w:p>
        </w:tc>
      </w:tr>
      <w:tr w:rsidR="00130A6D" w:rsidTr="00DD5D95">
        <w:trPr>
          <w:trHeight w:val="219"/>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590B44" w:rsidRDefault="004160AB" w:rsidP="005542A8">
            <w:pPr>
              <w:spacing w:before="6"/>
              <w:rPr>
                <w:rFonts w:eastAsia="Arial" w:cs="Arial"/>
                <w:color w:val="FF0000"/>
                <w:szCs w:val="18"/>
              </w:rPr>
            </w:pPr>
            <w:r w:rsidRPr="00046673">
              <w:rPr>
                <w:rFonts w:eastAsia="Arial" w:cs="Arial"/>
                <w:szCs w:val="18"/>
              </w:rPr>
              <w:t>Bank net interest margin (NIM) of 1.65% was 2 basis points lower than Q2 2020 principally reflecting reduced structural hedge income as a result of lower swap rates and the contraction of the yield curve. Mortgage front</w:t>
            </w:r>
            <w:r w:rsidRPr="00046673">
              <w:rPr>
                <w:rFonts w:eastAsia="Times New Roman" w:cs="Arial"/>
                <w:szCs w:val="18"/>
                <w:lang w:val="en-US" w:eastAsia="ja-JP" w:bidi="he-IL"/>
              </w:rPr>
              <w:t xml:space="preserve"> book new business and switcher completion margins were approximately 140 basis points, broadly in line with the overall book margin.</w:t>
            </w:r>
          </w:p>
        </w:tc>
      </w:tr>
      <w:tr w:rsidR="00130A6D" w:rsidTr="00513DFA">
        <w:trPr>
          <w:trHeight w:val="398"/>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F520E2" w:rsidRDefault="004160AB" w:rsidP="005542A8">
            <w:pPr>
              <w:autoSpaceDE w:val="0"/>
              <w:autoSpaceDN w:val="0"/>
              <w:adjustRightInd w:val="0"/>
              <w:rPr>
                <w:rFonts w:cs="Arial"/>
                <w:szCs w:val="18"/>
              </w:rPr>
            </w:pPr>
            <w:r>
              <w:rPr>
                <w:rFonts w:eastAsia="Arial" w:cs="Arial"/>
                <w:szCs w:val="18"/>
              </w:rPr>
              <w:t>Strategic costs of £223 million in Q3 2020 include £90 million redundancy costs, a £34 million charge related to technology spend and a £21 million property charge.</w:t>
            </w:r>
          </w:p>
        </w:tc>
      </w:tr>
      <w:tr w:rsidR="00130A6D" w:rsidTr="00DD5D95">
        <w:trPr>
          <w:trHeight w:val="219"/>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F520E2" w:rsidRDefault="004160AB" w:rsidP="005542A8">
            <w:pPr>
              <w:autoSpaceDE w:val="0"/>
              <w:autoSpaceDN w:val="0"/>
              <w:adjustRightInd w:val="0"/>
              <w:rPr>
                <w:rFonts w:eastAsia="Arial" w:cs="Arial"/>
                <w:szCs w:val="18"/>
              </w:rPr>
            </w:pPr>
            <w:r w:rsidRPr="00702B95">
              <w:rPr>
                <w:rFonts w:eastAsia="Arial" w:cs="Arial"/>
                <w:szCs w:val="18"/>
              </w:rPr>
              <w:t>Other expenses, excluding operating lease depreciation (OLD), were £152 million lower than Q3 2019,</w:t>
            </w:r>
            <w:r w:rsidRPr="00702B95">
              <w:rPr>
                <w:rFonts w:cs="Arial"/>
                <w:szCs w:val="18"/>
              </w:rPr>
              <w:t xml:space="preserve"> </w:t>
            </w:r>
            <w:r w:rsidRPr="00702B95">
              <w:rPr>
                <w:rFonts w:eastAsia="Arial" w:cs="Arial"/>
                <w:szCs w:val="18"/>
              </w:rPr>
              <w:t>with a £193 million cost reduction achieved for the year to date. We remain on track to achieve our £250 million target for full year 2020.</w:t>
            </w:r>
          </w:p>
        </w:tc>
      </w:tr>
      <w:tr w:rsidR="00130A6D" w:rsidTr="00DD5D95">
        <w:trPr>
          <w:trHeight w:val="219"/>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F520E2" w:rsidRDefault="004160AB" w:rsidP="005542A8">
            <w:pPr>
              <w:spacing w:before="7"/>
              <w:rPr>
                <w:rFonts w:eastAsia="Arial" w:cs="Arial"/>
                <w:spacing w:val="-1"/>
                <w:szCs w:val="18"/>
              </w:rPr>
            </w:pPr>
            <w:r w:rsidRPr="00702B95">
              <w:rPr>
                <w:rFonts w:eastAsia="Arial" w:cs="Arial"/>
                <w:spacing w:val="-1"/>
                <w:szCs w:val="18"/>
              </w:rPr>
              <w:t>Net impairment losses of £254 million in Q3 2020, or 28 basis points of gross customer loans, resulted in an expected credit loss (ECL) coverage ratio of 1.72%.</w:t>
            </w:r>
          </w:p>
        </w:tc>
      </w:tr>
      <w:tr w:rsidR="00130A6D" w:rsidTr="00B3223C">
        <w:trPr>
          <w:trHeight w:hRule="exact" w:val="479"/>
        </w:trPr>
        <w:tc>
          <w:tcPr>
            <w:tcW w:w="10206" w:type="dxa"/>
            <w:gridSpan w:val="2"/>
          </w:tcPr>
          <w:p w:rsidR="00AF3FF7" w:rsidRPr="00590B44" w:rsidRDefault="00AF3FF7" w:rsidP="00DD5D95">
            <w:pPr>
              <w:rPr>
                <w:rFonts w:eastAsia="Calibri" w:cs="Arial"/>
                <w:b/>
                <w:color w:val="42145F"/>
                <w:szCs w:val="18"/>
                <w:lang w:eastAsia="en-GB"/>
              </w:rPr>
            </w:pPr>
          </w:p>
          <w:p w:rsidR="00AF3FF7" w:rsidRPr="00590B44" w:rsidRDefault="004160AB" w:rsidP="00DD5D95">
            <w:pPr>
              <w:rPr>
                <w:rFonts w:eastAsia="Calibri" w:cs="Arial"/>
                <w:b/>
                <w:color w:val="5E10B1"/>
                <w:szCs w:val="18"/>
                <w:lang w:eastAsia="ja-JP"/>
              </w:rPr>
            </w:pPr>
            <w:r w:rsidRPr="00590B44">
              <w:rPr>
                <w:rFonts w:eastAsia="Calibri" w:cs="Arial"/>
                <w:b/>
                <w:color w:val="5E10B1"/>
                <w:szCs w:val="18"/>
                <w:lang w:eastAsia="ja-JP"/>
              </w:rPr>
              <w:t>Robust balance sheet with strong capital and liquidity levels</w:t>
            </w:r>
          </w:p>
          <w:p w:rsidR="00AF3FF7" w:rsidRPr="00590B44" w:rsidRDefault="00AF3FF7" w:rsidP="00DD5D95">
            <w:pPr>
              <w:rPr>
                <w:rFonts w:eastAsia="Calibri" w:cs="Arial"/>
                <w:szCs w:val="18"/>
                <w:lang w:val="en-US" w:bidi="he-IL"/>
              </w:rPr>
            </w:pPr>
          </w:p>
        </w:tc>
      </w:tr>
      <w:tr w:rsidR="00130A6D" w:rsidTr="00DD5D95">
        <w:trPr>
          <w:trHeight w:val="219"/>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590B44" w:rsidRDefault="004160AB" w:rsidP="005542A8">
            <w:pPr>
              <w:spacing w:before="7"/>
              <w:rPr>
                <w:rFonts w:eastAsia="Arial" w:cs="Arial"/>
                <w:spacing w:val="-1"/>
                <w:szCs w:val="18"/>
              </w:rPr>
            </w:pPr>
            <w:r>
              <w:rPr>
                <w:rFonts w:eastAsia="Arial" w:cs="Arial"/>
                <w:spacing w:val="-1"/>
                <w:szCs w:val="18"/>
              </w:rPr>
              <w:t xml:space="preserve">CET1 ratio of 18.2% was 100 basis points higher than Q2 2020 mainly reflecting a £7.6 billion reduction in RWAs, principally in NatWest Markets. Excluding IFRS 9 transitional relief, the CET1 ratio was 17.2%. </w:t>
            </w:r>
          </w:p>
        </w:tc>
      </w:tr>
      <w:tr w:rsidR="00130A6D" w:rsidTr="00DD5D95">
        <w:trPr>
          <w:trHeight w:val="219"/>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590B44" w:rsidRDefault="004160AB" w:rsidP="005542A8">
            <w:pPr>
              <w:spacing w:before="7"/>
              <w:rPr>
                <w:rFonts w:eastAsia="Arial" w:cs="Arial"/>
                <w:spacing w:val="-1"/>
                <w:szCs w:val="18"/>
              </w:rPr>
            </w:pPr>
            <w:r w:rsidRPr="00756EB5">
              <w:rPr>
                <w:rFonts w:eastAsia="Arial" w:cs="Arial"/>
                <w:spacing w:val="-1"/>
                <w:szCs w:val="18"/>
              </w:rPr>
              <w:t xml:space="preserve">The liquidity coverage ratio (LCR) remains strong at 157%, representing </w:t>
            </w:r>
            <w:r>
              <w:rPr>
                <w:rFonts w:cs="Arial"/>
                <w:szCs w:val="18"/>
              </w:rPr>
              <w:t>£61.8 billion headroom above 100%,</w:t>
            </w:r>
            <w:r>
              <w:rPr>
                <w:rFonts w:cs="Arial"/>
                <w:i/>
                <w:color w:val="FF0000"/>
                <w:szCs w:val="18"/>
              </w:rPr>
              <w:t xml:space="preserve"> </w:t>
            </w:r>
            <w:r w:rsidRPr="004A75F6">
              <w:rPr>
                <w:rFonts w:cs="Arial"/>
                <w:szCs w:val="18"/>
              </w:rPr>
              <w:t>which includes the impact of a £5.0 billion term funding scheme (TFS) repayment within the quarter.</w:t>
            </w:r>
          </w:p>
        </w:tc>
      </w:tr>
      <w:tr w:rsidR="00130A6D" w:rsidTr="00DD5D95">
        <w:trPr>
          <w:trHeight w:val="219"/>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590B44" w:rsidRDefault="004160AB" w:rsidP="005542A8">
            <w:pPr>
              <w:spacing w:before="7"/>
              <w:rPr>
                <w:rFonts w:eastAsia="Arial" w:cs="Arial"/>
                <w:spacing w:val="-1"/>
                <w:szCs w:val="18"/>
              </w:rPr>
            </w:pPr>
            <w:r w:rsidRPr="00673F73">
              <w:rPr>
                <w:rFonts w:eastAsia="Arial" w:cs="Arial"/>
                <w:spacing w:val="-1"/>
                <w:szCs w:val="18"/>
              </w:rPr>
              <w:t xml:space="preserve">Across the retail and commercial businesses net lending increased by £0.4 billion during Q3 2020, as £2.9 billion drawdowns against UK Government lending initiatives and £2.4 billion related to mortgages was partially offset by net revolving credit facility (RCF) repayments of £3.1 billion and </w:t>
            </w:r>
            <w:bookmarkStart w:id="0" w:name="_Hlk54076408"/>
            <w:r>
              <w:rPr>
                <w:rFonts w:eastAsia="Arial" w:cs="Arial"/>
                <w:spacing w:val="-1"/>
                <w:szCs w:val="18"/>
              </w:rPr>
              <w:t xml:space="preserve">lower lending across Large Corporate &amp; Institutions and Specialised business. </w:t>
            </w:r>
            <w:bookmarkEnd w:id="0"/>
          </w:p>
        </w:tc>
      </w:tr>
      <w:tr w:rsidR="00130A6D" w:rsidTr="00DD5D95">
        <w:trPr>
          <w:trHeight w:val="219"/>
        </w:trPr>
        <w:tc>
          <w:tcPr>
            <w:tcW w:w="381" w:type="dxa"/>
          </w:tcPr>
          <w:p w:rsidR="005542A8" w:rsidRPr="00590B44" w:rsidRDefault="004160AB" w:rsidP="005542A8">
            <w:pPr>
              <w:pStyle w:val="Normal200"/>
              <w:spacing w:line="276" w:lineRule="auto"/>
              <w:ind w:right="98"/>
              <w:rPr>
                <w:rFonts w:eastAsia="SimSun"/>
                <w:sz w:val="18"/>
                <w:szCs w:val="18"/>
                <w:lang w:eastAsia="ja-JP"/>
              </w:rPr>
            </w:pPr>
            <w:r w:rsidRPr="00590B44">
              <w:rPr>
                <w:rFonts w:eastAsia="SimSun"/>
                <w:sz w:val="18"/>
                <w:szCs w:val="18"/>
                <w:lang w:eastAsia="ja-JP"/>
              </w:rPr>
              <w:t>●</w:t>
            </w:r>
          </w:p>
        </w:tc>
        <w:tc>
          <w:tcPr>
            <w:tcW w:w="9825" w:type="dxa"/>
          </w:tcPr>
          <w:p w:rsidR="005542A8" w:rsidRPr="00590B44" w:rsidRDefault="004160AB" w:rsidP="005542A8">
            <w:pPr>
              <w:spacing w:before="7"/>
              <w:rPr>
                <w:rFonts w:eastAsia="Arial" w:cs="Arial"/>
                <w:spacing w:val="-1"/>
                <w:szCs w:val="18"/>
              </w:rPr>
            </w:pPr>
            <w:bookmarkStart w:id="1" w:name="_Hlk53041087"/>
            <w:r>
              <w:rPr>
                <w:rFonts w:eastAsia="Arial" w:cs="Arial"/>
                <w:spacing w:val="-1"/>
                <w:szCs w:val="18"/>
              </w:rPr>
              <w:t xml:space="preserve">Customer deposits of £418.4 billion increased by £10.1 billion during Q3 2020, </w:t>
            </w:r>
            <w:bookmarkEnd w:id="1"/>
            <w:r>
              <w:rPr>
                <w:rFonts w:eastAsia="Arial" w:cs="Arial"/>
                <w:spacing w:val="-1"/>
                <w:szCs w:val="18"/>
              </w:rPr>
              <w:t xml:space="preserve">with retail and commercial balances £6.6 billion higher as consumer spending continued to be impacted by government restrictions and customers retained liquidity.  </w:t>
            </w:r>
          </w:p>
        </w:tc>
      </w:tr>
    </w:tbl>
    <w:p w:rsidR="00AF3FF7" w:rsidRPr="00590B44" w:rsidRDefault="00AF3FF7" w:rsidP="00AF3FF7">
      <w:pPr>
        <w:pStyle w:val="Normal200"/>
        <w:spacing w:line="276" w:lineRule="auto"/>
        <w:ind w:right="96"/>
        <w:rPr>
          <w:rFonts w:eastAsia="Calibri"/>
          <w:color w:val="1F497D"/>
          <w:sz w:val="18"/>
          <w:szCs w:val="18"/>
        </w:rPr>
      </w:pPr>
    </w:p>
    <w:tbl>
      <w:tblPr>
        <w:tblW w:w="10206" w:type="dxa"/>
        <w:tblCellMar>
          <w:left w:w="0" w:type="dxa"/>
          <w:right w:w="0" w:type="dxa"/>
        </w:tblCellMar>
        <w:tblLook w:val="01E0" w:firstRow="1" w:lastRow="1" w:firstColumn="1" w:lastColumn="1" w:noHBand="0" w:noVBand="0"/>
      </w:tblPr>
      <w:tblGrid>
        <w:gridCol w:w="10206"/>
      </w:tblGrid>
      <w:tr w:rsidR="00130A6D" w:rsidTr="00137173">
        <w:trPr>
          <w:trHeight w:hRule="exact" w:val="539"/>
        </w:trPr>
        <w:tc>
          <w:tcPr>
            <w:tcW w:w="10206" w:type="dxa"/>
          </w:tcPr>
          <w:p w:rsidR="00AF3FF7" w:rsidRPr="00590B44" w:rsidRDefault="004160AB" w:rsidP="00DD5D95">
            <w:pPr>
              <w:rPr>
                <w:rFonts w:eastAsia="Calibri" w:cs="Arial"/>
                <w:b/>
                <w:color w:val="5E10B1"/>
                <w:szCs w:val="18"/>
                <w:lang w:eastAsia="ja-JP"/>
              </w:rPr>
            </w:pPr>
            <w:proofErr w:type="gramStart"/>
            <w:r w:rsidRPr="00590B44">
              <w:rPr>
                <w:rFonts w:eastAsia="Calibri" w:cs="Arial"/>
                <w:b/>
                <w:color w:val="5E10B1"/>
                <w:szCs w:val="18"/>
                <w:lang w:eastAsia="ja-JP"/>
              </w:rPr>
              <w:t>Outlook</w:t>
            </w:r>
            <w:r w:rsidRPr="00590B44">
              <w:rPr>
                <w:rFonts w:eastAsia="Calibri" w:cs="Arial"/>
                <w:b/>
                <w:color w:val="5E10B1"/>
                <w:szCs w:val="18"/>
                <w:vertAlign w:val="superscript"/>
                <w:lang w:eastAsia="ja-JP"/>
              </w:rPr>
              <w:t>(</w:t>
            </w:r>
            <w:proofErr w:type="gramEnd"/>
            <w:r w:rsidRPr="00590B44">
              <w:rPr>
                <w:rFonts w:eastAsia="Calibri" w:cs="Arial"/>
                <w:b/>
                <w:color w:val="5E10B1"/>
                <w:szCs w:val="18"/>
                <w:vertAlign w:val="superscript"/>
                <w:lang w:eastAsia="ja-JP"/>
              </w:rPr>
              <w:t>1)</w:t>
            </w:r>
          </w:p>
        </w:tc>
      </w:tr>
      <w:tr w:rsidR="00130A6D" w:rsidTr="00137173">
        <w:trPr>
          <w:trHeight w:val="219"/>
        </w:trPr>
        <w:tc>
          <w:tcPr>
            <w:tcW w:w="10206" w:type="dxa"/>
          </w:tcPr>
          <w:p w:rsidR="00387BED" w:rsidRDefault="004160AB" w:rsidP="00387BED">
            <w:pPr>
              <w:autoSpaceDE w:val="0"/>
              <w:autoSpaceDN w:val="0"/>
              <w:adjustRightInd w:val="0"/>
              <w:spacing w:line="240" w:lineRule="auto"/>
            </w:pPr>
            <w:r>
              <w:t xml:space="preserve">We retain the outlook guidance provided in the 2020 Interim Results </w:t>
            </w:r>
            <w:proofErr w:type="gramStart"/>
            <w:r>
              <w:t>with the exception of</w:t>
            </w:r>
            <w:proofErr w:type="gramEnd"/>
            <w:r>
              <w:t xml:space="preserve"> the following updates, noting the continued significant economic uncertainty.</w:t>
            </w:r>
          </w:p>
          <w:p w:rsidR="00387BED" w:rsidRPr="00590B44" w:rsidRDefault="00387BED" w:rsidP="00387BED">
            <w:pPr>
              <w:autoSpaceDE w:val="0"/>
              <w:autoSpaceDN w:val="0"/>
              <w:adjustRightInd w:val="0"/>
              <w:spacing w:line="240" w:lineRule="auto"/>
              <w:rPr>
                <w:rFonts w:cs="Arial"/>
                <w:szCs w:val="18"/>
              </w:rPr>
            </w:pPr>
          </w:p>
          <w:p w:rsidR="00387BED" w:rsidRPr="00A95684" w:rsidRDefault="004160AB" w:rsidP="00387BED">
            <w:pPr>
              <w:pStyle w:val="Normal200"/>
              <w:spacing w:line="276" w:lineRule="auto"/>
              <w:ind w:right="98"/>
              <w:rPr>
                <w:rFonts w:eastAsia="Calibri"/>
                <w:sz w:val="18"/>
                <w:szCs w:val="18"/>
                <w:lang w:eastAsia="ja-JP"/>
              </w:rPr>
            </w:pPr>
            <w:r w:rsidRPr="00A95684">
              <w:rPr>
                <w:rFonts w:eastAsia="Calibri"/>
                <w:sz w:val="18"/>
                <w:szCs w:val="18"/>
                <w:lang w:eastAsia="ja-JP"/>
              </w:rPr>
              <w:t xml:space="preserve">We believe the full year impairment charge is likely to be at the lower end of the £3.5-4.5 billion range following the </w:t>
            </w:r>
            <w:r w:rsidRPr="00A95684">
              <w:rPr>
                <w:sz w:val="18"/>
                <w:szCs w:val="18"/>
              </w:rPr>
              <w:t>limited level of defaults across lending portfolios and associated ECL stage migration</w:t>
            </w:r>
            <w:r w:rsidRPr="00A95684">
              <w:rPr>
                <w:rFonts w:eastAsia="Calibri"/>
                <w:sz w:val="18"/>
                <w:szCs w:val="18"/>
                <w:lang w:eastAsia="ja-JP"/>
              </w:rPr>
              <w:t xml:space="preserve"> within the third quarter.</w:t>
            </w:r>
          </w:p>
        </w:tc>
      </w:tr>
      <w:tr w:rsidR="00130A6D" w:rsidTr="00137173">
        <w:trPr>
          <w:trHeight w:val="219"/>
        </w:trPr>
        <w:tc>
          <w:tcPr>
            <w:tcW w:w="10206" w:type="dxa"/>
          </w:tcPr>
          <w:p w:rsidR="00387BED" w:rsidRPr="00A95684" w:rsidRDefault="00387BED" w:rsidP="00387BED">
            <w:pPr>
              <w:pStyle w:val="Normal200"/>
              <w:spacing w:line="276" w:lineRule="auto"/>
              <w:ind w:right="98"/>
              <w:rPr>
                <w:rFonts w:eastAsia="SimSun"/>
                <w:sz w:val="18"/>
                <w:szCs w:val="18"/>
                <w:lang w:eastAsia="ja-JP"/>
              </w:rPr>
            </w:pPr>
          </w:p>
        </w:tc>
      </w:tr>
      <w:tr w:rsidR="00130A6D" w:rsidTr="00137173">
        <w:trPr>
          <w:trHeight w:val="219"/>
        </w:trPr>
        <w:tc>
          <w:tcPr>
            <w:tcW w:w="10206" w:type="dxa"/>
          </w:tcPr>
          <w:p w:rsidR="00387BED" w:rsidRPr="00A95684" w:rsidRDefault="004160AB" w:rsidP="00387BED">
            <w:pPr>
              <w:pStyle w:val="Normal200"/>
              <w:spacing w:line="276" w:lineRule="auto"/>
              <w:ind w:right="98"/>
              <w:rPr>
                <w:rFonts w:eastAsia="Calibri"/>
                <w:b/>
                <w:i/>
                <w:sz w:val="18"/>
                <w:szCs w:val="18"/>
                <w:lang w:eastAsia="ja-JP"/>
              </w:rPr>
            </w:pPr>
            <w:r>
              <w:rPr>
                <w:rFonts w:eastAsia="Calibri"/>
                <w:sz w:val="18"/>
                <w:szCs w:val="18"/>
                <w:lang w:eastAsia="ja-JP"/>
              </w:rPr>
              <w:t>We now expect NatWest Group RWAs to be below our previously guided range of £185-195 billion at the end of 2020 following the relatively low level of procyclical inflation experienced to date, with previously expected uplifts delayed to 2021, whilst also now targeting NatWest Markets RWAs of around £30 billion by the end of 2020.</w:t>
            </w:r>
          </w:p>
        </w:tc>
      </w:tr>
    </w:tbl>
    <w:p w:rsidR="00A95684" w:rsidRDefault="00A95684" w:rsidP="00256891">
      <w:pPr>
        <w:autoSpaceDE w:val="0"/>
        <w:autoSpaceDN w:val="0"/>
        <w:adjustRightInd w:val="0"/>
        <w:spacing w:line="240" w:lineRule="auto"/>
        <w:rPr>
          <w:rFonts w:ascii="ArialMT" w:hAnsi="ArialMT" w:cs="ArialMT"/>
          <w:sz w:val="14"/>
          <w:szCs w:val="14"/>
        </w:rPr>
      </w:pPr>
    </w:p>
    <w:p w:rsidR="00A95684" w:rsidRDefault="00A95684" w:rsidP="00256891">
      <w:pPr>
        <w:autoSpaceDE w:val="0"/>
        <w:autoSpaceDN w:val="0"/>
        <w:adjustRightInd w:val="0"/>
        <w:spacing w:line="240" w:lineRule="auto"/>
        <w:rPr>
          <w:rFonts w:ascii="ArialMT" w:hAnsi="ArialMT" w:cs="ArialMT"/>
          <w:sz w:val="14"/>
          <w:szCs w:val="14"/>
        </w:rPr>
      </w:pPr>
    </w:p>
    <w:p w:rsidR="002C0A6E" w:rsidRDefault="002C0A6E" w:rsidP="00AA39C0">
      <w:pPr>
        <w:tabs>
          <w:tab w:val="left" w:pos="1320"/>
        </w:tabs>
        <w:rPr>
          <w:rFonts w:cs="Arial"/>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9"/>
      </w:tblGrid>
      <w:tr w:rsidR="00130A6D" w:rsidTr="002C0A6E">
        <w:tc>
          <w:tcPr>
            <w:tcW w:w="9869" w:type="dxa"/>
          </w:tcPr>
          <w:p w:rsidR="002C0A6E" w:rsidRDefault="004160AB" w:rsidP="00AA39C0">
            <w:pPr>
              <w:tabs>
                <w:tab w:val="left" w:pos="1320"/>
              </w:tabs>
              <w:rPr>
                <w:rFonts w:cs="Arial"/>
                <w:sz w:val="14"/>
                <w:szCs w:val="14"/>
              </w:rPr>
            </w:pPr>
            <w:r>
              <w:rPr>
                <w:rFonts w:cs="Arial"/>
                <w:sz w:val="14"/>
                <w:szCs w:val="14"/>
              </w:rPr>
              <w:t>Note:</w:t>
            </w:r>
          </w:p>
        </w:tc>
      </w:tr>
      <w:tr w:rsidR="00130A6D" w:rsidTr="002C0A6E">
        <w:trPr>
          <w:trHeight w:val="734"/>
        </w:trPr>
        <w:tc>
          <w:tcPr>
            <w:tcW w:w="9869" w:type="dxa"/>
          </w:tcPr>
          <w:p w:rsidR="002C0A6E" w:rsidRPr="002C0A6E" w:rsidRDefault="004160AB" w:rsidP="002C0A6E">
            <w:pPr>
              <w:pStyle w:val="ListParagraph"/>
              <w:numPr>
                <w:ilvl w:val="0"/>
                <w:numId w:val="1"/>
              </w:numPr>
              <w:spacing w:after="0"/>
              <w:ind w:left="284" w:hanging="284"/>
              <w:rPr>
                <w:rFonts w:ascii="Arial" w:hAnsi="Arial" w:cs="Arial"/>
                <w:sz w:val="14"/>
                <w:szCs w:val="14"/>
              </w:rPr>
            </w:pPr>
            <w:r w:rsidRPr="00137173">
              <w:rPr>
                <w:rFonts w:ascii="Arial" w:hAnsi="Arial" w:cs="Arial"/>
                <w:sz w:val="14"/>
                <w:szCs w:val="14"/>
              </w:rPr>
              <w:t>The guidance, targets, expectations and trends discussed in this section represent management’s current expectations and are subject to change, including as a result of the factors described in the NatWest Group plc “Risk Factors” as described on pages 108-109 of its Interim Results 2020, pages 29-31 of its Q1 2020 IMS and pages 281-295 of its 2019 Annual Report &amp; Accounts. These statements constitute forward-looking statements. Refer to Forward-looking statements in this announcement.</w:t>
            </w:r>
          </w:p>
          <w:p w:rsidR="002C0A6E" w:rsidRDefault="002C0A6E" w:rsidP="00AA39C0">
            <w:pPr>
              <w:tabs>
                <w:tab w:val="left" w:pos="1320"/>
              </w:tabs>
              <w:rPr>
                <w:rFonts w:cs="Arial"/>
                <w:sz w:val="14"/>
                <w:szCs w:val="14"/>
              </w:rPr>
            </w:pPr>
          </w:p>
        </w:tc>
      </w:tr>
    </w:tbl>
    <w:p w:rsidR="008E276B" w:rsidRPr="002C0A6E" w:rsidRDefault="004160AB" w:rsidP="002C0A6E">
      <w:pPr>
        <w:tabs>
          <w:tab w:val="left" w:pos="1320"/>
        </w:tabs>
        <w:rPr>
          <w:rFonts w:cs="Arial"/>
          <w:sz w:val="14"/>
          <w:szCs w:val="14"/>
        </w:rPr>
      </w:pPr>
      <w:bookmarkStart w:id="2" w:name="_Hlk53674071"/>
      <w:r w:rsidRPr="002C0A6E">
        <w:rPr>
          <w:rFonts w:cs="Arial"/>
          <w:sz w:val="14"/>
          <w:szCs w:val="14"/>
        </w:rPr>
        <w:br w:type="page"/>
      </w:r>
    </w:p>
    <w:p w:rsidR="006E2B2B" w:rsidRPr="008E276B" w:rsidRDefault="004160AB" w:rsidP="00EC1CD6">
      <w:pPr>
        <w:autoSpaceDE w:val="0"/>
        <w:autoSpaceDN w:val="0"/>
        <w:adjustRightInd w:val="0"/>
        <w:spacing w:line="264" w:lineRule="auto"/>
        <w:rPr>
          <w:rFonts w:cs="Arial"/>
          <w:sz w:val="14"/>
          <w:szCs w:val="14"/>
        </w:rPr>
      </w:pPr>
      <w:r w:rsidRPr="008E276B">
        <w:rPr>
          <w:rFonts w:cs="Arial"/>
          <w:b/>
          <w:color w:val="42145F"/>
          <w:szCs w:val="18"/>
        </w:rPr>
        <w:lastRenderedPageBreak/>
        <w:t>Our Purpose in action – we champion potential, helping people, families and businesses to thrive</w:t>
      </w:r>
    </w:p>
    <w:p w:rsidR="006E2B2B" w:rsidRDefault="006E2B2B" w:rsidP="00EC1CD6">
      <w:pPr>
        <w:spacing w:line="264" w:lineRule="auto"/>
        <w:rPr>
          <w:rFonts w:cs="Arial"/>
          <w:b/>
          <w:color w:val="5E10B1"/>
          <w:szCs w:val="18"/>
        </w:rPr>
      </w:pPr>
    </w:p>
    <w:p w:rsidR="006E2B2B" w:rsidRDefault="004160AB" w:rsidP="00EC1CD6">
      <w:pPr>
        <w:spacing w:line="264" w:lineRule="auto"/>
        <w:rPr>
          <w:rFonts w:cs="Arial"/>
          <w:b/>
          <w:color w:val="5E10B1"/>
          <w:szCs w:val="18"/>
        </w:rPr>
      </w:pPr>
      <w:r>
        <w:rPr>
          <w:rFonts w:cs="Arial"/>
          <w:b/>
          <w:color w:val="5E10B1"/>
          <w:szCs w:val="18"/>
        </w:rPr>
        <w:t>Helping our customers, colleagues and communities through the impacts of Covid-19</w:t>
      </w:r>
    </w:p>
    <w:p w:rsidR="007A16A8" w:rsidRDefault="004160AB" w:rsidP="00EC1CD6">
      <w:pPr>
        <w:spacing w:line="264" w:lineRule="auto"/>
        <w:rPr>
          <w:rFonts w:cs="Arial"/>
          <w:color w:val="5E10B1"/>
          <w:szCs w:val="18"/>
        </w:rPr>
      </w:pPr>
      <w:r>
        <w:rPr>
          <w:rFonts w:cs="Arial"/>
          <w:color w:val="5E10B1"/>
          <w:szCs w:val="18"/>
        </w:rPr>
        <w:t xml:space="preserve">Provided lending support to our customers with a disciplined approach to risk and value creation: </w:t>
      </w:r>
    </w:p>
    <w:p w:rsidR="007A16A8" w:rsidRPr="007526B5" w:rsidRDefault="004160AB" w:rsidP="00EC1CD6">
      <w:pPr>
        <w:pStyle w:val="ListParagraph"/>
        <w:numPr>
          <w:ilvl w:val="0"/>
          <w:numId w:val="2"/>
        </w:numPr>
        <w:spacing w:after="0" w:line="264" w:lineRule="auto"/>
        <w:ind w:left="238" w:hanging="238"/>
      </w:pPr>
      <w:r w:rsidRPr="007526B5">
        <w:rPr>
          <w:rFonts w:ascii="Arial" w:hAnsi="Arial" w:cs="Arial"/>
          <w:sz w:val="18"/>
          <w:szCs w:val="18"/>
        </w:rPr>
        <w:t xml:space="preserve">Approved £13.0 billion through the government lending </w:t>
      </w:r>
      <w:proofErr w:type="gramStart"/>
      <w:r w:rsidRPr="007526B5">
        <w:rPr>
          <w:rFonts w:ascii="Arial" w:hAnsi="Arial" w:cs="Arial"/>
          <w:sz w:val="18"/>
          <w:szCs w:val="18"/>
        </w:rPr>
        <w:t>initiatives</w:t>
      </w:r>
      <w:r w:rsidRPr="002C4978">
        <w:rPr>
          <w:rFonts w:ascii="Arial" w:hAnsi="Arial" w:cs="Arial"/>
          <w:position w:val="6"/>
          <w:sz w:val="12"/>
          <w:szCs w:val="12"/>
        </w:rPr>
        <w:t>(</w:t>
      </w:r>
      <w:proofErr w:type="gramEnd"/>
      <w:r w:rsidRPr="002C4978">
        <w:rPr>
          <w:rFonts w:ascii="Arial" w:hAnsi="Arial" w:cs="Arial"/>
          <w:position w:val="6"/>
          <w:sz w:val="12"/>
          <w:szCs w:val="12"/>
        </w:rPr>
        <w:t>1)</w:t>
      </w:r>
      <w:r w:rsidRPr="007526B5">
        <w:rPr>
          <w:rFonts w:ascii="Arial" w:hAnsi="Arial" w:cs="Arial"/>
          <w:sz w:val="18"/>
          <w:szCs w:val="18"/>
        </w:rPr>
        <w:t>.</w:t>
      </w:r>
    </w:p>
    <w:p w:rsidR="007A16A8" w:rsidRPr="007526B5" w:rsidRDefault="004160AB" w:rsidP="00EC1CD6">
      <w:pPr>
        <w:pStyle w:val="ListParagraph"/>
        <w:numPr>
          <w:ilvl w:val="0"/>
          <w:numId w:val="2"/>
        </w:numPr>
        <w:spacing w:after="0" w:line="264" w:lineRule="auto"/>
        <w:ind w:left="238" w:hanging="238"/>
        <w:rPr>
          <w:rFonts w:ascii="Arial" w:hAnsi="Arial" w:cs="Arial"/>
          <w:sz w:val="18"/>
          <w:szCs w:val="18"/>
        </w:rPr>
      </w:pPr>
      <w:r>
        <w:rPr>
          <w:rFonts w:ascii="Arial" w:hAnsi="Arial" w:cs="Arial"/>
          <w:sz w:val="18"/>
          <w:szCs w:val="18"/>
        </w:rPr>
        <w:t xml:space="preserve">Facilitated approximately £8.8 billion of Covid-19 Corporate Financing Facilities (CCFF) </w:t>
      </w:r>
      <w:proofErr w:type="gramStart"/>
      <w:r>
        <w:rPr>
          <w:rFonts w:ascii="Arial" w:hAnsi="Arial" w:cs="Arial"/>
          <w:sz w:val="18"/>
          <w:szCs w:val="18"/>
        </w:rPr>
        <w:t>issuances</w:t>
      </w:r>
      <w:r w:rsidRPr="002C4978">
        <w:rPr>
          <w:rFonts w:ascii="Arial" w:hAnsi="Arial" w:cs="Arial"/>
          <w:position w:val="6"/>
          <w:sz w:val="12"/>
          <w:szCs w:val="12"/>
        </w:rPr>
        <w:t>(</w:t>
      </w:r>
      <w:proofErr w:type="gramEnd"/>
      <w:r w:rsidRPr="002C4978">
        <w:rPr>
          <w:rFonts w:ascii="Arial" w:hAnsi="Arial" w:cs="Arial"/>
          <w:position w:val="6"/>
          <w:sz w:val="12"/>
          <w:szCs w:val="12"/>
        </w:rPr>
        <w:t>2)</w:t>
      </w:r>
      <w:r>
        <w:rPr>
          <w:rFonts w:ascii="Arial" w:hAnsi="Arial" w:cs="Arial"/>
          <w:sz w:val="18"/>
          <w:szCs w:val="18"/>
        </w:rPr>
        <w:t>.</w:t>
      </w:r>
    </w:p>
    <w:p w:rsidR="006E2B2B" w:rsidRPr="007A16A8" w:rsidRDefault="006E2B2B" w:rsidP="00EC1CD6">
      <w:pPr>
        <w:spacing w:line="264" w:lineRule="auto"/>
        <w:rPr>
          <w:rFonts w:cs="Arial"/>
          <w:color w:val="5E10B1"/>
          <w:sz w:val="8"/>
          <w:szCs w:val="8"/>
        </w:rPr>
      </w:pPr>
    </w:p>
    <w:p w:rsidR="007A16A8" w:rsidRDefault="004160AB" w:rsidP="00EC1CD6">
      <w:pPr>
        <w:spacing w:line="264" w:lineRule="auto"/>
        <w:rPr>
          <w:rFonts w:cs="Arial"/>
          <w:color w:val="5E10B1"/>
          <w:szCs w:val="18"/>
        </w:rPr>
      </w:pPr>
      <w:r>
        <w:rPr>
          <w:rFonts w:cs="Arial"/>
          <w:color w:val="5E10B1"/>
          <w:szCs w:val="18"/>
        </w:rPr>
        <w:t>Supported the financial health of our customers:</w:t>
      </w:r>
    </w:p>
    <w:p w:rsidR="007A16A8" w:rsidRPr="006F67CD" w:rsidRDefault="004160AB" w:rsidP="00EC1CD6">
      <w:pPr>
        <w:pStyle w:val="ListParagraph"/>
        <w:numPr>
          <w:ilvl w:val="0"/>
          <w:numId w:val="2"/>
        </w:numPr>
        <w:spacing w:after="0" w:line="264" w:lineRule="auto"/>
        <w:ind w:left="238" w:hanging="238"/>
        <w:rPr>
          <w:rFonts w:ascii="Arial" w:hAnsi="Arial" w:cs="Arial"/>
          <w:sz w:val="18"/>
          <w:szCs w:val="18"/>
        </w:rPr>
      </w:pPr>
      <w:r w:rsidRPr="00D4045E">
        <w:rPr>
          <w:rFonts w:ascii="Arial" w:hAnsi="Arial" w:cs="Arial"/>
          <w:sz w:val="18"/>
          <w:szCs w:val="18"/>
        </w:rPr>
        <w:t xml:space="preserve">Helped approximately 250,000 customers with an initial mortgage repayment holiday and provided payment holidays on over 72,000 business customer </w:t>
      </w:r>
      <w:proofErr w:type="gramStart"/>
      <w:r w:rsidRPr="00D4045E">
        <w:rPr>
          <w:rFonts w:ascii="Arial" w:hAnsi="Arial" w:cs="Arial"/>
          <w:sz w:val="18"/>
          <w:szCs w:val="18"/>
        </w:rPr>
        <w:t>accounts</w:t>
      </w:r>
      <w:r w:rsidRPr="009033C2">
        <w:rPr>
          <w:rFonts w:ascii="Arial" w:hAnsi="Arial" w:cs="Arial"/>
          <w:position w:val="6"/>
          <w:sz w:val="12"/>
          <w:szCs w:val="12"/>
        </w:rPr>
        <w:t>(</w:t>
      </w:r>
      <w:proofErr w:type="gramEnd"/>
      <w:r w:rsidRPr="009033C2">
        <w:rPr>
          <w:rFonts w:ascii="Arial" w:hAnsi="Arial" w:cs="Arial"/>
          <w:position w:val="6"/>
          <w:sz w:val="12"/>
          <w:szCs w:val="12"/>
        </w:rPr>
        <w:t>3)</w:t>
      </w:r>
      <w:r w:rsidRPr="00D4045E">
        <w:rPr>
          <w:rFonts w:ascii="Arial" w:hAnsi="Arial" w:cs="Arial"/>
          <w:sz w:val="18"/>
          <w:szCs w:val="18"/>
        </w:rPr>
        <w:t xml:space="preserve">. </w:t>
      </w:r>
    </w:p>
    <w:p w:rsidR="007A16A8" w:rsidRPr="0048197D" w:rsidRDefault="002F1929" w:rsidP="00EC1CD6">
      <w:pPr>
        <w:pStyle w:val="ListParagraph"/>
        <w:numPr>
          <w:ilvl w:val="0"/>
          <w:numId w:val="2"/>
        </w:numPr>
        <w:spacing w:after="0" w:line="264" w:lineRule="auto"/>
        <w:ind w:left="238" w:hanging="238"/>
        <w:rPr>
          <w:rFonts w:ascii="Arial" w:hAnsi="Arial" w:cs="Arial"/>
          <w:sz w:val="18"/>
          <w:szCs w:val="18"/>
        </w:rPr>
      </w:pPr>
      <w:r>
        <w:rPr>
          <w:rFonts w:ascii="Arial" w:hAnsi="Arial" w:cs="Arial"/>
          <w:sz w:val="18"/>
          <w:szCs w:val="18"/>
        </w:rPr>
        <w:t xml:space="preserve">Launched ‘Banking My Way’ service, enabling customers who need additional support to request bespoke assistance, with 38,500 registrations since its </w:t>
      </w:r>
      <w:proofErr w:type="gramStart"/>
      <w:r>
        <w:rPr>
          <w:rFonts w:ascii="Arial" w:hAnsi="Arial" w:cs="Arial"/>
          <w:sz w:val="18"/>
          <w:szCs w:val="18"/>
        </w:rPr>
        <w:t>launch</w:t>
      </w:r>
      <w:r w:rsidR="004160AB" w:rsidRPr="009033C2">
        <w:rPr>
          <w:rFonts w:ascii="Arial" w:hAnsi="Arial" w:cs="Arial"/>
          <w:position w:val="6"/>
          <w:sz w:val="12"/>
          <w:szCs w:val="12"/>
        </w:rPr>
        <w:t>(</w:t>
      </w:r>
      <w:proofErr w:type="gramEnd"/>
      <w:r w:rsidR="004160AB" w:rsidRPr="009033C2">
        <w:rPr>
          <w:rFonts w:ascii="Arial" w:hAnsi="Arial" w:cs="Arial"/>
          <w:position w:val="6"/>
          <w:sz w:val="12"/>
          <w:szCs w:val="12"/>
        </w:rPr>
        <w:t>4)</w:t>
      </w:r>
      <w:r w:rsidR="004160AB" w:rsidRPr="0048197D">
        <w:rPr>
          <w:rFonts w:ascii="Arial" w:hAnsi="Arial" w:cs="Arial"/>
          <w:sz w:val="18"/>
          <w:szCs w:val="18"/>
        </w:rPr>
        <w:t>.</w:t>
      </w:r>
    </w:p>
    <w:p w:rsidR="006E2B2B" w:rsidRPr="007A16A8" w:rsidRDefault="006E2B2B" w:rsidP="00EC1CD6">
      <w:pPr>
        <w:spacing w:line="264" w:lineRule="auto"/>
        <w:rPr>
          <w:rFonts w:cs="Arial"/>
          <w:color w:val="5E10B1"/>
          <w:sz w:val="8"/>
          <w:szCs w:val="8"/>
        </w:rPr>
      </w:pPr>
    </w:p>
    <w:p w:rsidR="007A16A8" w:rsidRPr="00D4045E" w:rsidRDefault="004160AB" w:rsidP="00EC1CD6">
      <w:pPr>
        <w:spacing w:line="264" w:lineRule="auto"/>
        <w:rPr>
          <w:rFonts w:cs="Arial"/>
          <w:color w:val="5E10B1"/>
          <w:szCs w:val="18"/>
        </w:rPr>
      </w:pPr>
      <w:r w:rsidRPr="00D4045E">
        <w:rPr>
          <w:rFonts w:cs="Arial"/>
          <w:color w:val="5E10B1"/>
          <w:szCs w:val="18"/>
        </w:rPr>
        <w:t xml:space="preserve">Long-term investment plan is powering our operational effectiveness: </w:t>
      </w:r>
    </w:p>
    <w:p w:rsidR="007A16A8" w:rsidRDefault="004160AB" w:rsidP="00EC1CD6">
      <w:pPr>
        <w:pStyle w:val="ListParagraph"/>
        <w:numPr>
          <w:ilvl w:val="0"/>
          <w:numId w:val="2"/>
        </w:numPr>
        <w:spacing w:after="0" w:line="264" w:lineRule="auto"/>
        <w:ind w:left="238" w:hanging="238"/>
        <w:rPr>
          <w:rFonts w:ascii="Arial" w:hAnsi="Arial" w:cs="Arial"/>
          <w:sz w:val="18"/>
          <w:szCs w:val="18"/>
        </w:rPr>
      </w:pPr>
      <w:r>
        <w:rPr>
          <w:rFonts w:ascii="Arial" w:hAnsi="Arial" w:cs="Arial"/>
          <w:sz w:val="18"/>
          <w:szCs w:val="18"/>
        </w:rPr>
        <w:t>Increased digital adoption with 9.3 million active digital users as at Q3 2020 (9.0 million as at Q3 2019), 6 million interactions with our AI chat bot Cora in the first nine months of 2020 (3.9 million in the first nine months of 2019) and c.9,000 weekly video banking conversations now taking place, compared to less than 100 a week in January 2020</w:t>
      </w:r>
      <w:r w:rsidRPr="00EC1CD6">
        <w:rPr>
          <w:rFonts w:ascii="Arial" w:hAnsi="Arial" w:cs="Arial"/>
          <w:sz w:val="16"/>
          <w:szCs w:val="16"/>
          <w:vertAlign w:val="superscript"/>
        </w:rPr>
        <w:t>(5)</w:t>
      </w:r>
      <w:r w:rsidRPr="00EC1CD6">
        <w:rPr>
          <w:rFonts w:ascii="Arial" w:hAnsi="Arial" w:cs="Arial"/>
          <w:sz w:val="16"/>
          <w:szCs w:val="16"/>
        </w:rPr>
        <w:t>.</w:t>
      </w:r>
      <w:r w:rsidRPr="00D4045E">
        <w:rPr>
          <w:rFonts w:ascii="Arial" w:hAnsi="Arial" w:cs="Arial"/>
          <w:sz w:val="18"/>
          <w:szCs w:val="18"/>
        </w:rPr>
        <w:t xml:space="preserve"> </w:t>
      </w:r>
    </w:p>
    <w:p w:rsidR="002F1929" w:rsidRPr="00D4045E" w:rsidRDefault="004160AB" w:rsidP="00EC1CD6">
      <w:pPr>
        <w:pStyle w:val="ListParagraph"/>
        <w:numPr>
          <w:ilvl w:val="0"/>
          <w:numId w:val="2"/>
        </w:numPr>
        <w:spacing w:after="0" w:line="264" w:lineRule="auto"/>
        <w:ind w:left="238" w:hanging="238"/>
        <w:rPr>
          <w:rFonts w:ascii="Arial" w:hAnsi="Arial" w:cs="Arial"/>
          <w:sz w:val="18"/>
          <w:szCs w:val="18"/>
        </w:rPr>
      </w:pPr>
      <w:r>
        <w:rPr>
          <w:rFonts w:ascii="Arial" w:hAnsi="Arial" w:cs="Arial"/>
          <w:sz w:val="18"/>
          <w:szCs w:val="18"/>
        </w:rPr>
        <w:t>Announced a new relationship with BlackRock to support our investment management processing activity, enabling savings to be passed onto our clients.</w:t>
      </w:r>
    </w:p>
    <w:p w:rsidR="006E2B2B" w:rsidRPr="007A16A8" w:rsidRDefault="006E2B2B" w:rsidP="00EC1CD6">
      <w:pPr>
        <w:spacing w:line="264" w:lineRule="auto"/>
        <w:rPr>
          <w:sz w:val="8"/>
          <w:szCs w:val="12"/>
        </w:rPr>
      </w:pPr>
    </w:p>
    <w:p w:rsidR="006E2B2B" w:rsidRPr="00D4045E" w:rsidRDefault="004160AB" w:rsidP="00EC1CD6">
      <w:pPr>
        <w:spacing w:line="264" w:lineRule="auto"/>
        <w:rPr>
          <w:rFonts w:cs="Arial"/>
          <w:color w:val="5E10B1"/>
          <w:szCs w:val="18"/>
        </w:rPr>
      </w:pPr>
      <w:r w:rsidRPr="00D4045E">
        <w:rPr>
          <w:rFonts w:cs="Arial"/>
          <w:color w:val="5E10B1"/>
          <w:szCs w:val="18"/>
        </w:rPr>
        <w:t xml:space="preserve">Partnered to proactively respond and support UK communities: </w:t>
      </w:r>
    </w:p>
    <w:p w:rsidR="00420D1D" w:rsidRPr="0048197D" w:rsidRDefault="004160AB" w:rsidP="00EC1CD6">
      <w:pPr>
        <w:pStyle w:val="ListParagraph"/>
        <w:numPr>
          <w:ilvl w:val="0"/>
          <w:numId w:val="2"/>
        </w:numPr>
        <w:spacing w:after="0" w:line="264" w:lineRule="auto"/>
        <w:ind w:left="238" w:hanging="238"/>
        <w:rPr>
          <w:rFonts w:ascii="Arial" w:hAnsi="Arial" w:cs="Arial"/>
          <w:sz w:val="18"/>
          <w:szCs w:val="18"/>
        </w:rPr>
      </w:pPr>
      <w:r w:rsidRPr="0048197D">
        <w:rPr>
          <w:rFonts w:ascii="Arial" w:hAnsi="Arial" w:cs="Arial"/>
          <w:sz w:val="18"/>
          <w:szCs w:val="18"/>
        </w:rPr>
        <w:t xml:space="preserve">NatWest Social and Community Capital launched a £1 million Coronavirus Response Fund offering grants to organisations across the UK that employ people from vulnerable or disadvantaged groups. </w:t>
      </w:r>
    </w:p>
    <w:p w:rsidR="00420D1D" w:rsidRPr="00D4045E" w:rsidRDefault="004160AB" w:rsidP="00EC1CD6">
      <w:pPr>
        <w:pStyle w:val="ListParagraph"/>
        <w:numPr>
          <w:ilvl w:val="0"/>
          <w:numId w:val="2"/>
        </w:numPr>
        <w:spacing w:after="0" w:line="264" w:lineRule="auto"/>
        <w:ind w:left="238" w:hanging="238"/>
        <w:rPr>
          <w:rFonts w:ascii="Arial" w:hAnsi="Arial" w:cs="Arial"/>
          <w:sz w:val="18"/>
          <w:szCs w:val="18"/>
        </w:rPr>
      </w:pPr>
      <w:r w:rsidRPr="00D4045E">
        <w:rPr>
          <w:rFonts w:ascii="Arial" w:hAnsi="Arial" w:cs="Arial"/>
          <w:sz w:val="18"/>
          <w:szCs w:val="18"/>
        </w:rPr>
        <w:t xml:space="preserve">Launched a review with </w:t>
      </w:r>
      <w:proofErr w:type="spellStart"/>
      <w:r w:rsidRPr="00D4045E">
        <w:rPr>
          <w:rFonts w:ascii="Arial" w:hAnsi="Arial" w:cs="Arial"/>
          <w:sz w:val="18"/>
          <w:szCs w:val="18"/>
        </w:rPr>
        <w:t>SafeLives</w:t>
      </w:r>
      <w:proofErr w:type="spellEnd"/>
      <w:r w:rsidRPr="00D4045E">
        <w:rPr>
          <w:rFonts w:ascii="Arial" w:hAnsi="Arial" w:cs="Arial"/>
          <w:sz w:val="18"/>
          <w:szCs w:val="18"/>
        </w:rPr>
        <w:t xml:space="preserve"> into supporting survivors of economic abuse and acquired coercive debt. </w:t>
      </w:r>
    </w:p>
    <w:p w:rsidR="006E2B2B" w:rsidRPr="007A16A8" w:rsidRDefault="006E2B2B" w:rsidP="00EC1CD6">
      <w:pPr>
        <w:pStyle w:val="ListParagraph"/>
        <w:spacing w:after="0" w:line="264" w:lineRule="auto"/>
        <w:ind w:left="238"/>
        <w:rPr>
          <w:rFonts w:ascii="Arial" w:hAnsi="Arial" w:cs="Arial"/>
          <w:color w:val="5E10B1"/>
          <w:sz w:val="8"/>
          <w:szCs w:val="8"/>
        </w:rPr>
      </w:pPr>
    </w:p>
    <w:p w:rsidR="006E2B2B" w:rsidRDefault="004160AB" w:rsidP="00EC1CD6">
      <w:pPr>
        <w:spacing w:line="264" w:lineRule="auto"/>
        <w:rPr>
          <w:rFonts w:cs="Arial"/>
          <w:color w:val="5E10B1"/>
          <w:szCs w:val="18"/>
        </w:rPr>
      </w:pPr>
      <w:r>
        <w:rPr>
          <w:rFonts w:cs="Arial"/>
          <w:color w:val="5E10B1"/>
          <w:szCs w:val="18"/>
        </w:rPr>
        <w:t xml:space="preserve">Prioritised the wellbeing of our colleagues: </w:t>
      </w:r>
    </w:p>
    <w:p w:rsidR="007A16A8" w:rsidRDefault="004160AB" w:rsidP="00EC1CD6">
      <w:pPr>
        <w:pStyle w:val="ListParagraph"/>
        <w:numPr>
          <w:ilvl w:val="0"/>
          <w:numId w:val="2"/>
        </w:numPr>
        <w:spacing w:after="0" w:line="264" w:lineRule="auto"/>
        <w:ind w:left="238" w:hanging="238"/>
        <w:rPr>
          <w:rFonts w:ascii="Arial" w:hAnsi="Arial" w:cs="Arial"/>
          <w:sz w:val="18"/>
          <w:szCs w:val="18"/>
        </w:rPr>
      </w:pPr>
      <w:r>
        <w:rPr>
          <w:rFonts w:ascii="Arial" w:hAnsi="Arial" w:cs="Arial"/>
          <w:sz w:val="18"/>
          <w:szCs w:val="18"/>
        </w:rPr>
        <w:t xml:space="preserve">Continued to enable more than 50,000 colleagues to work from home, delivering office furniture and computer equipment, including 31,000 tech bundles to </w:t>
      </w:r>
      <w:proofErr w:type="gramStart"/>
      <w:r>
        <w:rPr>
          <w:rFonts w:ascii="Arial" w:hAnsi="Arial" w:cs="Arial"/>
          <w:sz w:val="18"/>
          <w:szCs w:val="18"/>
        </w:rPr>
        <w:t>homes</w:t>
      </w:r>
      <w:r w:rsidRPr="002C4978">
        <w:rPr>
          <w:rFonts w:ascii="Arial" w:hAnsi="Arial" w:cs="Arial"/>
          <w:position w:val="6"/>
          <w:sz w:val="12"/>
          <w:szCs w:val="12"/>
        </w:rPr>
        <w:t>(</w:t>
      </w:r>
      <w:proofErr w:type="gramEnd"/>
      <w:r w:rsidRPr="002C4978">
        <w:rPr>
          <w:rFonts w:ascii="Arial" w:hAnsi="Arial" w:cs="Arial"/>
          <w:position w:val="6"/>
          <w:sz w:val="12"/>
          <w:szCs w:val="12"/>
        </w:rPr>
        <w:t>6)</w:t>
      </w:r>
      <w:r>
        <w:rPr>
          <w:rFonts w:ascii="Arial" w:hAnsi="Arial" w:cs="Arial"/>
          <w:sz w:val="18"/>
          <w:szCs w:val="18"/>
        </w:rPr>
        <w:t xml:space="preserve">. </w:t>
      </w:r>
    </w:p>
    <w:p w:rsidR="006E2B2B" w:rsidRDefault="004160AB" w:rsidP="00EC1CD6">
      <w:pPr>
        <w:pStyle w:val="ListParagraph"/>
        <w:numPr>
          <w:ilvl w:val="0"/>
          <w:numId w:val="2"/>
        </w:numPr>
        <w:spacing w:after="0" w:line="264" w:lineRule="auto"/>
        <w:ind w:left="238" w:hanging="238"/>
        <w:rPr>
          <w:rFonts w:ascii="Arial" w:hAnsi="Arial" w:cs="Arial"/>
          <w:sz w:val="18"/>
          <w:szCs w:val="18"/>
        </w:rPr>
      </w:pPr>
      <w:r>
        <w:rPr>
          <w:rFonts w:ascii="Arial" w:hAnsi="Arial" w:cs="Arial"/>
          <w:sz w:val="18"/>
          <w:szCs w:val="18"/>
        </w:rPr>
        <w:t xml:space="preserve">Enhanced our free mental health support through a new partnership with </w:t>
      </w:r>
      <w:proofErr w:type="spellStart"/>
      <w:r>
        <w:rPr>
          <w:rFonts w:ascii="Arial" w:hAnsi="Arial" w:cs="Arial"/>
          <w:sz w:val="18"/>
          <w:szCs w:val="18"/>
        </w:rPr>
        <w:t>Silvercloud</w:t>
      </w:r>
      <w:proofErr w:type="spellEnd"/>
      <w:r>
        <w:rPr>
          <w:rFonts w:ascii="Arial" w:hAnsi="Arial" w:cs="Arial"/>
          <w:sz w:val="18"/>
          <w:szCs w:val="18"/>
        </w:rPr>
        <w:t>, providing substantial, sector-leading support to any colleague who needs it and provided all leaders access to extended mental health awareness support.</w:t>
      </w:r>
    </w:p>
    <w:p w:rsidR="002F1929" w:rsidRDefault="002F1929" w:rsidP="00EC1CD6">
      <w:pPr>
        <w:pStyle w:val="ListParagraph"/>
        <w:spacing w:after="0" w:line="264" w:lineRule="auto"/>
        <w:ind w:left="238"/>
        <w:rPr>
          <w:rFonts w:ascii="Arial" w:hAnsi="Arial" w:cs="Arial"/>
          <w:sz w:val="18"/>
          <w:szCs w:val="18"/>
        </w:rPr>
      </w:pPr>
    </w:p>
    <w:p w:rsidR="00941FEC" w:rsidRPr="002F1929" w:rsidRDefault="00941FEC" w:rsidP="00EC1CD6">
      <w:pPr>
        <w:pStyle w:val="ListParagraph"/>
        <w:spacing w:after="0" w:line="264" w:lineRule="auto"/>
        <w:ind w:left="238"/>
        <w:rPr>
          <w:rFonts w:ascii="Arial" w:hAnsi="Arial" w:cs="Arial"/>
          <w:sz w:val="18"/>
          <w:szCs w:val="18"/>
        </w:rPr>
      </w:pPr>
    </w:p>
    <w:p w:rsidR="006E2B2B" w:rsidRDefault="004160AB" w:rsidP="00EC1CD6">
      <w:pPr>
        <w:spacing w:line="264" w:lineRule="auto"/>
        <w:rPr>
          <w:rFonts w:cs="Arial"/>
          <w:b/>
          <w:color w:val="5E10B1"/>
          <w:szCs w:val="18"/>
        </w:rPr>
      </w:pPr>
      <w:r>
        <w:rPr>
          <w:rFonts w:cs="Arial"/>
          <w:b/>
          <w:color w:val="5E10B1"/>
          <w:szCs w:val="18"/>
        </w:rPr>
        <w:t>Q3 2020 progress against areas of focus</w:t>
      </w:r>
    </w:p>
    <w:p w:rsidR="007A16A8" w:rsidRDefault="004160AB" w:rsidP="00EC1CD6">
      <w:pPr>
        <w:spacing w:line="264" w:lineRule="auto"/>
        <w:rPr>
          <w:rFonts w:cs="Arial"/>
          <w:color w:val="5E10B1"/>
          <w:szCs w:val="18"/>
        </w:rPr>
      </w:pPr>
      <w:r>
        <w:rPr>
          <w:rFonts w:cs="Arial"/>
          <w:color w:val="5E10B1"/>
          <w:szCs w:val="18"/>
        </w:rPr>
        <w:t xml:space="preserve">Enterprise – addressing barriers to enterprise and business creation: </w:t>
      </w:r>
    </w:p>
    <w:p w:rsidR="007A16A8" w:rsidRDefault="004160AB" w:rsidP="00EC1CD6">
      <w:pPr>
        <w:pStyle w:val="ListParagraph"/>
        <w:numPr>
          <w:ilvl w:val="0"/>
          <w:numId w:val="2"/>
        </w:numPr>
        <w:spacing w:after="0" w:line="264" w:lineRule="auto"/>
        <w:ind w:left="238" w:hanging="238"/>
        <w:rPr>
          <w:rFonts w:ascii="Arial" w:hAnsi="Arial" w:cs="Arial"/>
          <w:sz w:val="18"/>
          <w:szCs w:val="18"/>
        </w:rPr>
      </w:pPr>
      <w:r w:rsidRPr="007F037A">
        <w:rPr>
          <w:rFonts w:ascii="Arial" w:hAnsi="Arial" w:cs="Arial"/>
          <w:sz w:val="18"/>
          <w:szCs w:val="18"/>
        </w:rPr>
        <w:t xml:space="preserve">NatWest Entrepreneur Accelerator Programme ranked the top UK accelerator by total </w:t>
      </w:r>
      <w:proofErr w:type="gramStart"/>
      <w:r w:rsidRPr="007F037A">
        <w:rPr>
          <w:rFonts w:ascii="Arial" w:hAnsi="Arial" w:cs="Arial"/>
          <w:sz w:val="18"/>
          <w:szCs w:val="18"/>
        </w:rPr>
        <w:t>attendances</w:t>
      </w:r>
      <w:r w:rsidRPr="002C4978">
        <w:rPr>
          <w:rFonts w:ascii="Arial" w:hAnsi="Arial" w:cs="Arial"/>
          <w:position w:val="6"/>
          <w:sz w:val="12"/>
          <w:szCs w:val="12"/>
        </w:rPr>
        <w:t>(</w:t>
      </w:r>
      <w:proofErr w:type="gramEnd"/>
      <w:r w:rsidRPr="002C4978">
        <w:rPr>
          <w:rFonts w:ascii="Arial" w:hAnsi="Arial" w:cs="Arial"/>
          <w:position w:val="6"/>
          <w:sz w:val="12"/>
          <w:szCs w:val="12"/>
        </w:rPr>
        <w:t>7)</w:t>
      </w:r>
      <w:r w:rsidRPr="007F037A">
        <w:rPr>
          <w:rFonts w:ascii="Arial" w:hAnsi="Arial" w:cs="Arial"/>
          <w:sz w:val="18"/>
          <w:szCs w:val="18"/>
        </w:rPr>
        <w:t xml:space="preserve">. The programme has run 800 virtual events with 33,000 attendees since the start of </w:t>
      </w:r>
      <w:proofErr w:type="gramStart"/>
      <w:r w:rsidRPr="007F037A">
        <w:rPr>
          <w:rFonts w:ascii="Arial" w:hAnsi="Arial" w:cs="Arial"/>
          <w:sz w:val="18"/>
          <w:szCs w:val="18"/>
        </w:rPr>
        <w:t>lockdown</w:t>
      </w:r>
      <w:r w:rsidRPr="002C4978">
        <w:rPr>
          <w:rFonts w:ascii="Arial" w:hAnsi="Arial" w:cs="Arial"/>
          <w:position w:val="6"/>
          <w:sz w:val="12"/>
          <w:szCs w:val="12"/>
        </w:rPr>
        <w:t>(</w:t>
      </w:r>
      <w:proofErr w:type="gramEnd"/>
      <w:r w:rsidRPr="002C4978">
        <w:rPr>
          <w:rFonts w:ascii="Arial" w:hAnsi="Arial" w:cs="Arial"/>
          <w:position w:val="6"/>
          <w:sz w:val="12"/>
          <w:szCs w:val="12"/>
        </w:rPr>
        <w:t>2)</w:t>
      </w:r>
      <w:r w:rsidRPr="007F037A">
        <w:rPr>
          <w:rFonts w:ascii="Arial" w:hAnsi="Arial" w:cs="Arial"/>
          <w:sz w:val="18"/>
          <w:szCs w:val="18"/>
        </w:rPr>
        <w:t xml:space="preserve">. </w:t>
      </w:r>
    </w:p>
    <w:p w:rsidR="00BA31CE" w:rsidRPr="00BA31CE" w:rsidRDefault="004160AB" w:rsidP="00EC1CD6">
      <w:pPr>
        <w:pStyle w:val="ListParagraph"/>
        <w:numPr>
          <w:ilvl w:val="0"/>
          <w:numId w:val="2"/>
        </w:numPr>
        <w:spacing w:after="0" w:line="264" w:lineRule="auto"/>
        <w:ind w:left="238" w:hanging="238"/>
        <w:rPr>
          <w:rFonts w:ascii="Arial" w:hAnsi="Arial" w:cs="Arial"/>
          <w:sz w:val="18"/>
          <w:szCs w:val="18"/>
        </w:rPr>
      </w:pPr>
      <w:r w:rsidRPr="00BA31CE">
        <w:rPr>
          <w:rFonts w:ascii="Arial" w:hAnsi="Arial" w:cs="Arial"/>
          <w:sz w:val="18"/>
          <w:szCs w:val="18"/>
        </w:rPr>
        <w:t xml:space="preserve">Over half of the £1 billion of debt funding to support female entrepreneurs announced in February 2020 has been committed as part of our ambition to help create new businesses in the </w:t>
      </w:r>
      <w:proofErr w:type="gramStart"/>
      <w:r w:rsidRPr="00BA31CE">
        <w:rPr>
          <w:rFonts w:ascii="Arial" w:hAnsi="Arial" w:cs="Arial"/>
          <w:sz w:val="18"/>
          <w:szCs w:val="18"/>
        </w:rPr>
        <w:t>UK</w:t>
      </w:r>
      <w:r w:rsidRPr="002C4978">
        <w:rPr>
          <w:rFonts w:ascii="Arial" w:hAnsi="Arial" w:cs="Arial"/>
          <w:position w:val="6"/>
          <w:sz w:val="12"/>
          <w:szCs w:val="12"/>
        </w:rPr>
        <w:t>(</w:t>
      </w:r>
      <w:proofErr w:type="gramEnd"/>
      <w:r w:rsidRPr="002C4978">
        <w:rPr>
          <w:rFonts w:ascii="Arial" w:hAnsi="Arial" w:cs="Arial"/>
          <w:position w:val="6"/>
          <w:sz w:val="12"/>
          <w:szCs w:val="12"/>
        </w:rPr>
        <w:t>2)</w:t>
      </w:r>
      <w:r w:rsidRPr="007F037A">
        <w:rPr>
          <w:rFonts w:ascii="Arial" w:hAnsi="Arial" w:cs="Arial"/>
          <w:sz w:val="18"/>
          <w:szCs w:val="18"/>
        </w:rPr>
        <w:t>.</w:t>
      </w:r>
    </w:p>
    <w:p w:rsidR="006E2B2B" w:rsidRPr="007A16A8" w:rsidRDefault="006E2B2B" w:rsidP="00EC1CD6">
      <w:pPr>
        <w:spacing w:line="264" w:lineRule="auto"/>
        <w:rPr>
          <w:rFonts w:cs="Arial"/>
          <w:color w:val="5E10B1"/>
          <w:sz w:val="8"/>
          <w:szCs w:val="8"/>
        </w:rPr>
      </w:pPr>
    </w:p>
    <w:p w:rsidR="006E2B2B" w:rsidRDefault="004160AB" w:rsidP="00EC1CD6">
      <w:pPr>
        <w:spacing w:line="264" w:lineRule="auto"/>
        <w:rPr>
          <w:rFonts w:cs="Arial"/>
          <w:color w:val="5E10B1"/>
          <w:szCs w:val="18"/>
        </w:rPr>
      </w:pPr>
      <w:r>
        <w:rPr>
          <w:rFonts w:cs="Arial"/>
          <w:color w:val="5E10B1"/>
          <w:szCs w:val="18"/>
        </w:rPr>
        <w:t xml:space="preserve">Learning – skill building, particularly around financial confidence: </w:t>
      </w:r>
    </w:p>
    <w:p w:rsidR="007A16A8" w:rsidRPr="007F037A" w:rsidRDefault="004160AB" w:rsidP="00EC1CD6">
      <w:pPr>
        <w:pStyle w:val="ListParagraph"/>
        <w:numPr>
          <w:ilvl w:val="0"/>
          <w:numId w:val="2"/>
        </w:numPr>
        <w:spacing w:after="0" w:line="264" w:lineRule="auto"/>
        <w:ind w:left="238" w:hanging="238"/>
        <w:rPr>
          <w:rFonts w:ascii="Arial" w:hAnsi="Arial" w:cs="Arial"/>
          <w:sz w:val="18"/>
          <w:szCs w:val="18"/>
        </w:rPr>
      </w:pPr>
      <w:bookmarkStart w:id="3" w:name="_Hlk53043313"/>
      <w:r w:rsidRPr="007F037A">
        <w:rPr>
          <w:rFonts w:ascii="Arial" w:hAnsi="Arial" w:cs="Arial"/>
          <w:sz w:val="18"/>
          <w:szCs w:val="18"/>
        </w:rPr>
        <w:t xml:space="preserve">Reached 2.4 million people through financial capability interactions including live </w:t>
      </w:r>
      <w:proofErr w:type="spellStart"/>
      <w:r w:rsidRPr="007F037A">
        <w:rPr>
          <w:rFonts w:ascii="Arial" w:hAnsi="Arial" w:cs="Arial"/>
          <w:sz w:val="18"/>
          <w:szCs w:val="18"/>
        </w:rPr>
        <w:t>MoneySense</w:t>
      </w:r>
      <w:proofErr w:type="spellEnd"/>
      <w:r w:rsidRPr="007F037A">
        <w:rPr>
          <w:rFonts w:ascii="Arial" w:hAnsi="Arial" w:cs="Arial"/>
          <w:sz w:val="18"/>
          <w:szCs w:val="18"/>
        </w:rPr>
        <w:t xml:space="preserve"> lessons on social </w:t>
      </w:r>
      <w:proofErr w:type="gramStart"/>
      <w:r w:rsidRPr="007F037A">
        <w:rPr>
          <w:rFonts w:ascii="Arial" w:hAnsi="Arial" w:cs="Arial"/>
          <w:sz w:val="18"/>
          <w:szCs w:val="18"/>
        </w:rPr>
        <w:t>media</w:t>
      </w:r>
      <w:r w:rsidRPr="002C4978">
        <w:rPr>
          <w:rFonts w:ascii="Arial" w:hAnsi="Arial" w:cs="Arial"/>
          <w:position w:val="6"/>
          <w:sz w:val="12"/>
          <w:szCs w:val="12"/>
        </w:rPr>
        <w:t>(</w:t>
      </w:r>
      <w:proofErr w:type="gramEnd"/>
      <w:r w:rsidRPr="002C4978">
        <w:rPr>
          <w:rFonts w:ascii="Arial" w:hAnsi="Arial" w:cs="Arial"/>
          <w:position w:val="6"/>
          <w:sz w:val="12"/>
          <w:szCs w:val="12"/>
        </w:rPr>
        <w:t>6)</w:t>
      </w:r>
      <w:r w:rsidRPr="007F037A">
        <w:rPr>
          <w:rFonts w:ascii="Arial" w:hAnsi="Arial" w:cs="Arial"/>
          <w:sz w:val="18"/>
          <w:szCs w:val="18"/>
        </w:rPr>
        <w:t xml:space="preserve">. </w:t>
      </w:r>
    </w:p>
    <w:p w:rsidR="007A16A8" w:rsidRPr="007F037A" w:rsidRDefault="00FB32D6" w:rsidP="00EC1CD6">
      <w:pPr>
        <w:pStyle w:val="ListParagraph"/>
        <w:numPr>
          <w:ilvl w:val="0"/>
          <w:numId w:val="2"/>
        </w:numPr>
        <w:spacing w:after="0" w:line="264" w:lineRule="auto"/>
        <w:ind w:left="238" w:hanging="238"/>
        <w:rPr>
          <w:rFonts w:ascii="Arial" w:hAnsi="Arial" w:cs="Arial"/>
          <w:sz w:val="18"/>
          <w:szCs w:val="18"/>
        </w:rPr>
      </w:pPr>
      <w:r>
        <w:rPr>
          <w:rFonts w:ascii="Arial" w:hAnsi="Arial" w:cs="Arial"/>
          <w:sz w:val="18"/>
          <w:szCs w:val="18"/>
        </w:rPr>
        <w:t xml:space="preserve">Island Saver, the world’s first financial education console, PC and mobile game, has been downloaded over 1.7 million times since its </w:t>
      </w:r>
      <w:proofErr w:type="gramStart"/>
      <w:r>
        <w:rPr>
          <w:rFonts w:ascii="Arial" w:hAnsi="Arial" w:cs="Arial"/>
          <w:sz w:val="18"/>
          <w:szCs w:val="18"/>
        </w:rPr>
        <w:t>launch</w:t>
      </w:r>
      <w:r w:rsidR="004160AB" w:rsidRPr="002C4978">
        <w:rPr>
          <w:rFonts w:ascii="Arial" w:hAnsi="Arial" w:cs="Arial"/>
          <w:position w:val="6"/>
          <w:sz w:val="12"/>
          <w:szCs w:val="12"/>
        </w:rPr>
        <w:t>(</w:t>
      </w:r>
      <w:proofErr w:type="gramEnd"/>
      <w:r w:rsidR="004160AB" w:rsidRPr="002C4978">
        <w:rPr>
          <w:rFonts w:ascii="Arial" w:hAnsi="Arial" w:cs="Arial"/>
          <w:position w:val="6"/>
          <w:sz w:val="12"/>
          <w:szCs w:val="12"/>
        </w:rPr>
        <w:t>8)</w:t>
      </w:r>
      <w:r w:rsidR="004160AB" w:rsidRPr="007F037A">
        <w:rPr>
          <w:rFonts w:ascii="Arial" w:hAnsi="Arial" w:cs="Arial"/>
          <w:sz w:val="18"/>
          <w:szCs w:val="18"/>
        </w:rPr>
        <w:t xml:space="preserve">. </w:t>
      </w:r>
    </w:p>
    <w:bookmarkEnd w:id="3"/>
    <w:p w:rsidR="006E2B2B" w:rsidRPr="007A16A8" w:rsidRDefault="006E2B2B" w:rsidP="00EC1CD6">
      <w:pPr>
        <w:autoSpaceDE w:val="0"/>
        <w:autoSpaceDN w:val="0"/>
        <w:adjustRightInd w:val="0"/>
        <w:spacing w:line="264" w:lineRule="auto"/>
        <w:rPr>
          <w:rFonts w:cs="Arial"/>
          <w:b/>
          <w:color w:val="42145F"/>
          <w:sz w:val="8"/>
          <w:szCs w:val="8"/>
        </w:rPr>
      </w:pPr>
    </w:p>
    <w:p w:rsidR="006E2B2B" w:rsidRDefault="004160AB" w:rsidP="00EC1CD6">
      <w:pPr>
        <w:spacing w:line="264" w:lineRule="auto"/>
        <w:rPr>
          <w:rFonts w:cs="Arial"/>
          <w:color w:val="5E10B1"/>
          <w:szCs w:val="18"/>
        </w:rPr>
      </w:pPr>
      <w:bookmarkStart w:id="4" w:name="_Hlk53059394"/>
      <w:r>
        <w:rPr>
          <w:color w:val="5E10B1"/>
        </w:rPr>
        <w:t>Climate – supporting the necessary transition to a low carbon economy:</w:t>
      </w:r>
    </w:p>
    <w:p w:rsidR="008C2379" w:rsidRDefault="00FB32D6" w:rsidP="00EC1CD6">
      <w:pPr>
        <w:pStyle w:val="ListParagraph"/>
        <w:numPr>
          <w:ilvl w:val="0"/>
          <w:numId w:val="2"/>
        </w:numPr>
        <w:spacing w:after="0" w:line="264" w:lineRule="auto"/>
        <w:ind w:left="238" w:hanging="238"/>
        <w:rPr>
          <w:rFonts w:ascii="Arial" w:hAnsi="Arial" w:cs="Arial"/>
          <w:sz w:val="18"/>
          <w:szCs w:val="18"/>
        </w:rPr>
      </w:pPr>
      <w:r>
        <w:rPr>
          <w:rFonts w:ascii="Arial" w:hAnsi="Arial" w:cs="Arial"/>
          <w:sz w:val="18"/>
          <w:szCs w:val="18"/>
        </w:rPr>
        <w:t>As part of our membership of the Green Finance Institute’s ‘Coalition for the Energy Efficiency of Buildings’, we have signed up to their Green Home Retrofit Principles.</w:t>
      </w:r>
      <w:bookmarkStart w:id="5" w:name="_Hlk54184482"/>
    </w:p>
    <w:p w:rsidR="008C2379" w:rsidRPr="008C2379" w:rsidRDefault="004160AB" w:rsidP="00EC1CD6">
      <w:pPr>
        <w:pStyle w:val="ListParagraph"/>
        <w:numPr>
          <w:ilvl w:val="0"/>
          <w:numId w:val="2"/>
        </w:numPr>
        <w:spacing w:after="0" w:line="264" w:lineRule="auto"/>
        <w:ind w:left="238" w:hanging="238"/>
        <w:rPr>
          <w:rFonts w:ascii="Arial" w:hAnsi="Arial" w:cs="Arial"/>
          <w:sz w:val="18"/>
          <w:szCs w:val="18"/>
        </w:rPr>
      </w:pPr>
      <w:r w:rsidRPr="008C2379">
        <w:rPr>
          <w:rFonts w:ascii="Arial" w:hAnsi="Arial" w:cs="Arial"/>
          <w:sz w:val="18"/>
          <w:szCs w:val="18"/>
        </w:rPr>
        <w:t xml:space="preserve">Progress in sustainability has been recognised by leading ESG rating agencies: </w:t>
      </w:r>
      <w:proofErr w:type="spellStart"/>
      <w:r w:rsidRPr="008C2379">
        <w:rPr>
          <w:rFonts w:ascii="Arial" w:hAnsi="Arial" w:cs="Arial"/>
          <w:sz w:val="18"/>
          <w:szCs w:val="18"/>
        </w:rPr>
        <w:t>Sustainalytics</w:t>
      </w:r>
      <w:proofErr w:type="spellEnd"/>
      <w:r w:rsidRPr="008C2379">
        <w:rPr>
          <w:rFonts w:ascii="Arial" w:hAnsi="Arial" w:cs="Arial"/>
          <w:sz w:val="18"/>
          <w:szCs w:val="18"/>
        </w:rPr>
        <w:t xml:space="preserve"> substantially improved our Risk Score to 20.5 (from 27.5) in July 2020 and MSCI upgraded our ESG rating to A (from BBB) in October 2020.</w:t>
      </w:r>
      <w:bookmarkEnd w:id="5"/>
    </w:p>
    <w:p w:rsidR="006E2B2B" w:rsidRPr="007A16A8" w:rsidRDefault="006E2B2B" w:rsidP="00EC1CD6">
      <w:pPr>
        <w:spacing w:line="264" w:lineRule="auto"/>
        <w:rPr>
          <w:rFonts w:cs="Arial"/>
          <w:color w:val="5E10B1"/>
          <w:sz w:val="8"/>
          <w:szCs w:val="8"/>
        </w:rPr>
      </w:pPr>
    </w:p>
    <w:p w:rsidR="007A16A8" w:rsidRDefault="004160AB" w:rsidP="00EC1CD6">
      <w:pPr>
        <w:spacing w:line="264" w:lineRule="auto"/>
        <w:rPr>
          <w:rFonts w:cs="Arial"/>
          <w:color w:val="5E10B1"/>
          <w:szCs w:val="18"/>
        </w:rPr>
      </w:pPr>
      <w:bookmarkStart w:id="6" w:name="_Hlk53061601"/>
      <w:bookmarkEnd w:id="2"/>
      <w:bookmarkEnd w:id="4"/>
      <w:r>
        <w:rPr>
          <w:rFonts w:cs="Arial"/>
          <w:color w:val="5E10B1"/>
          <w:szCs w:val="18"/>
        </w:rPr>
        <w:t>Diversity and inclusion – building an open and inclusive bank where everyone can thrive:</w:t>
      </w:r>
    </w:p>
    <w:p w:rsidR="007A16A8" w:rsidRPr="007F037A" w:rsidRDefault="00F17BE9" w:rsidP="00EC1CD6">
      <w:pPr>
        <w:pStyle w:val="ListParagraph"/>
        <w:numPr>
          <w:ilvl w:val="0"/>
          <w:numId w:val="2"/>
        </w:numPr>
        <w:spacing w:after="0" w:line="264" w:lineRule="auto"/>
        <w:ind w:left="238" w:hanging="238"/>
        <w:rPr>
          <w:rFonts w:ascii="Arial" w:hAnsi="Arial" w:cs="Arial"/>
          <w:sz w:val="18"/>
          <w:szCs w:val="18"/>
        </w:rPr>
      </w:pPr>
      <w:bookmarkStart w:id="7" w:name="_Hlk54078170"/>
      <w:bookmarkEnd w:id="6"/>
      <w:r w:rsidRPr="007F037A">
        <w:rPr>
          <w:rFonts w:ascii="Arial" w:hAnsi="Arial" w:cs="Arial"/>
          <w:sz w:val="18"/>
          <w:szCs w:val="18"/>
        </w:rPr>
        <w:t xml:space="preserve">In addition to our existing target of at least 14% BAME representation in senior UK roles by 2025, we have introduced a new target to have 3% Black colleagues in senior UK roles by 2025. </w:t>
      </w:r>
    </w:p>
    <w:bookmarkEnd w:id="7"/>
    <w:p w:rsidR="007A16A8" w:rsidRPr="007F037A" w:rsidRDefault="004160AB" w:rsidP="00EC1CD6">
      <w:pPr>
        <w:pStyle w:val="ListParagraph"/>
        <w:numPr>
          <w:ilvl w:val="0"/>
          <w:numId w:val="2"/>
        </w:numPr>
        <w:spacing w:after="0" w:line="264" w:lineRule="auto"/>
        <w:ind w:left="238" w:hanging="238"/>
        <w:rPr>
          <w:rFonts w:ascii="Arial" w:hAnsi="Arial" w:cs="Arial"/>
          <w:sz w:val="18"/>
          <w:szCs w:val="18"/>
        </w:rPr>
      </w:pPr>
      <w:r w:rsidRPr="007F037A">
        <w:rPr>
          <w:rFonts w:ascii="Arial" w:hAnsi="Arial" w:cs="Arial"/>
          <w:sz w:val="18"/>
          <w:szCs w:val="18"/>
        </w:rPr>
        <w:t xml:space="preserve">Included in ‘The Times’ Top 50 employers for women. </w:t>
      </w:r>
    </w:p>
    <w:p w:rsidR="007A16A8" w:rsidRDefault="007A16A8" w:rsidP="007A16A8">
      <w:pPr>
        <w:rPr>
          <w:rFonts w:cs="Arial"/>
          <w:sz w:val="14"/>
          <w:szCs w:val="14"/>
        </w:rPr>
      </w:pPr>
    </w:p>
    <w:p w:rsidR="002A65E0" w:rsidRDefault="002A65E0" w:rsidP="007A16A8">
      <w:pPr>
        <w:rPr>
          <w:rFonts w:cs="Arial"/>
          <w:sz w:val="14"/>
          <w:szCs w:val="14"/>
        </w:rPr>
      </w:pPr>
    </w:p>
    <w:p w:rsidR="002A65E0" w:rsidRDefault="002A65E0" w:rsidP="007A16A8">
      <w:pPr>
        <w:rPr>
          <w:rFonts w:cs="Arial"/>
          <w:sz w:val="14"/>
          <w:szCs w:val="14"/>
        </w:rPr>
      </w:pPr>
    </w:p>
    <w:p w:rsidR="00FB32D6" w:rsidRDefault="004160AB" w:rsidP="00FB32D6">
      <w:pPr>
        <w:rPr>
          <w:rFonts w:cs="Arial"/>
          <w:sz w:val="14"/>
          <w:szCs w:val="14"/>
        </w:rPr>
      </w:pPr>
      <w:r>
        <w:rPr>
          <w:rFonts w:cs="Arial"/>
          <w:sz w:val="14"/>
          <w:szCs w:val="14"/>
        </w:rPr>
        <w:t xml:space="preserve">Notes: </w:t>
      </w:r>
    </w:p>
    <w:p w:rsidR="00EC1CD6" w:rsidRPr="002A65E0" w:rsidRDefault="004160AB" w:rsidP="000F7D55">
      <w:pPr>
        <w:pStyle w:val="ListParagraph"/>
        <w:numPr>
          <w:ilvl w:val="0"/>
          <w:numId w:val="3"/>
        </w:numPr>
        <w:rPr>
          <w:rFonts w:ascii="Arial" w:hAnsi="Arial" w:cs="Arial"/>
          <w:sz w:val="14"/>
          <w:szCs w:val="14"/>
        </w:rPr>
      </w:pPr>
      <w:r>
        <w:rPr>
          <w:rFonts w:ascii="Arial" w:hAnsi="Arial" w:cs="Arial"/>
          <w:sz w:val="14"/>
          <w:szCs w:val="14"/>
        </w:rPr>
        <w:t xml:space="preserve">As at 30 September 2020, inclusive of Commercial Banking and Private Banking: Bounce Back Loan Scheme (BBLS) – £7.9 billion; Coronavirus Business Interruption Loan Scheme (CBILS) – £3.9 billion, Coronavirus Large Business Interruption Loan Scheme (CLBILS) – £1.2 billion. </w:t>
      </w:r>
    </w:p>
    <w:p w:rsidR="00EC1CD6" w:rsidRPr="002A65E0" w:rsidRDefault="004160AB" w:rsidP="000F7D55">
      <w:pPr>
        <w:pStyle w:val="ListParagraph"/>
        <w:numPr>
          <w:ilvl w:val="0"/>
          <w:numId w:val="3"/>
        </w:numPr>
        <w:rPr>
          <w:rFonts w:ascii="Arial" w:hAnsi="Arial" w:cs="Arial"/>
          <w:sz w:val="14"/>
          <w:szCs w:val="14"/>
        </w:rPr>
      </w:pPr>
      <w:r>
        <w:rPr>
          <w:rFonts w:ascii="Arial" w:hAnsi="Arial" w:cs="Arial"/>
          <w:sz w:val="14"/>
          <w:szCs w:val="14"/>
        </w:rPr>
        <w:t>As at 30 September 2020.</w:t>
      </w:r>
    </w:p>
    <w:p w:rsidR="00EC1CD6" w:rsidRPr="002A65E0" w:rsidRDefault="004160AB" w:rsidP="000F7D55">
      <w:pPr>
        <w:pStyle w:val="ListParagraph"/>
        <w:numPr>
          <w:ilvl w:val="0"/>
          <w:numId w:val="3"/>
        </w:numPr>
        <w:rPr>
          <w:rFonts w:ascii="Arial" w:hAnsi="Arial" w:cs="Arial"/>
          <w:sz w:val="14"/>
          <w:szCs w:val="14"/>
        </w:rPr>
      </w:pPr>
      <w:r>
        <w:rPr>
          <w:rFonts w:ascii="Arial" w:hAnsi="Arial" w:cs="Arial"/>
          <w:sz w:val="14"/>
          <w:szCs w:val="14"/>
        </w:rPr>
        <w:t>For the nine months ended 30 September 2020 in Retail Banking and since 22 March 2020 in Commercial Banking. As at 30 September 2020, there were 37,000 active mortgage repayment holidays and approximately 55,000 active payment holidays on business customer accounts.</w:t>
      </w:r>
    </w:p>
    <w:p w:rsidR="00EC1CD6" w:rsidRPr="002A65E0" w:rsidRDefault="004160AB" w:rsidP="000F7D55">
      <w:pPr>
        <w:pStyle w:val="ListParagraph"/>
        <w:numPr>
          <w:ilvl w:val="0"/>
          <w:numId w:val="3"/>
        </w:numPr>
        <w:rPr>
          <w:rFonts w:ascii="Arial" w:hAnsi="Arial" w:cs="Arial"/>
          <w:sz w:val="14"/>
          <w:szCs w:val="14"/>
        </w:rPr>
      </w:pPr>
      <w:r w:rsidRPr="002A65E0">
        <w:rPr>
          <w:rFonts w:ascii="Arial" w:hAnsi="Arial" w:cs="Arial"/>
          <w:sz w:val="14"/>
          <w:szCs w:val="14"/>
        </w:rPr>
        <w:t>From launch date of 19 August 2020 to 9 October 2020.</w:t>
      </w:r>
    </w:p>
    <w:p w:rsidR="00EC1CD6" w:rsidRDefault="004160AB" w:rsidP="000F7D55">
      <w:pPr>
        <w:pStyle w:val="ListParagraph"/>
        <w:numPr>
          <w:ilvl w:val="0"/>
          <w:numId w:val="3"/>
        </w:numPr>
        <w:rPr>
          <w:rFonts w:ascii="Arial" w:hAnsi="Arial" w:cs="Arial"/>
          <w:sz w:val="14"/>
          <w:szCs w:val="14"/>
        </w:rPr>
      </w:pPr>
      <w:r>
        <w:rPr>
          <w:rFonts w:ascii="Arial" w:hAnsi="Arial" w:cs="Arial"/>
          <w:sz w:val="14"/>
          <w:szCs w:val="14"/>
        </w:rPr>
        <w:t>Weekly conversation volumes, as at week commencing 12 October 2020.</w:t>
      </w:r>
    </w:p>
    <w:p w:rsidR="00AA39C0" w:rsidRPr="00AA39C0" w:rsidRDefault="004160AB" w:rsidP="000F7D55">
      <w:pPr>
        <w:pStyle w:val="ListParagraph"/>
        <w:numPr>
          <w:ilvl w:val="0"/>
          <w:numId w:val="3"/>
        </w:numPr>
        <w:spacing w:after="0"/>
        <w:rPr>
          <w:rFonts w:ascii="Arial" w:hAnsi="Arial" w:cs="Arial"/>
          <w:sz w:val="14"/>
          <w:szCs w:val="14"/>
        </w:rPr>
      </w:pPr>
      <w:r w:rsidRPr="002A65E0">
        <w:rPr>
          <w:rFonts w:ascii="Arial" w:hAnsi="Arial" w:cs="Arial"/>
          <w:sz w:val="14"/>
          <w:szCs w:val="14"/>
        </w:rPr>
        <w:t>For the nine months ended 30 September 2020.</w:t>
      </w:r>
    </w:p>
    <w:p w:rsidR="00AA39C0" w:rsidRPr="00AA39C0" w:rsidRDefault="004160AB" w:rsidP="000F7D55">
      <w:pPr>
        <w:pStyle w:val="ListParagraph"/>
        <w:numPr>
          <w:ilvl w:val="0"/>
          <w:numId w:val="3"/>
        </w:numPr>
        <w:spacing w:after="0"/>
        <w:rPr>
          <w:rFonts w:ascii="Arial" w:hAnsi="Arial" w:cs="Arial"/>
          <w:sz w:val="14"/>
          <w:szCs w:val="14"/>
        </w:rPr>
      </w:pPr>
      <w:proofErr w:type="spellStart"/>
      <w:r>
        <w:rPr>
          <w:rFonts w:ascii="Arial" w:hAnsi="Arial" w:cs="Arial"/>
          <w:sz w:val="14"/>
          <w:szCs w:val="14"/>
        </w:rPr>
        <w:t>Beauhurst</w:t>
      </w:r>
      <w:proofErr w:type="spellEnd"/>
      <w:r>
        <w:rPr>
          <w:rFonts w:ascii="Arial" w:hAnsi="Arial" w:cs="Arial"/>
          <w:sz w:val="14"/>
          <w:szCs w:val="14"/>
        </w:rPr>
        <w:t xml:space="preserve"> report ‘Accelerating Growth’- September 2020.</w:t>
      </w:r>
    </w:p>
    <w:p w:rsidR="00990046" w:rsidRPr="009153F2" w:rsidRDefault="004160AB" w:rsidP="000F7D55">
      <w:pPr>
        <w:pStyle w:val="ListParagraph"/>
        <w:numPr>
          <w:ilvl w:val="0"/>
          <w:numId w:val="3"/>
        </w:numPr>
        <w:rPr>
          <w:rFonts w:ascii="Arial" w:hAnsi="Arial" w:cs="Arial"/>
          <w:sz w:val="14"/>
          <w:szCs w:val="14"/>
        </w:rPr>
        <w:sectPr w:rsidR="00990046" w:rsidRPr="009153F2" w:rsidSect="002F5F3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851" w:bottom="680" w:left="851" w:header="708" w:footer="708" w:gutter="0"/>
          <w:pgNumType w:start="1"/>
          <w:cols w:space="708"/>
          <w:docGrid w:linePitch="360"/>
        </w:sectPr>
      </w:pPr>
      <w:r>
        <w:rPr>
          <w:rFonts w:ascii="Arial" w:hAnsi="Arial" w:cs="Arial"/>
          <w:sz w:val="14"/>
          <w:szCs w:val="14"/>
        </w:rPr>
        <w:t>From launch date of 13 May 2020 to 30 September 2020.</w:t>
      </w:r>
    </w:p>
    <w:p w:rsidR="00E1442D" w:rsidRPr="00832875" w:rsidRDefault="004160AB" w:rsidP="00E1442D">
      <w:pPr>
        <w:pStyle w:val="Heading1"/>
        <w:rPr>
          <w:rFonts w:cs="Arial"/>
          <w:color w:val="42145F"/>
          <w:szCs w:val="20"/>
        </w:rPr>
      </w:pPr>
      <w:bookmarkStart w:id="8" w:name="Analysis_of_results"/>
      <w:r w:rsidRPr="00832875">
        <w:rPr>
          <w:rFonts w:cs="Arial"/>
          <w:color w:val="42145F"/>
          <w:szCs w:val="20"/>
        </w:rPr>
        <w:lastRenderedPageBreak/>
        <w:t>Business performance summary</w:t>
      </w:r>
    </w:p>
    <w:bookmarkEnd w:id="8"/>
    <w:p w:rsidR="00E1442D" w:rsidRDefault="00E1442D"/>
    <w:tbl>
      <w:tblPr>
        <w:tblStyle w:val="table"/>
        <w:tblW w:w="10080" w:type="dxa"/>
        <w:tblInd w:w="5" w:type="dxa"/>
        <w:tblCellMar>
          <w:left w:w="0" w:type="dxa"/>
          <w:right w:w="0" w:type="dxa"/>
        </w:tblCellMar>
        <w:tblLook w:val="05E0" w:firstRow="1" w:lastRow="1" w:firstColumn="1" w:lastColumn="1" w:noHBand="0" w:noVBand="1"/>
      </w:tblPr>
      <w:tblGrid>
        <w:gridCol w:w="4260"/>
        <w:gridCol w:w="1260"/>
        <w:gridCol w:w="1110"/>
        <w:gridCol w:w="60"/>
        <w:gridCol w:w="1260"/>
        <w:gridCol w:w="1035"/>
        <w:gridCol w:w="1110"/>
      </w:tblGrid>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2370" w:type="dxa"/>
            <w:gridSpan w:val="2"/>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Nine months ended</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346D"/>
                <w:sz w:val="16"/>
                <w:szCs w:val="16"/>
              </w:rPr>
            </w:pPr>
          </w:p>
        </w:tc>
        <w:tc>
          <w:tcPr>
            <w:tcW w:w="3405" w:type="dxa"/>
            <w:gridSpan w:val="3"/>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346D"/>
                <w:sz w:val="16"/>
                <w:szCs w:val="16"/>
              </w:rPr>
            </w:pPr>
          </w:p>
        </w:tc>
        <w:tc>
          <w:tcPr>
            <w:tcW w:w="1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0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r>
      <w:tr w:rsidR="00130A6D">
        <w:trPr>
          <w:trHeight w:val="195"/>
        </w:trPr>
        <w:tc>
          <w:tcPr>
            <w:tcW w:w="42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Performance key metrics and ratios</w:t>
            </w:r>
          </w:p>
        </w:tc>
        <w:tc>
          <w:tcPr>
            <w:tcW w:w="12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346D"/>
                <w:sz w:val="16"/>
                <w:szCs w:val="16"/>
              </w:rPr>
            </w:pPr>
          </w:p>
        </w:tc>
        <w:tc>
          <w:tcPr>
            <w:tcW w:w="12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0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Profit before impairment losses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£2,697m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£3,222m</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346D"/>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£609m</w:t>
            </w:r>
          </w:p>
        </w:tc>
        <w:tc>
          <w:tcPr>
            <w:tcW w:w="1035" w:type="dxa"/>
            <w:tcBorders>
              <w:top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£767m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£205m</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Operating (loss)/profit before tax</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(£415m)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£2,686m</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£355m</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(£1,289m)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(£8m)</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(Loss)/profit attributable to ordinary shareholders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(£644m)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£1,723m</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£61m</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(£993m)</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(£315m)</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 xml:space="preserve">Bank net interest margin </w:t>
            </w: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30"/>
              </w:rPr>
              <w:t xml:space="preserve"> (NatWest Group NIM excluding NWM) </w:t>
            </w:r>
            <w:r>
              <w:rPr>
                <w:rStyle w:val="font69"/>
              </w:rPr>
              <w:t>(1)</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2.02%</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1.97%</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 xml:space="preserve">Bank average interest earning assets </w:t>
            </w: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30"/>
                <w:rFonts w:ascii="Times New Roman" w:eastAsia="Times New Roman" w:hAnsi="Times New Roman" w:cs="Times New Roman"/>
              </w:rPr>
              <w:t xml:space="preserve">  </w:t>
            </w:r>
            <w:r>
              <w:rPr>
                <w:rStyle w:val="font30"/>
              </w:rPr>
              <w:t xml:space="preserve">(NatWest Group excluding NWM) </w:t>
            </w:r>
            <w:r>
              <w:rPr>
                <w:rStyle w:val="font69"/>
              </w:rPr>
              <w:t>(1)</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£449bn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£410bn</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£468bn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£458bn</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£416bn</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proofErr w:type="spellStart"/>
            <w:r>
              <w:rPr>
                <w:rStyle w:val="font30"/>
              </w:rPr>
              <w:t>Cost:income</w:t>
            </w:r>
            <w:proofErr w:type="spellEnd"/>
            <w:r>
              <w:rPr>
                <w:rStyle w:val="font30"/>
              </w:rPr>
              <w:t xml:space="preserve"> ratio </w:t>
            </w:r>
            <w:r>
              <w:rPr>
                <w:rStyle w:val="font69"/>
              </w:rPr>
              <w:t>(1)</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67.5%</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74.5%</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70.9%</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92.9%</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2"/>
              </w:rPr>
              <w:t>Loan impairment rate</w:t>
            </w:r>
            <w:r>
              <w:rPr>
                <w:rStyle w:val="font4"/>
              </w:rPr>
              <w:t> (1)</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115bps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22bps</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28bps</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229bps</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26bps</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Earnings per share</w:t>
            </w: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basic</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(5.3p)</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14.3p</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0.5p</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(8.2p)</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(2.6p)</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basic fully diluted</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(5.3p)</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14.2p</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0.5p</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(8.2p)</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(2.6p)</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30"/>
              </w:rPr>
              <w:t xml:space="preserve">Return on tangible equity </w:t>
            </w:r>
            <w:r>
              <w:rPr>
                <w:rStyle w:val="font69"/>
              </w:rPr>
              <w:t>(1)</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6.8%</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0.8%</w:t>
            </w:r>
          </w:p>
        </w:tc>
        <w:tc>
          <w:tcPr>
            <w:tcW w:w="10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Average tangible equity</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£32bn</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£34bn</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£32bn</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£33bn</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Average number of ordinary shares</w:t>
            </w: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outstanding during the period (millions)</w:t>
            </w: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basic</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12,090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12,064</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12,110</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12,085</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12,075</w:t>
            </w:r>
          </w:p>
        </w:tc>
      </w:tr>
      <w:tr w:rsidR="00130A6D">
        <w:trPr>
          <w:trHeight w:val="195"/>
        </w:trPr>
        <w:tc>
          <w:tcPr>
            <w:tcW w:w="42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30"/>
                <w:rFonts w:ascii="Times New Roman" w:eastAsia="Times New Roman" w:hAnsi="Times New Roman" w:cs="Times New Roman"/>
              </w:rPr>
              <w:t xml:space="preserve">  </w:t>
            </w:r>
            <w:r>
              <w:rPr>
                <w:rStyle w:val="font30"/>
              </w:rPr>
              <w:t xml:space="preserve">- fully diluted </w:t>
            </w:r>
            <w:r>
              <w:rPr>
                <w:rStyle w:val="font69"/>
              </w:rPr>
              <w:t>(2)</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12,112</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12,099</w:t>
            </w: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12,133</w:t>
            </w:r>
          </w:p>
        </w:tc>
        <w:tc>
          <w:tcPr>
            <w:tcW w:w="103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12,107</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12,106</w:t>
            </w:r>
          </w:p>
        </w:tc>
      </w:tr>
    </w:tbl>
    <w:p w:rsidR="004774C2" w:rsidRDefault="004774C2" w:rsidP="00E1442D">
      <w:pPr>
        <w:pStyle w:val="Normal200"/>
        <w:rPr>
          <w:rFonts w:eastAsia="SimSun"/>
          <w:noProof/>
          <w:color w:val="000000"/>
          <w:sz w:val="14"/>
          <w:szCs w:val="14"/>
        </w:rPr>
      </w:pPr>
    </w:p>
    <w:tbl>
      <w:tblPr>
        <w:tblStyle w:val="table"/>
        <w:tblW w:w="10120" w:type="dxa"/>
        <w:tblInd w:w="5" w:type="dxa"/>
        <w:tblCellMar>
          <w:left w:w="0" w:type="dxa"/>
          <w:right w:w="0" w:type="dxa"/>
        </w:tblCellMar>
        <w:tblLook w:val="05E0" w:firstRow="1" w:lastRow="1" w:firstColumn="1" w:lastColumn="1" w:noHBand="0" w:noVBand="1"/>
      </w:tblPr>
      <w:tblGrid>
        <w:gridCol w:w="6735"/>
        <w:gridCol w:w="1260"/>
        <w:gridCol w:w="1035"/>
        <w:gridCol w:w="1095"/>
      </w:tblGrid>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0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09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210"/>
        </w:trPr>
        <w:tc>
          <w:tcPr>
            <w:tcW w:w="673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Balance sheet key metrics and ratios</w:t>
            </w:r>
          </w:p>
        </w:tc>
        <w:tc>
          <w:tcPr>
            <w:tcW w:w="12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0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09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 assets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£791.6bn</w:t>
            </w:r>
          </w:p>
        </w:tc>
        <w:tc>
          <w:tcPr>
            <w:tcW w:w="1035" w:type="dxa"/>
            <w:tcBorders>
              <w:top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£806.9bn</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£723.0bn</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2"/>
              </w:rPr>
              <w:t xml:space="preserve">Funded assets </w:t>
            </w:r>
            <w:r>
              <w:rPr>
                <w:rStyle w:val="font4"/>
              </w:rPr>
              <w:t>(1)</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£627.3bn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£623.5bn</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£573.0bn</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Loans to customers - amortised cost</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£353.7bn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£352.3bn</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£326.9bn</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£6.1bn</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£3.7bn</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£418.4bn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£408.3bn</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£369.2bn</w:t>
            </w:r>
          </w:p>
        </w:tc>
      </w:tr>
      <w:tr w:rsidR="00130A6D">
        <w:trPr>
          <w:trHeight w:val="270"/>
        </w:trPr>
        <w:tc>
          <w:tcPr>
            <w:tcW w:w="67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c>
          <w:tcPr>
            <w:tcW w:w="109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Liquidity coverage ratio (LCR)</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157%</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166%</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152%</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Liquidity portfolio</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£243bn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£243bn</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£199bn</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2"/>
              </w:rPr>
              <w:t xml:space="preserve">Net stable funding ratio (NSFR) </w:t>
            </w:r>
            <w:r>
              <w:rPr>
                <w:rStyle w:val="font69"/>
              </w:rPr>
              <w:t>(3)</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147%</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144%</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141%</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proofErr w:type="spellStart"/>
            <w:r>
              <w:rPr>
                <w:rStyle w:val="font2"/>
              </w:rPr>
              <w:t>Loan:deposit</w:t>
            </w:r>
            <w:proofErr w:type="spellEnd"/>
            <w:r>
              <w:rPr>
                <w:rStyle w:val="font2"/>
              </w:rPr>
              <w:t xml:space="preserve"> ratio </w:t>
            </w:r>
            <w:r>
              <w:rPr>
                <w:rStyle w:val="font69"/>
              </w:rPr>
              <w:t>(1)</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86%</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89%</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 wholesale funding</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£86bn</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£75bn</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Short-term wholesale funding</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£22bn</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£19bn</w:t>
            </w:r>
          </w:p>
        </w:tc>
      </w:tr>
      <w:tr w:rsidR="00130A6D">
        <w:trPr>
          <w:trHeight w:val="270"/>
        </w:trPr>
        <w:tc>
          <w:tcPr>
            <w:tcW w:w="67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c>
          <w:tcPr>
            <w:tcW w:w="109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2"/>
              </w:rPr>
              <w:t>Common Equity Tier (CET1) ratio</w:t>
            </w:r>
            <w:r>
              <w:rPr>
                <w:rStyle w:val="font4"/>
              </w:rPr>
              <w:t> (4)</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18.2%</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17.2%</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16.2%</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 capital ratio</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23.7%</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22.5%</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21.2%</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2"/>
              </w:rPr>
              <w:t>Pro forma CET1 ratio, pre dividend accrual</w:t>
            </w:r>
            <w:r>
              <w:rPr>
                <w:rStyle w:val="font4"/>
              </w:rPr>
              <w:t xml:space="preserve"> </w:t>
            </w:r>
            <w:r>
              <w:rPr>
                <w:rStyle w:val="font69"/>
              </w:rPr>
              <w:t>(5)</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18.2%</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17.2%</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17.0%</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Risk-weighted assets (RWAs)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£173.9bn</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£181.5bn</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£179.2bn</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CRR leverage ratio</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5.2%</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5.1%</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5.1%</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UK leverage ratio</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5.8%</w:t>
            </w:r>
          </w:p>
        </w:tc>
      </w:tr>
      <w:tr w:rsidR="00130A6D">
        <w:trPr>
          <w:trHeight w:val="270"/>
        </w:trPr>
        <w:tc>
          <w:tcPr>
            <w:tcW w:w="67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c>
          <w:tcPr>
            <w:tcW w:w="109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22"/>
              </w:rPr>
            </w:pP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Tangible net asset value (TNAV) per ordinary share</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265p</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264p</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268p</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2"/>
              </w:rPr>
              <w:t xml:space="preserve">Tangible net asset value (TNAV) per ordinary share - fully diluted </w:t>
            </w:r>
            <w:r>
              <w:rPr>
                <w:rStyle w:val="font69"/>
              </w:rPr>
              <w:t>(1,2)</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264p</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263p</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267p</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Tangible equity</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£32,093m</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£32,006m</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£32,371m</w:t>
            </w:r>
          </w:p>
        </w:tc>
      </w:tr>
      <w:tr w:rsidR="00130A6D">
        <w:trPr>
          <w:trHeight w:val="210"/>
        </w:trPr>
        <w:tc>
          <w:tcPr>
            <w:tcW w:w="67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Number of ordinary shares in issue (millions)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12,127</w:t>
            </w:r>
          </w:p>
        </w:tc>
        <w:tc>
          <w:tcPr>
            <w:tcW w:w="103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12,125</w:t>
            </w:r>
          </w:p>
        </w:tc>
        <w:tc>
          <w:tcPr>
            <w:tcW w:w="109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12,094</w:t>
            </w:r>
          </w:p>
        </w:tc>
      </w:tr>
      <w:tr w:rsidR="00130A6D">
        <w:trPr>
          <w:trHeight w:val="210"/>
        </w:trPr>
        <w:tc>
          <w:tcPr>
            <w:tcW w:w="673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2"/>
              </w:rPr>
              <w:t xml:space="preserve">Number of ordinary shares in issue (millions) - fully diluted </w:t>
            </w:r>
            <w:r>
              <w:rPr>
                <w:rStyle w:val="font69"/>
              </w:rPr>
              <w:t>(2,6)</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12,149</w:t>
            </w:r>
          </w:p>
        </w:tc>
        <w:tc>
          <w:tcPr>
            <w:tcW w:w="103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12,147</w:t>
            </w:r>
          </w:p>
        </w:tc>
        <w:tc>
          <w:tcPr>
            <w:tcW w:w="109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12,138</w:t>
            </w:r>
          </w:p>
        </w:tc>
      </w:tr>
    </w:tbl>
    <w:p w:rsidR="00D942BD" w:rsidRDefault="00D942BD" w:rsidP="00E1442D">
      <w:pPr>
        <w:pStyle w:val="Normal200"/>
        <w:rPr>
          <w:rFonts w:eastAsia="SimSun"/>
          <w:noProof/>
          <w:color w:val="000000"/>
          <w:sz w:val="14"/>
          <w:szCs w:val="14"/>
        </w:rPr>
      </w:pPr>
    </w:p>
    <w:p w:rsidR="00016FDD" w:rsidRPr="000C53A8" w:rsidRDefault="004160AB" w:rsidP="00016FDD">
      <w:pPr>
        <w:pStyle w:val="Normal201"/>
        <w:spacing w:line="276" w:lineRule="auto"/>
        <w:rPr>
          <w:rFonts w:eastAsia="SimSun"/>
          <w:noProof/>
          <w:color w:val="000000"/>
          <w:sz w:val="14"/>
          <w:szCs w:val="14"/>
        </w:rPr>
      </w:pPr>
      <w:r w:rsidRPr="001A7AD7">
        <w:rPr>
          <w:rFonts w:eastAsia="SimSun"/>
          <w:noProof/>
          <w:color w:val="000000"/>
          <w:sz w:val="14"/>
          <w:szCs w:val="14"/>
        </w:rPr>
        <w:t>Notes:</w:t>
      </w:r>
    </w:p>
    <w:p w:rsidR="00FD343A" w:rsidRPr="000C53A8" w:rsidRDefault="004160AB" w:rsidP="00FD343A">
      <w:pPr>
        <w:pStyle w:val="Normal201"/>
        <w:numPr>
          <w:ilvl w:val="0"/>
          <w:numId w:val="4"/>
        </w:numPr>
        <w:spacing w:line="276" w:lineRule="auto"/>
        <w:rPr>
          <w:rFonts w:eastAsia="SimSun"/>
          <w:noProof/>
          <w:color w:val="000000"/>
          <w:sz w:val="14"/>
          <w:szCs w:val="14"/>
        </w:rPr>
      </w:pPr>
      <w:r w:rsidRPr="000C53A8">
        <w:rPr>
          <w:rFonts w:eastAsia="SimSun"/>
          <w:sz w:val="14"/>
          <w:szCs w:val="14"/>
          <w:lang w:eastAsia="en-US"/>
        </w:rPr>
        <w:t xml:space="preserve">Refer to the Appendix for details of basis of preparation and reconciliation of non-IFRS financial and performance measures. </w:t>
      </w:r>
    </w:p>
    <w:p w:rsidR="00FD343A" w:rsidRPr="000C53A8" w:rsidRDefault="004160AB" w:rsidP="00FD343A">
      <w:pPr>
        <w:pStyle w:val="Normal201"/>
        <w:numPr>
          <w:ilvl w:val="0"/>
          <w:numId w:val="4"/>
        </w:numPr>
        <w:spacing w:line="276" w:lineRule="auto"/>
        <w:rPr>
          <w:rFonts w:eastAsia="SimSun"/>
          <w:noProof/>
          <w:color w:val="000000"/>
          <w:sz w:val="14"/>
          <w:szCs w:val="14"/>
        </w:rPr>
      </w:pPr>
      <w:r w:rsidRPr="000C53A8">
        <w:rPr>
          <w:sz w:val="14"/>
          <w:szCs w:val="14"/>
          <w:lang w:eastAsia="en-US"/>
        </w:rPr>
        <w:t>Includes the effect of dilutive share options and convertible securities. Dilutive shares on an average basis for the nine months ended 30 September 2020 were 22 million shares; Q3 2020 -  23 million shares (nine months ended 30 September 2019 - 35 million shares; Q2 2020 - 22 million shares; Q3 2019 - 31 million shares) and as at 30 September 2020 were 22 million shares (as at 30 June 2020 - 22 million shares; as at 31 December 2019 - 44 million shares).</w:t>
      </w:r>
    </w:p>
    <w:p w:rsidR="00FD343A" w:rsidRPr="000C53A8" w:rsidRDefault="004160AB" w:rsidP="00FD343A">
      <w:pPr>
        <w:pStyle w:val="Normal201"/>
        <w:numPr>
          <w:ilvl w:val="0"/>
          <w:numId w:val="4"/>
        </w:numPr>
        <w:spacing w:line="276" w:lineRule="auto"/>
        <w:rPr>
          <w:rFonts w:eastAsia="SimSun"/>
          <w:sz w:val="14"/>
          <w:szCs w:val="14"/>
          <w:lang w:eastAsia="en-US"/>
        </w:rPr>
      </w:pPr>
      <w:r w:rsidRPr="000C53A8">
        <w:rPr>
          <w:rFonts w:eastAsia="SimSun"/>
          <w:sz w:val="14"/>
          <w:szCs w:val="14"/>
          <w:lang w:eastAsia="en-US"/>
        </w:rPr>
        <w:t>NSFR reported in line with CRR2 regulations finalised in June 2019.</w:t>
      </w:r>
    </w:p>
    <w:p w:rsidR="00FD343A" w:rsidRPr="000C53A8" w:rsidRDefault="004160AB" w:rsidP="00FD343A">
      <w:pPr>
        <w:pStyle w:val="Normal201"/>
        <w:numPr>
          <w:ilvl w:val="0"/>
          <w:numId w:val="4"/>
        </w:numPr>
        <w:spacing w:line="276" w:lineRule="auto"/>
        <w:rPr>
          <w:rFonts w:eastAsia="SimSun"/>
          <w:sz w:val="14"/>
          <w:szCs w:val="14"/>
          <w:lang w:eastAsia="en-US"/>
        </w:rPr>
      </w:pPr>
      <w:r w:rsidRPr="000C53A8">
        <w:rPr>
          <w:sz w:val="14"/>
          <w:szCs w:val="14"/>
        </w:rPr>
        <w:t>At September and June 2020 there is no charge in CET1 for foreseeable dividends or charges. The pro forma CET1 ratio at 31 December 2019 excluded foreseeable charges of £968 million for ordinary dividends (3p per share final dividend and 5p per share special dividend) and £365 million pension contribution.</w:t>
      </w:r>
    </w:p>
    <w:p w:rsidR="00FD343A" w:rsidRPr="000C53A8" w:rsidRDefault="004160AB" w:rsidP="00FD343A">
      <w:pPr>
        <w:pStyle w:val="Normal201"/>
        <w:numPr>
          <w:ilvl w:val="0"/>
          <w:numId w:val="4"/>
        </w:numPr>
        <w:spacing w:line="276" w:lineRule="auto"/>
        <w:rPr>
          <w:rFonts w:eastAsia="SimSun"/>
          <w:sz w:val="14"/>
          <w:szCs w:val="14"/>
          <w:lang w:eastAsia="en-US"/>
        </w:rPr>
      </w:pPr>
      <w:r w:rsidRPr="000C53A8">
        <w:rPr>
          <w:sz w:val="14"/>
          <w:szCs w:val="14"/>
        </w:rPr>
        <w:t>Based on CRR end point including the IFRS 9 transitional adjustment of £1.7 billion. Excluding this adjustment, the CET1 ratio would be 17.2%.</w:t>
      </w:r>
    </w:p>
    <w:p w:rsidR="00016FDD" w:rsidRPr="000C53A8" w:rsidRDefault="004160AB" w:rsidP="00FD343A">
      <w:pPr>
        <w:pStyle w:val="ListParagraph0"/>
        <w:numPr>
          <w:ilvl w:val="0"/>
          <w:numId w:val="4"/>
        </w:numPr>
        <w:autoSpaceDE w:val="0"/>
        <w:autoSpaceDN w:val="0"/>
        <w:rPr>
          <w:rFonts w:eastAsia="SimSun" w:cs="Arial"/>
          <w:sz w:val="14"/>
          <w:szCs w:val="14"/>
        </w:rPr>
      </w:pPr>
      <w:r w:rsidRPr="000C53A8">
        <w:rPr>
          <w:rFonts w:cs="Arial"/>
          <w:sz w:val="14"/>
          <w:szCs w:val="14"/>
        </w:rPr>
        <w:t>Includes 16 million shares held by the Employee Benefit Trust (30 June 2020 - 16 million shares; 31 December 2019 - 15 million shares).</w:t>
      </w:r>
    </w:p>
    <w:p w:rsidR="00016FDD" w:rsidRDefault="004160AB" w:rsidP="00016FDD">
      <w:pPr>
        <w:pStyle w:val="Normal201"/>
        <w:tabs>
          <w:tab w:val="left" w:pos="1515"/>
        </w:tabs>
        <w:spacing w:line="276" w:lineRule="auto"/>
        <w:rPr>
          <w:rFonts w:eastAsia="SimSun"/>
          <w:noProof/>
          <w:color w:val="000000"/>
          <w:sz w:val="14"/>
          <w:szCs w:val="14"/>
        </w:rPr>
      </w:pPr>
      <w:r>
        <w:rPr>
          <w:rFonts w:eastAsia="SimSun"/>
          <w:noProof/>
          <w:color w:val="000000"/>
          <w:sz w:val="14"/>
          <w:szCs w:val="14"/>
        </w:rPr>
        <w:tab/>
      </w:r>
    </w:p>
    <w:p w:rsidR="00016FDD" w:rsidRPr="00207CB0" w:rsidRDefault="00016FDD" w:rsidP="00016FDD">
      <w:pPr>
        <w:pStyle w:val="Normal201"/>
        <w:autoSpaceDE w:val="0"/>
        <w:autoSpaceDN w:val="0"/>
        <w:adjustRightInd w:val="0"/>
        <w:spacing w:line="276" w:lineRule="auto"/>
        <w:rPr>
          <w:rFonts w:eastAsia="Times New Roman"/>
          <w:color w:val="5E10B1"/>
          <w:sz w:val="18"/>
          <w:szCs w:val="18"/>
        </w:rPr>
      </w:pPr>
    </w:p>
    <w:p w:rsidR="00016FDD" w:rsidRPr="00207CB0" w:rsidRDefault="004160AB" w:rsidP="00016FDD">
      <w:pPr>
        <w:pStyle w:val="Normal201"/>
        <w:autoSpaceDE w:val="0"/>
        <w:autoSpaceDN w:val="0"/>
        <w:adjustRightInd w:val="0"/>
        <w:spacing w:line="276" w:lineRule="auto"/>
        <w:rPr>
          <w:rFonts w:eastAsia="Times New Roman"/>
          <w:color w:val="5E10B1"/>
          <w:sz w:val="18"/>
          <w:szCs w:val="18"/>
        </w:rPr>
      </w:pPr>
      <w:r w:rsidRPr="00207CB0">
        <w:rPr>
          <w:rFonts w:eastAsia="Times New Roman"/>
          <w:color w:val="5E10B1"/>
          <w:sz w:val="18"/>
          <w:szCs w:val="18"/>
        </w:rPr>
        <w:t>Non-IFRS financial measures</w:t>
      </w:r>
    </w:p>
    <w:p w:rsidR="00016FDD" w:rsidRPr="00207CB0" w:rsidRDefault="004160AB" w:rsidP="00016FDD">
      <w:pPr>
        <w:pStyle w:val="Normal201"/>
        <w:autoSpaceDE w:val="0"/>
        <w:autoSpaceDN w:val="0"/>
        <w:adjustRightInd w:val="0"/>
        <w:spacing w:line="276" w:lineRule="auto"/>
        <w:rPr>
          <w:rFonts w:eastAsia="Times New Roman"/>
          <w:color w:val="000000"/>
          <w:sz w:val="18"/>
          <w:szCs w:val="18"/>
        </w:rPr>
      </w:pPr>
      <w:r w:rsidRPr="00207CB0">
        <w:rPr>
          <w:rFonts w:eastAsia="Times New Roman"/>
          <w:color w:val="000000"/>
          <w:sz w:val="18"/>
          <w:szCs w:val="18"/>
        </w:rPr>
        <w:t xml:space="preserve">This document contains </w:t>
      </w:r>
      <w:proofErr w:type="gramStart"/>
      <w:r w:rsidRPr="00207CB0">
        <w:rPr>
          <w:rFonts w:eastAsia="Times New Roman"/>
          <w:color w:val="000000"/>
          <w:sz w:val="18"/>
          <w:szCs w:val="18"/>
        </w:rPr>
        <w:t>a number of</w:t>
      </w:r>
      <w:proofErr w:type="gramEnd"/>
      <w:r w:rsidRPr="00207CB0">
        <w:rPr>
          <w:rFonts w:eastAsia="Times New Roman"/>
          <w:color w:val="000000"/>
          <w:sz w:val="18"/>
          <w:szCs w:val="18"/>
        </w:rPr>
        <w:t xml:space="preserve"> non-IFRS financial measures and performance metrics not defined under IFRS. For details of the basis of preparation and reconciliations, where applicable, refer to the Appendix.</w:t>
      </w:r>
    </w:p>
    <w:p w:rsidR="00016FDD" w:rsidRPr="00207CB0" w:rsidRDefault="004160AB">
      <w:pPr>
        <w:spacing w:after="200"/>
        <w:rPr>
          <w:rFonts w:eastAsia="Arial" w:cs="Arial"/>
          <w:b/>
          <w:color w:val="003366"/>
          <w:szCs w:val="18"/>
        </w:rPr>
      </w:pPr>
      <w:r w:rsidRPr="00207CB0">
        <w:rPr>
          <w:rFonts w:eastAsia="Arial" w:cs="Arial"/>
          <w:b/>
          <w:color w:val="003366"/>
          <w:szCs w:val="18"/>
        </w:rPr>
        <w:br w:type="page"/>
      </w:r>
    </w:p>
    <w:p w:rsidR="00E1442D" w:rsidRPr="00207CB0" w:rsidRDefault="00F91CF0">
      <w:pPr>
        <w:rPr>
          <w:rFonts w:eastAsia="Arial" w:cs="Arial"/>
          <w:b/>
          <w:color w:val="42145F"/>
          <w:szCs w:val="20"/>
        </w:rPr>
      </w:pPr>
      <w:r w:rsidRPr="00207CB0">
        <w:rPr>
          <w:rFonts w:eastAsia="Arial" w:cs="Arial"/>
          <w:b/>
          <w:color w:val="42145F"/>
          <w:szCs w:val="20"/>
        </w:rPr>
        <w:lastRenderedPageBreak/>
        <w:t>Summary consolidated income statement for the period ended 30 September 2020</w:t>
      </w:r>
    </w:p>
    <w:p w:rsidR="00C752E3" w:rsidRDefault="00C752E3">
      <w:pPr>
        <w:rPr>
          <w:rFonts w:eastAsia="Arial" w:cs="Arial"/>
          <w:b/>
          <w:color w:val="003366"/>
        </w:rPr>
      </w:pPr>
    </w:p>
    <w:tbl>
      <w:tblPr>
        <w:tblStyle w:val="table"/>
        <w:tblW w:w="10120" w:type="dxa"/>
        <w:tblInd w:w="5" w:type="dxa"/>
        <w:tblCellMar>
          <w:left w:w="0" w:type="dxa"/>
          <w:right w:w="0" w:type="dxa"/>
        </w:tblCellMar>
        <w:tblLook w:val="05E0" w:firstRow="1" w:lastRow="1" w:firstColumn="1" w:lastColumn="1" w:noHBand="0" w:noVBand="1"/>
      </w:tblPr>
      <w:tblGrid>
        <w:gridCol w:w="4260"/>
        <w:gridCol w:w="1260"/>
        <w:gridCol w:w="1125"/>
        <w:gridCol w:w="75"/>
        <w:gridCol w:w="1260"/>
        <w:gridCol w:w="1035"/>
        <w:gridCol w:w="1110"/>
      </w:tblGrid>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2385" w:type="dxa"/>
            <w:gridSpan w:val="2"/>
            <w:tcBorders>
              <w:bottom w:val="single" w:sz="6" w:space="0" w:color="000000"/>
            </w:tcBorders>
            <w:shd w:val="clear" w:color="auto" w:fill="FFFFFF"/>
            <w:tcMar>
              <w:top w:w="0" w:type="dxa"/>
              <w:left w:w="5" w:type="dxa"/>
              <w:bottom w:w="0" w:type="dxa"/>
              <w:right w:w="5" w:type="dxa"/>
            </w:tcMar>
            <w:vAlign w:val="bottom"/>
            <w:hideMark/>
          </w:tcPr>
          <w:p w:rsidR="00F3403A"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Nine months ended</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3366"/>
                <w:sz w:val="16"/>
                <w:szCs w:val="16"/>
              </w:rPr>
            </w:pPr>
          </w:p>
        </w:tc>
        <w:tc>
          <w:tcPr>
            <w:tcW w:w="3405" w:type="dxa"/>
            <w:gridSpan w:val="3"/>
            <w:tcBorders>
              <w:bottom w:val="single" w:sz="6" w:space="0" w:color="000000"/>
            </w:tcBorders>
            <w:shd w:val="clear" w:color="auto" w:fill="FFFFFF"/>
            <w:tcMar>
              <w:top w:w="0" w:type="dxa"/>
              <w:left w:w="5" w:type="dxa"/>
              <w:bottom w:w="0" w:type="dxa"/>
              <w:right w:w="5" w:type="dxa"/>
            </w:tcMar>
            <w:vAlign w:val="bottom"/>
            <w:hideMark/>
          </w:tcPr>
          <w:p w:rsidR="00F3403A"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25"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jc w:val="right"/>
              <w:rPr>
                <w:rFonts w:eastAsia="Arial" w:cs="Arial"/>
                <w:color w:val="003366"/>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2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210"/>
        </w:trPr>
        <w:tc>
          <w:tcPr>
            <w:tcW w:w="4260"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FFFFF"/>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 </w:t>
            </w:r>
          </w:p>
        </w:tc>
        <w:tc>
          <w:tcPr>
            <w:tcW w:w="1125" w:type="dxa"/>
            <w:tcBorders>
              <w:bottom w:val="single" w:sz="6" w:space="0" w:color="000000"/>
            </w:tcBorders>
            <w:shd w:val="clear" w:color="auto" w:fill="FFFFFF"/>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c>
          <w:tcPr>
            <w:tcW w:w="75"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jc w:val="right"/>
              <w:rPr>
                <w:rFonts w:eastAsia="Arial" w:cs="Arial"/>
                <w:color w:val="003366"/>
                <w:sz w:val="16"/>
                <w:szCs w:val="16"/>
              </w:rPr>
            </w:pPr>
          </w:p>
        </w:tc>
        <w:tc>
          <w:tcPr>
            <w:tcW w:w="1260" w:type="dxa"/>
            <w:tcBorders>
              <w:bottom w:val="single" w:sz="6" w:space="0" w:color="000000"/>
            </w:tcBorders>
            <w:shd w:val="clear" w:color="auto" w:fill="FFFFFF"/>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 </w:t>
            </w:r>
          </w:p>
        </w:tc>
        <w:tc>
          <w:tcPr>
            <w:tcW w:w="1035" w:type="dxa"/>
            <w:tcBorders>
              <w:bottom w:val="single" w:sz="6" w:space="0" w:color="000000"/>
            </w:tcBorders>
            <w:shd w:val="clear" w:color="auto" w:fill="FFFFFF"/>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b/>
                <w:bCs/>
                <w:color w:val="5E10B1"/>
                <w:sz w:val="16"/>
                <w:szCs w:val="16"/>
              </w:rPr>
            </w:pPr>
            <w:r>
              <w:rPr>
                <w:rFonts w:eastAsia="Arial" w:cs="Arial"/>
                <w:b/>
                <w:bCs/>
                <w:color w:val="5E10B1"/>
                <w:sz w:val="16"/>
                <w:szCs w:val="16"/>
              </w:rPr>
              <w:t>Net interest income</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5,778</w:t>
            </w:r>
          </w:p>
        </w:tc>
        <w:tc>
          <w:tcPr>
            <w:tcW w:w="112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6,010</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1,926</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1,910</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2,006</w:t>
            </w:r>
          </w:p>
        </w:tc>
      </w:tr>
      <w:tr w:rsidR="00130A6D">
        <w:trPr>
          <w:trHeight w:val="210"/>
        </w:trPr>
        <w:tc>
          <w:tcPr>
            <w:tcW w:w="4260"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1125"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(58)</w:t>
            </w:r>
          </w:p>
        </w:tc>
        <w:tc>
          <w:tcPr>
            <w:tcW w:w="75"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(102)</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(12)</w:t>
            </w:r>
          </w:p>
        </w:tc>
      </w:tr>
      <w:tr w:rsidR="00130A6D">
        <w:trPr>
          <w:trHeight w:val="210"/>
        </w:trPr>
        <w:tc>
          <w:tcPr>
            <w:tcW w:w="4260"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Other non-interest income</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2,464</w:t>
            </w:r>
          </w:p>
        </w:tc>
        <w:tc>
          <w:tcPr>
            <w:tcW w:w="1125"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4,068</w:t>
            </w:r>
          </w:p>
        </w:tc>
        <w:tc>
          <w:tcPr>
            <w:tcW w:w="75"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531</w:t>
            </w:r>
          </w:p>
        </w:tc>
        <w:tc>
          <w:tcPr>
            <w:tcW w:w="1035"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868</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909</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b/>
                <w:bCs/>
                <w:color w:val="5E10B1"/>
                <w:sz w:val="16"/>
                <w:szCs w:val="16"/>
              </w:rPr>
            </w:pPr>
            <w:r>
              <w:rPr>
                <w:rFonts w:eastAsia="Arial" w:cs="Arial"/>
                <w:b/>
                <w:bCs/>
                <w:color w:val="5E10B1"/>
                <w:sz w:val="16"/>
                <w:szCs w:val="16"/>
              </w:rPr>
              <w:t>Non-interest income</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2,483</w:t>
            </w:r>
          </w:p>
        </w:tc>
        <w:tc>
          <w:tcPr>
            <w:tcW w:w="112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4,010</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497</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766</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897</w:t>
            </w:r>
          </w:p>
        </w:tc>
      </w:tr>
      <w:tr w:rsidR="00130A6D">
        <w:trPr>
          <w:trHeight w:val="210"/>
        </w:trPr>
        <w:tc>
          <w:tcPr>
            <w:tcW w:w="42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b/>
                <w:bCs/>
                <w:color w:val="5E10B1"/>
                <w:sz w:val="16"/>
                <w:szCs w:val="16"/>
              </w:rPr>
            </w:pPr>
            <w:r>
              <w:rPr>
                <w:rFonts w:eastAsia="Arial" w:cs="Arial"/>
                <w:b/>
                <w:bCs/>
                <w:color w:val="5E10B1"/>
                <w:sz w:val="16"/>
                <w:szCs w:val="16"/>
              </w:rPr>
              <w:t>Total income</w:t>
            </w: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8,261</w:t>
            </w:r>
          </w:p>
        </w:tc>
        <w:tc>
          <w:tcPr>
            <w:tcW w:w="1125"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10,020</w:t>
            </w:r>
          </w:p>
        </w:tc>
        <w:tc>
          <w:tcPr>
            <w:tcW w:w="75"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2,423</w:t>
            </w:r>
          </w:p>
        </w:tc>
        <w:tc>
          <w:tcPr>
            <w:tcW w:w="1035"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2,676</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2,903</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w:t>
            </w:r>
          </w:p>
        </w:tc>
        <w:tc>
          <w:tcPr>
            <w:tcW w:w="1125" w:type="dxa"/>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(810)</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85</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(750)</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(687)</w:t>
            </w:r>
          </w:p>
        </w:tc>
        <w:tc>
          <w:tcPr>
            <w:tcW w:w="1125" w:type="dxa"/>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(844)</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(223)</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(333)</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(215)</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Other expenses</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(4,958)</w:t>
            </w:r>
          </w:p>
        </w:tc>
        <w:tc>
          <w:tcPr>
            <w:tcW w:w="1125" w:type="dxa"/>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(5,144)</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(1,583)</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(1,661)</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(1,733)</w:t>
            </w:r>
          </w:p>
        </w:tc>
      </w:tr>
      <w:tr w:rsidR="00130A6D">
        <w:trPr>
          <w:trHeight w:val="210"/>
        </w:trPr>
        <w:tc>
          <w:tcPr>
            <w:tcW w:w="42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expenses</w:t>
            </w: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(5,564)</w:t>
            </w:r>
          </w:p>
        </w:tc>
        <w:tc>
          <w:tcPr>
            <w:tcW w:w="1125"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(6,798)</w:t>
            </w:r>
          </w:p>
        </w:tc>
        <w:tc>
          <w:tcPr>
            <w:tcW w:w="75"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(1,814)</w:t>
            </w:r>
          </w:p>
        </w:tc>
        <w:tc>
          <w:tcPr>
            <w:tcW w:w="1035"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(1,909)</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(2,698)</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b/>
                <w:bCs/>
                <w:color w:val="5E10B1"/>
                <w:sz w:val="16"/>
                <w:szCs w:val="16"/>
              </w:rPr>
            </w:pPr>
            <w:r>
              <w:rPr>
                <w:rFonts w:eastAsia="Arial" w:cs="Arial"/>
                <w:b/>
                <w:bCs/>
                <w:color w:val="5E10B1"/>
                <w:sz w:val="16"/>
                <w:szCs w:val="16"/>
              </w:rPr>
              <w:t>Profit before impairment losses</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2,697</w:t>
            </w:r>
          </w:p>
        </w:tc>
        <w:tc>
          <w:tcPr>
            <w:tcW w:w="1125" w:type="dxa"/>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3,222</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609</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767</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205</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(3,112)</w:t>
            </w:r>
          </w:p>
        </w:tc>
        <w:tc>
          <w:tcPr>
            <w:tcW w:w="1125" w:type="dxa"/>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(536)</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(254)</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(2,056)</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(213)</w:t>
            </w:r>
          </w:p>
        </w:tc>
      </w:tr>
      <w:tr w:rsidR="00130A6D">
        <w:trPr>
          <w:trHeight w:val="210"/>
        </w:trPr>
        <w:tc>
          <w:tcPr>
            <w:tcW w:w="4260"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(loss)/profit before tax</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(415)</w:t>
            </w:r>
          </w:p>
        </w:tc>
        <w:tc>
          <w:tcPr>
            <w:tcW w:w="1125" w:type="dxa"/>
            <w:tcBorders>
              <w:top w:val="single" w:sz="6" w:space="0" w:color="000000"/>
            </w:tcBorders>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2,686</w:t>
            </w:r>
          </w:p>
        </w:tc>
        <w:tc>
          <w:tcPr>
            <w:tcW w:w="75"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355</w:t>
            </w: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(1,289)</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r>
      <w:tr w:rsidR="00130A6D">
        <w:trPr>
          <w:trHeight w:val="210"/>
        </w:trPr>
        <w:tc>
          <w:tcPr>
            <w:tcW w:w="4260"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b/>
                <w:bCs/>
                <w:color w:val="5E10B1"/>
                <w:sz w:val="16"/>
                <w:szCs w:val="16"/>
              </w:rPr>
            </w:pPr>
            <w:r>
              <w:rPr>
                <w:rFonts w:eastAsia="Arial" w:cs="Arial"/>
                <w:b/>
                <w:bCs/>
                <w:color w:val="5E10B1"/>
                <w:sz w:val="16"/>
                <w:szCs w:val="16"/>
              </w:rPr>
              <w:t>Tax credit/(charge)</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125" w:type="dxa"/>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(395)</w:t>
            </w:r>
          </w:p>
        </w:tc>
        <w:tc>
          <w:tcPr>
            <w:tcW w:w="75"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(207)</w:t>
            </w:r>
          </w:p>
        </w:tc>
        <w:tc>
          <w:tcPr>
            <w:tcW w:w="1035"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396</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(201)</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b/>
                <w:bCs/>
                <w:color w:val="5E10B1"/>
                <w:sz w:val="16"/>
                <w:szCs w:val="16"/>
              </w:rPr>
            </w:pPr>
            <w:r>
              <w:rPr>
                <w:rFonts w:eastAsia="Arial" w:cs="Arial"/>
                <w:b/>
                <w:bCs/>
                <w:color w:val="5E10B1"/>
                <w:sz w:val="16"/>
                <w:szCs w:val="16"/>
              </w:rPr>
              <w:t>(Loss)/profit for the period</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(414)</w:t>
            </w:r>
          </w:p>
        </w:tc>
        <w:tc>
          <w:tcPr>
            <w:tcW w:w="1125"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2,291</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148</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(893)</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(209)</w:t>
            </w:r>
          </w:p>
        </w:tc>
      </w:tr>
      <w:tr w:rsidR="00130A6D">
        <w:trPr>
          <w:trHeight w:val="210"/>
        </w:trPr>
        <w:tc>
          <w:tcPr>
            <w:tcW w:w="4260"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F3403A" w:rsidRDefault="00F3403A">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75"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F3403A" w:rsidRDefault="00F3403A">
            <w:pPr>
              <w:spacing w:line="240" w:lineRule="auto"/>
              <w:contextualSpacing/>
              <w:rPr>
                <w:rFonts w:eastAsia="Arial" w:cs="Arial"/>
                <w:b/>
                <w:bCs/>
                <w:color w:val="000000"/>
                <w:sz w:val="16"/>
                <w:szCs w:val="16"/>
              </w:rPr>
            </w:pP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b/>
                <w:bCs/>
                <w:color w:val="5E10B1"/>
                <w:sz w:val="16"/>
                <w:szCs w:val="16"/>
              </w:rPr>
            </w:pPr>
            <w:r>
              <w:rPr>
                <w:rFonts w:eastAsia="Arial" w:cs="Arial"/>
                <w:b/>
                <w:bCs/>
                <w:color w:val="5E10B1"/>
                <w:sz w:val="16"/>
                <w:szCs w:val="16"/>
              </w:rPr>
              <w:t>Attributable to:</w:t>
            </w:r>
          </w:p>
        </w:tc>
        <w:tc>
          <w:tcPr>
            <w:tcW w:w="1260" w:type="dxa"/>
            <w:shd w:val="clear" w:color="auto" w:fill="F4F0E8"/>
            <w:noWrap/>
            <w:tcMar>
              <w:top w:w="0" w:type="dxa"/>
              <w:left w:w="5" w:type="dxa"/>
              <w:bottom w:w="0" w:type="dxa"/>
              <w:right w:w="5" w:type="dxa"/>
            </w:tcMar>
            <w:vAlign w:val="bottom"/>
            <w:hideMark/>
          </w:tcPr>
          <w:p w:rsidR="00F3403A" w:rsidRDefault="00F3403A">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F3403A" w:rsidRDefault="00F3403A">
            <w:pPr>
              <w:spacing w:line="240" w:lineRule="auto"/>
              <w:contextualSpacing/>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Ordinary shareholders</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(644)</w:t>
            </w:r>
          </w:p>
        </w:tc>
        <w:tc>
          <w:tcPr>
            <w:tcW w:w="112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1,723</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ascii="Calibri" w:eastAsia="Calibri" w:hAnsi="Calibri" w:cs="Calibri"/>
                <w:color w:val="000000"/>
                <w:sz w:val="22"/>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(993)</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(315)</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Preference shareholders</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2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ascii="Calibri" w:eastAsia="Calibri" w:hAnsi="Calibri" w:cs="Calibri"/>
                <w:color w:val="000000"/>
                <w:sz w:val="22"/>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Paid-in equity holders</w:t>
            </w: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272</w:t>
            </w:r>
          </w:p>
        </w:tc>
        <w:tc>
          <w:tcPr>
            <w:tcW w:w="112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277</w:t>
            </w:r>
          </w:p>
        </w:tc>
        <w:tc>
          <w:tcPr>
            <w:tcW w:w="75" w:type="dxa"/>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ascii="Calibri" w:eastAsia="Calibri" w:hAnsi="Calibri" w:cs="Calibri"/>
                <w:color w:val="000000"/>
                <w:sz w:val="22"/>
              </w:rPr>
            </w:pPr>
          </w:p>
        </w:tc>
        <w:tc>
          <w:tcPr>
            <w:tcW w:w="1260" w:type="dxa"/>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80</w:t>
            </w:r>
          </w:p>
        </w:tc>
        <w:tc>
          <w:tcPr>
            <w:tcW w:w="1035"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110" w:type="dxa"/>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95</w:t>
            </w:r>
          </w:p>
        </w:tc>
      </w:tr>
      <w:tr w:rsidR="00130A6D">
        <w:trPr>
          <w:trHeight w:val="195"/>
        </w:trPr>
        <w:tc>
          <w:tcPr>
            <w:tcW w:w="4260"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w:t>
            </w:r>
          </w:p>
        </w:tc>
        <w:tc>
          <w:tcPr>
            <w:tcW w:w="1125"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261</w:t>
            </w:r>
          </w:p>
        </w:tc>
        <w:tc>
          <w:tcPr>
            <w:tcW w:w="75"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F3403A">
            <w:pPr>
              <w:spacing w:line="240" w:lineRule="auto"/>
              <w:contextualSpacing/>
              <w:rPr>
                <w:rFonts w:ascii="Calibri" w:eastAsia="Calibri" w:hAnsi="Calibri" w:cs="Calibri"/>
                <w:color w:val="000000"/>
                <w:sz w:val="22"/>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035"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F3403A"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r>
    </w:tbl>
    <w:p w:rsidR="005D76E8" w:rsidRDefault="005D76E8">
      <w:pPr>
        <w:rPr>
          <w:rFonts w:eastAsia="Arial" w:cs="Arial"/>
          <w:b/>
          <w:color w:val="003366"/>
        </w:rPr>
      </w:pPr>
    </w:p>
    <w:tbl>
      <w:tblPr>
        <w:tblStyle w:val="table"/>
        <w:tblW w:w="10080" w:type="dxa"/>
        <w:tblInd w:w="5" w:type="dxa"/>
        <w:tblCellMar>
          <w:left w:w="0" w:type="dxa"/>
          <w:right w:w="0" w:type="dxa"/>
        </w:tblCellMar>
        <w:tblLook w:val="05E0" w:firstRow="1" w:lastRow="1" w:firstColumn="1" w:lastColumn="1" w:noHBand="0" w:noVBand="1"/>
      </w:tblPr>
      <w:tblGrid>
        <w:gridCol w:w="4260"/>
        <w:gridCol w:w="1260"/>
        <w:gridCol w:w="1110"/>
        <w:gridCol w:w="60"/>
        <w:gridCol w:w="1245"/>
        <w:gridCol w:w="1035"/>
        <w:gridCol w:w="1110"/>
      </w:tblGrid>
      <w:tr w:rsidR="00130A6D">
        <w:trPr>
          <w:trHeight w:val="195"/>
        </w:trPr>
        <w:tc>
          <w:tcPr>
            <w:tcW w:w="4260" w:type="dxa"/>
            <w:tcBorders>
              <w:top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5E10B1"/>
                <w:sz w:val="16"/>
                <w:szCs w:val="16"/>
              </w:rPr>
            </w:pPr>
            <w:r>
              <w:rPr>
                <w:rFonts w:eastAsia="Arial" w:cs="Arial"/>
                <w:color w:val="5E10B1"/>
                <w:sz w:val="16"/>
                <w:szCs w:val="16"/>
              </w:rPr>
              <w:t>Notable items within total income</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4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r>
      <w:tr w:rsidR="00130A6D">
        <w:trPr>
          <w:trHeight w:val="195"/>
        </w:trPr>
        <w:tc>
          <w:tcPr>
            <w:tcW w:w="4260" w:type="dxa"/>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Alawwal</w:t>
            </w:r>
            <w:proofErr w:type="spellEnd"/>
            <w:r>
              <w:rPr>
                <w:rFonts w:eastAsia="Arial" w:cs="Arial"/>
                <w:color w:val="000000"/>
                <w:sz w:val="16"/>
                <w:szCs w:val="16"/>
              </w:rPr>
              <w:t xml:space="preserve"> bank merger gain in NatWest Markets</w:t>
            </w:r>
          </w:p>
        </w:tc>
        <w:tc>
          <w:tcPr>
            <w:tcW w:w="126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444</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4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4260" w:type="dxa"/>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FX recycling (loss)/gain in Central items &amp; other</w:t>
            </w:r>
          </w:p>
        </w:tc>
        <w:tc>
          <w:tcPr>
            <w:tcW w:w="126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290</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4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(39)</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4260" w:type="dxa"/>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Legacy liability release in Central items &amp; other</w:t>
            </w:r>
          </w:p>
        </w:tc>
        <w:tc>
          <w:tcPr>
            <w:tcW w:w="126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256</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4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4260" w:type="dxa"/>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Loss on redemption of own debt</w:t>
            </w:r>
          </w:p>
        </w:tc>
        <w:tc>
          <w:tcPr>
            <w:tcW w:w="126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(324)</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4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(324)</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4260" w:type="dxa"/>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Liquidity Asset Bond sale gain/(loss)</w:t>
            </w:r>
          </w:p>
        </w:tc>
        <w:tc>
          <w:tcPr>
            <w:tcW w:w="126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111</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60" w:type="dxa"/>
            <w:shd w:val="clear" w:color="auto" w:fill="FFFFFF"/>
            <w:noWrap/>
            <w:tcMar>
              <w:top w:w="0" w:type="dxa"/>
              <w:left w:w="5" w:type="dxa"/>
              <w:bottom w:w="0" w:type="dxa"/>
              <w:right w:w="5" w:type="dxa"/>
            </w:tcMar>
            <w:vAlign w:val="center"/>
            <w:hideMark/>
          </w:tcPr>
          <w:p w:rsidR="00130A6D" w:rsidRDefault="00130A6D">
            <w:pPr>
              <w:spacing w:line="240" w:lineRule="auto"/>
              <w:contextualSpacing/>
              <w:rPr>
                <w:rFonts w:eastAsia="Arial" w:cs="Arial"/>
                <w:color w:val="008080"/>
                <w:sz w:val="16"/>
                <w:szCs w:val="16"/>
                <w:u w:val="single" w:color="008080"/>
              </w:rPr>
            </w:pPr>
          </w:p>
        </w:tc>
        <w:tc>
          <w:tcPr>
            <w:tcW w:w="124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r>
      <w:tr w:rsidR="00130A6D">
        <w:trPr>
          <w:trHeight w:val="195"/>
        </w:trPr>
        <w:tc>
          <w:tcPr>
            <w:tcW w:w="4260" w:type="dxa"/>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IFRS volatility in Central items &amp; other</w:t>
            </w:r>
          </w:p>
        </w:tc>
        <w:tc>
          <w:tcPr>
            <w:tcW w:w="126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60" w:type="dxa"/>
            <w:shd w:val="clear" w:color="auto" w:fill="FFFFFF"/>
            <w:noWrap/>
            <w:tcMar>
              <w:top w:w="0" w:type="dxa"/>
              <w:left w:w="5" w:type="dxa"/>
              <w:bottom w:w="0" w:type="dxa"/>
              <w:right w:w="5" w:type="dxa"/>
            </w:tcMar>
            <w:vAlign w:val="center"/>
            <w:hideMark/>
          </w:tcPr>
          <w:p w:rsidR="00130A6D" w:rsidRDefault="00130A6D">
            <w:pPr>
              <w:spacing w:line="240" w:lineRule="auto"/>
              <w:contextualSpacing/>
              <w:rPr>
                <w:rFonts w:eastAsia="Arial" w:cs="Arial"/>
                <w:color w:val="008080"/>
                <w:sz w:val="16"/>
                <w:szCs w:val="16"/>
                <w:u w:val="single" w:color="008080"/>
              </w:rPr>
            </w:pPr>
          </w:p>
        </w:tc>
        <w:tc>
          <w:tcPr>
            <w:tcW w:w="124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55</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(51)</w:t>
            </w:r>
          </w:p>
        </w:tc>
      </w:tr>
      <w:tr w:rsidR="00130A6D">
        <w:trPr>
          <w:trHeight w:val="195"/>
        </w:trPr>
        <w:tc>
          <w:tcPr>
            <w:tcW w:w="4260" w:type="dxa"/>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NatWest Markets asset disposals/strategic risk reduction</w:t>
            </w:r>
          </w:p>
        </w:tc>
        <w:tc>
          <w:tcPr>
            <w:tcW w:w="126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w:t>
            </w:r>
          </w:p>
        </w:tc>
        <w:tc>
          <w:tcPr>
            <w:tcW w:w="60" w:type="dxa"/>
            <w:shd w:val="clear" w:color="auto" w:fill="FFFFFF"/>
            <w:noWrap/>
            <w:tcMar>
              <w:top w:w="0" w:type="dxa"/>
              <w:left w:w="5" w:type="dxa"/>
              <w:bottom w:w="0" w:type="dxa"/>
              <w:right w:w="5" w:type="dxa"/>
            </w:tcMar>
            <w:vAlign w:val="center"/>
            <w:hideMark/>
          </w:tcPr>
          <w:p w:rsidR="00130A6D" w:rsidRDefault="00130A6D">
            <w:pPr>
              <w:spacing w:line="240" w:lineRule="auto"/>
              <w:contextualSpacing/>
              <w:rPr>
                <w:rFonts w:eastAsia="Arial" w:cs="Arial"/>
                <w:color w:val="008080"/>
                <w:sz w:val="16"/>
                <w:szCs w:val="16"/>
                <w:u w:val="single" w:color="008080"/>
              </w:rPr>
            </w:pPr>
          </w:p>
        </w:tc>
        <w:tc>
          <w:tcPr>
            <w:tcW w:w="124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(63)</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r>
      <w:tr w:rsidR="00130A6D">
        <w:trPr>
          <w:trHeight w:val="195"/>
        </w:trPr>
        <w:tc>
          <w:tcPr>
            <w:tcW w:w="4260" w:type="dxa"/>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Share of losses under equity accounting for</w:t>
            </w:r>
          </w:p>
        </w:tc>
        <w:tc>
          <w:tcPr>
            <w:tcW w:w="1260" w:type="dxa"/>
            <w:shd w:val="clear" w:color="auto" w:fill="F4F0E8"/>
            <w:noWrap/>
            <w:tcMar>
              <w:top w:w="0" w:type="dxa"/>
              <w:left w:w="5" w:type="dxa"/>
              <w:bottom w:w="0" w:type="dxa"/>
              <w:right w:w="5" w:type="dxa"/>
            </w:tcMar>
            <w:vAlign w:val="center"/>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30A6D" w:rsidRDefault="00130A6D">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center"/>
            <w:hideMark/>
          </w:tcPr>
          <w:p w:rsidR="00130A6D" w:rsidRDefault="00130A6D">
            <w:pPr>
              <w:spacing w:line="240" w:lineRule="auto"/>
              <w:contextualSpacing/>
              <w:rPr>
                <w:rFonts w:eastAsia="Arial" w:cs="Arial"/>
                <w:color w:val="008080"/>
                <w:sz w:val="16"/>
                <w:szCs w:val="16"/>
                <w:u w:val="single" w:color="008080"/>
              </w:rPr>
            </w:pPr>
          </w:p>
        </w:tc>
        <w:tc>
          <w:tcPr>
            <w:tcW w:w="1245" w:type="dxa"/>
            <w:shd w:val="clear" w:color="auto" w:fill="F4F0E8"/>
            <w:noWrap/>
            <w:tcMar>
              <w:top w:w="0" w:type="dxa"/>
              <w:left w:w="5" w:type="dxa"/>
              <w:bottom w:w="0" w:type="dxa"/>
              <w:right w:w="5" w:type="dxa"/>
            </w:tcMar>
            <w:vAlign w:val="center"/>
            <w:hideMark/>
          </w:tcPr>
          <w:p w:rsidR="00130A6D" w:rsidRDefault="00130A6D">
            <w:pPr>
              <w:spacing w:line="240" w:lineRule="auto"/>
              <w:contextualSpacing/>
              <w:jc w:val="right"/>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center"/>
            <w:hideMark/>
          </w:tcPr>
          <w:p w:rsidR="00130A6D" w:rsidRDefault="00130A6D">
            <w:pPr>
              <w:spacing w:line="240" w:lineRule="auto"/>
              <w:contextualSpacing/>
              <w:jc w:val="right"/>
              <w:rPr>
                <w:rFonts w:eastAsia="Arial" w:cs="Arial"/>
                <w:color w:val="000000"/>
                <w:sz w:val="16"/>
                <w:szCs w:val="16"/>
              </w:rPr>
            </w:pPr>
          </w:p>
        </w:tc>
      </w:tr>
      <w:tr w:rsidR="00130A6D">
        <w:trPr>
          <w:trHeight w:val="210"/>
        </w:trPr>
        <w:tc>
          <w:tcPr>
            <w:tcW w:w="4260" w:type="dxa"/>
            <w:tcBorders>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Business Growth Fund</w:t>
            </w:r>
          </w:p>
        </w:tc>
        <w:tc>
          <w:tcPr>
            <w:tcW w:w="1260"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130A6D">
            <w:pPr>
              <w:spacing w:line="240" w:lineRule="auto"/>
              <w:contextualSpacing/>
              <w:rPr>
                <w:rFonts w:eastAsia="Arial" w:cs="Arial"/>
                <w:color w:val="008080"/>
                <w:sz w:val="16"/>
                <w:szCs w:val="16"/>
                <w:u w:val="single" w:color="008080"/>
              </w:rPr>
            </w:pPr>
          </w:p>
        </w:tc>
        <w:tc>
          <w:tcPr>
            <w:tcW w:w="1245"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bl>
    <w:p w:rsidR="00016FDD" w:rsidRDefault="00016FDD" w:rsidP="00F1436F">
      <w:pPr>
        <w:pStyle w:val="Normal201"/>
        <w:spacing w:line="276" w:lineRule="auto"/>
      </w:pPr>
    </w:p>
    <w:p w:rsidR="00C649A0" w:rsidRDefault="004160AB" w:rsidP="00C649A0">
      <w:r>
        <w:br w:type="page"/>
      </w:r>
    </w:p>
    <w:p w:rsidR="00E1442D" w:rsidRDefault="00E1442D">
      <w:pPr>
        <w:sectPr w:rsidR="00E1442D" w:rsidSect="00E1442D">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134" w:right="851" w:bottom="680" w:left="851" w:header="708" w:footer="708" w:gutter="0"/>
          <w:cols w:space="708"/>
          <w:docGrid w:linePitch="360"/>
        </w:sectPr>
      </w:pPr>
    </w:p>
    <w:p w:rsidR="000A4C61" w:rsidRPr="00353F47" w:rsidRDefault="004160AB" w:rsidP="000A4C61">
      <w:pPr>
        <w:pStyle w:val="Normal200"/>
        <w:spacing w:line="288" w:lineRule="auto"/>
        <w:jc w:val="both"/>
        <w:rPr>
          <w:b/>
          <w:color w:val="42145F"/>
          <w:sz w:val="18"/>
          <w:szCs w:val="20"/>
          <w:lang w:eastAsia="ja-JP"/>
        </w:rPr>
      </w:pPr>
      <w:r w:rsidRPr="00353F47">
        <w:rPr>
          <w:b/>
          <w:color w:val="42145F"/>
          <w:sz w:val="18"/>
          <w:szCs w:val="20"/>
          <w:lang w:eastAsia="ja-JP"/>
        </w:rPr>
        <w:lastRenderedPageBreak/>
        <w:t>Business performance summary</w:t>
      </w:r>
    </w:p>
    <w:p w:rsidR="00496BCA" w:rsidRPr="00496BCA" w:rsidRDefault="004160AB" w:rsidP="000A4C61">
      <w:pPr>
        <w:pStyle w:val="Normal200"/>
        <w:spacing w:line="288" w:lineRule="auto"/>
        <w:jc w:val="both"/>
        <w:rPr>
          <w:b/>
          <w:color w:val="42145F"/>
          <w:sz w:val="18"/>
          <w:szCs w:val="20"/>
          <w:lang w:eastAsia="ja-JP"/>
        </w:rPr>
      </w:pPr>
      <w:r>
        <w:rPr>
          <w:b/>
          <w:color w:val="42145F"/>
          <w:sz w:val="18"/>
          <w:szCs w:val="20"/>
          <w:lang w:eastAsia="ja-JP"/>
        </w:rPr>
        <w:t>Retail Banking (formerly UK Personal Banking)</w:t>
      </w:r>
    </w:p>
    <w:tbl>
      <w:tblPr>
        <w:tblStyle w:val="table"/>
        <w:tblW w:w="10080" w:type="dxa"/>
        <w:tblInd w:w="5" w:type="dxa"/>
        <w:tblCellMar>
          <w:left w:w="0" w:type="dxa"/>
          <w:right w:w="0" w:type="dxa"/>
        </w:tblCellMar>
        <w:tblLook w:val="05E0" w:firstRow="1" w:lastRow="1" w:firstColumn="1" w:lastColumn="1" w:noHBand="0" w:noVBand="1"/>
      </w:tblPr>
      <w:tblGrid>
        <w:gridCol w:w="1710"/>
        <w:gridCol w:w="1275"/>
        <w:gridCol w:w="810"/>
        <w:gridCol w:w="1110"/>
        <w:gridCol w:w="60"/>
        <w:gridCol w:w="1860"/>
        <w:gridCol w:w="1260"/>
        <w:gridCol w:w="885"/>
        <w:gridCol w:w="1110"/>
      </w:tblGrid>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195"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center"/>
              <w:rPr>
                <w:rFonts w:eastAsia="Arial" w:cs="Arial"/>
                <w:b/>
                <w:bCs/>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3366"/>
                <w:sz w:val="16"/>
                <w:szCs w:val="16"/>
              </w:rPr>
            </w:pPr>
          </w:p>
        </w:tc>
        <w:tc>
          <w:tcPr>
            <w:tcW w:w="3255"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As at</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7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8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7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7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2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r>
      <w:tr w:rsidR="00130A6D">
        <w:trPr>
          <w:trHeight w:val="195"/>
        </w:trPr>
        <w:tc>
          <w:tcPr>
            <w:tcW w:w="17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Style w:val="font2"/>
              </w:rPr>
              <w:t xml:space="preserve">Total income </w:t>
            </w:r>
            <w:r>
              <w:rPr>
                <w:rStyle w:val="font300"/>
              </w:rPr>
              <w:t>(1)</w:t>
            </w:r>
          </w:p>
        </w:tc>
        <w:tc>
          <w:tcPr>
            <w:tcW w:w="1275"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1,022</w:t>
            </w:r>
          </w:p>
        </w:tc>
        <w:tc>
          <w:tcPr>
            <w:tcW w:w="8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1,035</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1,224</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 xml:space="preserve">Net loans to customers - </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Style w:val="font2"/>
              </w:rPr>
              <w:t xml:space="preserve">Operating expenses </w:t>
            </w:r>
            <w:r>
              <w:rPr>
                <w:rStyle w:val="font300"/>
              </w:rPr>
              <w:t>(1)</w:t>
            </w:r>
          </w:p>
        </w:tc>
        <w:tc>
          <w:tcPr>
            <w:tcW w:w="1275"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(647)</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(546)</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(1,601)</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amortised cost </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166.7</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164.5</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158.9</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275"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(360)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(131)</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Style w:val="font2"/>
              </w:rPr>
              <w:t xml:space="preserve">Customer deposits </w:t>
            </w:r>
            <w:r>
              <w:rPr>
                <w:rStyle w:val="font300"/>
              </w:rPr>
              <w:t>(1)</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164.9</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161.0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150.3</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profit/(loss)</w:t>
            </w:r>
          </w:p>
        </w:tc>
        <w:tc>
          <w:tcPr>
            <w:tcW w:w="1275"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305</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129</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(508)</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36.3</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36.7</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37.8</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75"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15.3%</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5.7%</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(26.8%)</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75"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2.05%</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2.18%</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2.44%</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w:t>
            </w:r>
          </w:p>
        </w:tc>
        <w:tc>
          <w:tcPr>
            <w:tcW w:w="1275"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63.3%</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52.8%</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130.8%</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7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Loan impairment rate</w:t>
            </w:r>
          </w:p>
        </w:tc>
        <w:tc>
          <w:tcPr>
            <w:tcW w:w="1275"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17bps</w:t>
            </w:r>
          </w:p>
        </w:tc>
        <w:tc>
          <w:tcPr>
            <w:tcW w:w="8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87bps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34bps</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bl>
    <w:p w:rsidR="00496BCA" w:rsidRDefault="00496BCA"/>
    <w:p w:rsidR="00496BCA" w:rsidRPr="00496BCA" w:rsidRDefault="004160AB">
      <w:pPr>
        <w:rPr>
          <w:rFonts w:cs="Arial"/>
          <w:sz w:val="14"/>
          <w:szCs w:val="14"/>
        </w:rPr>
      </w:pPr>
      <w:r w:rsidRPr="00496BCA">
        <w:rPr>
          <w:rFonts w:cs="Arial"/>
          <w:sz w:val="14"/>
          <w:szCs w:val="14"/>
        </w:rPr>
        <w:t>Note:</w:t>
      </w:r>
    </w:p>
    <w:p w:rsidR="00496BCA" w:rsidRPr="00496BCA" w:rsidRDefault="004160AB" w:rsidP="00496BCA">
      <w:pPr>
        <w:pStyle w:val="ListParagraph"/>
        <w:numPr>
          <w:ilvl w:val="0"/>
          <w:numId w:val="5"/>
        </w:numPr>
        <w:rPr>
          <w:rFonts w:ascii="Arial" w:hAnsi="Arial" w:cs="Arial"/>
          <w:sz w:val="14"/>
          <w:szCs w:val="14"/>
        </w:rPr>
      </w:pPr>
      <w:r w:rsidRPr="00496BCA">
        <w:rPr>
          <w:rFonts w:ascii="Arial" w:hAnsi="Arial" w:cs="Arial"/>
          <w:sz w:val="14"/>
          <w:szCs w:val="14"/>
        </w:rPr>
        <w:t>Comparisons with prior periods are impacted by the transfer of the Private Client Advice business to Private Banking from 1 January 2020. The net impact on Q3 2019 operating profit would have been to decrease total income by £11 million and operating expenses by £2 million. The net impact on the Q3 2019 balance sheet would have been to decrease customer deposits by £0.2 billion.</w:t>
      </w:r>
    </w:p>
    <w:tbl>
      <w:tblPr>
        <w:tblW w:w="10206" w:type="dxa"/>
        <w:tblLayout w:type="fixed"/>
        <w:tblCellMar>
          <w:left w:w="0" w:type="dxa"/>
          <w:right w:w="0" w:type="dxa"/>
        </w:tblCellMar>
        <w:tblLook w:val="01E0" w:firstRow="1" w:lastRow="1" w:firstColumn="1" w:lastColumn="1" w:noHBand="0" w:noVBand="0"/>
      </w:tblPr>
      <w:tblGrid>
        <w:gridCol w:w="284"/>
        <w:gridCol w:w="9922"/>
      </w:tblGrid>
      <w:tr w:rsidR="00130A6D" w:rsidTr="00496BCA">
        <w:trPr>
          <w:trHeight w:val="745"/>
        </w:trPr>
        <w:tc>
          <w:tcPr>
            <w:tcW w:w="10206" w:type="dxa"/>
            <w:gridSpan w:val="2"/>
          </w:tcPr>
          <w:p w:rsidR="00305060" w:rsidRPr="008C1B46" w:rsidRDefault="004160AB" w:rsidP="008C1B46">
            <w:pPr>
              <w:rPr>
                <w:rFonts w:ascii="Calibri" w:hAnsi="Calibri"/>
                <w:sz w:val="22"/>
                <w:lang w:val="en-US" w:eastAsia="ja-JP"/>
              </w:rPr>
            </w:pPr>
            <w:r w:rsidRPr="008C1B46">
              <w:rPr>
                <w:lang w:val="en-US" w:eastAsia="ja-JP"/>
              </w:rPr>
              <w:t xml:space="preserve">Retail Banking customer activity levels in Q3 2020 improved significantly compared with Q2 2020 with debit and credit card spend levels 30% and 43% higher respectively and mortgage applications increased by 91%. In the nine months ended 30 September 2020, Retail Banking helped approximately 250,000 customers with </w:t>
            </w:r>
            <w:r>
              <w:t>an initial mortgage repayment holiday</w:t>
            </w:r>
            <w:r>
              <w:rPr>
                <w:lang w:eastAsia="ja-JP"/>
              </w:rPr>
              <w:t xml:space="preserve"> </w:t>
            </w:r>
            <w:r w:rsidRPr="008C1B46">
              <w:rPr>
                <w:lang w:val="en-US" w:eastAsia="ja-JP"/>
              </w:rPr>
              <w:t>and as at Q3 2020 had 37,000 active mortgage repayment holidays, representing 3% of the book by volume. Additionally, Retail Banking had approximately 40,000, or 4%, of personal loan customers on active repayment holidays as at Q3 2020.</w:t>
            </w:r>
          </w:p>
        </w:tc>
      </w:tr>
      <w:tr w:rsidR="00130A6D" w:rsidTr="00496BCA">
        <w:trPr>
          <w:trHeight w:val="206"/>
        </w:trPr>
        <w:tc>
          <w:tcPr>
            <w:tcW w:w="10206" w:type="dxa"/>
            <w:gridSpan w:val="2"/>
          </w:tcPr>
          <w:p w:rsidR="00741732" w:rsidRPr="00E85B67" w:rsidRDefault="00741732" w:rsidP="00305060">
            <w:pPr>
              <w:rPr>
                <w:rFonts w:eastAsia="Times New Roman" w:cs="Arial"/>
                <w:szCs w:val="18"/>
                <w:lang w:val="en-US" w:eastAsia="ja-JP" w:bidi="he-IL"/>
              </w:rPr>
            </w:pPr>
          </w:p>
        </w:tc>
      </w:tr>
      <w:tr w:rsidR="00130A6D" w:rsidTr="00496BCA">
        <w:trPr>
          <w:trHeight w:val="146"/>
        </w:trPr>
        <w:tc>
          <w:tcPr>
            <w:tcW w:w="284" w:type="dxa"/>
          </w:tcPr>
          <w:p w:rsidR="00E26703" w:rsidRPr="00353F47" w:rsidRDefault="004160AB" w:rsidP="00E26703">
            <w:pPr>
              <w:pStyle w:val="Normal00"/>
              <w:spacing w:line="276" w:lineRule="auto"/>
              <w:jc w:val="both"/>
              <w:rPr>
                <w:rFonts w:ascii="Arial" w:eastAsia="SimSun" w:hAnsi="Arial" w:cs="Arial"/>
                <w:sz w:val="18"/>
                <w:szCs w:val="18"/>
                <w:lang w:eastAsia="ja-JP"/>
              </w:rPr>
            </w:pPr>
            <w:r w:rsidRPr="00353F47">
              <w:rPr>
                <w:rFonts w:ascii="Arial" w:eastAsia="SimSun" w:hAnsi="Arial" w:cs="Arial"/>
                <w:sz w:val="18"/>
                <w:szCs w:val="18"/>
                <w:lang w:eastAsia="ja-JP"/>
              </w:rPr>
              <w:t>●</w:t>
            </w:r>
          </w:p>
        </w:tc>
        <w:tc>
          <w:tcPr>
            <w:tcW w:w="9922" w:type="dxa"/>
          </w:tcPr>
          <w:p w:rsidR="00E26703" w:rsidRPr="00027D51" w:rsidRDefault="004160AB" w:rsidP="00E26703">
            <w:pPr>
              <w:rPr>
                <w:rFonts w:ascii="Calibri" w:hAnsi="Calibri"/>
                <w:i/>
                <w:iCs/>
                <w:sz w:val="22"/>
              </w:rPr>
            </w:pPr>
            <w:r w:rsidRPr="008B1015">
              <w:rPr>
                <w:rFonts w:eastAsia="Times New Roman" w:cs="Arial"/>
                <w:szCs w:val="18"/>
                <w:lang w:val="en-US" w:eastAsia="ja-JP" w:bidi="he-IL"/>
              </w:rPr>
              <w:t xml:space="preserve">Total income decreased by £202 million, or 16.5%, in comparison to Q3 2019 due to lower fee income on overdrafts, lower deposit returns, mortgage margin dilution and lower international spend related fee income, partially offset by strong balance growth in mortgages and customer deposits. Total income decreased by £13 million compared with Q2 2020, reflecting a </w:t>
            </w:r>
            <w:proofErr w:type="gramStart"/>
            <w:r w:rsidRPr="008B1015">
              <w:rPr>
                <w:rFonts w:eastAsia="Times New Roman" w:cs="Arial"/>
                <w:szCs w:val="18"/>
                <w:lang w:val="en-US" w:eastAsia="ja-JP" w:bidi="he-IL"/>
              </w:rPr>
              <w:t>13 basis</w:t>
            </w:r>
            <w:proofErr w:type="gramEnd"/>
            <w:r w:rsidRPr="008B1015">
              <w:rPr>
                <w:rFonts w:eastAsia="Times New Roman" w:cs="Arial"/>
                <w:szCs w:val="18"/>
                <w:lang w:val="en-US" w:eastAsia="ja-JP" w:bidi="he-IL"/>
              </w:rPr>
              <w:t xml:space="preserve"> point reduction in net interest margin </w:t>
            </w:r>
            <w:r w:rsidRPr="008B1015">
              <w:rPr>
                <w:rFonts w:eastAsia="Times New Roman"/>
                <w:szCs w:val="18"/>
              </w:rPr>
              <w:t xml:space="preserve">largely due to the deferred </w:t>
            </w:r>
            <w:r w:rsidRPr="00027D51">
              <w:rPr>
                <w:rFonts w:eastAsia="Times New Roman" w:cs="Arial"/>
                <w:szCs w:val="18"/>
                <w:lang w:val="en-US" w:eastAsia="ja-JP" w:bidi="he-IL"/>
              </w:rPr>
              <w:t xml:space="preserve">impact of the lower yield curve on deposit margins. Mortgage book margin </w:t>
            </w:r>
            <w:proofErr w:type="spellStart"/>
            <w:r w:rsidRPr="00027D51">
              <w:rPr>
                <w:rFonts w:eastAsia="Times New Roman" w:cs="Arial"/>
                <w:szCs w:val="18"/>
                <w:lang w:val="en-US" w:eastAsia="ja-JP" w:bidi="he-IL"/>
              </w:rPr>
              <w:t>stabilised</w:t>
            </w:r>
            <w:proofErr w:type="spellEnd"/>
            <w:r w:rsidRPr="00027D51">
              <w:rPr>
                <w:rFonts w:eastAsia="Times New Roman" w:cs="Arial"/>
                <w:szCs w:val="18"/>
                <w:lang w:val="en-US" w:eastAsia="ja-JP" w:bidi="he-IL"/>
              </w:rPr>
              <w:t xml:space="preserve"> in Q3 2020 as front book new business and switcher completion margins were approximately 140 basis points, broadly in line with the overall book margin. In Q3 2020, application margins were around 160 basis points as spreads in the market continued to widen.</w:t>
            </w:r>
          </w:p>
        </w:tc>
      </w:tr>
      <w:tr w:rsidR="00130A6D" w:rsidTr="00496BCA">
        <w:trPr>
          <w:trHeight w:val="359"/>
        </w:trPr>
        <w:tc>
          <w:tcPr>
            <w:tcW w:w="284" w:type="dxa"/>
          </w:tcPr>
          <w:p w:rsidR="00E26703" w:rsidRPr="00353F47" w:rsidRDefault="004160AB" w:rsidP="00E26703">
            <w:pPr>
              <w:pStyle w:val="Normal00"/>
              <w:spacing w:line="276" w:lineRule="auto"/>
              <w:jc w:val="both"/>
              <w:rPr>
                <w:rFonts w:ascii="Arial" w:eastAsia="SimSun" w:hAnsi="Arial" w:cs="Arial"/>
                <w:sz w:val="18"/>
                <w:szCs w:val="18"/>
                <w:lang w:eastAsia="ja-JP"/>
              </w:rPr>
            </w:pPr>
            <w:r w:rsidRPr="00353F47">
              <w:rPr>
                <w:rFonts w:ascii="Arial" w:eastAsia="SimSun" w:hAnsi="Arial" w:cs="Arial"/>
                <w:sz w:val="18"/>
                <w:szCs w:val="18"/>
                <w:lang w:eastAsia="ja-JP"/>
              </w:rPr>
              <w:t>●</w:t>
            </w:r>
          </w:p>
        </w:tc>
        <w:tc>
          <w:tcPr>
            <w:tcW w:w="9922" w:type="dxa"/>
          </w:tcPr>
          <w:p w:rsidR="00E26703" w:rsidRPr="008B1015" w:rsidRDefault="004160AB" w:rsidP="00E26703">
            <w:pPr>
              <w:rPr>
                <w:rFonts w:eastAsia="Times New Roman" w:cs="Arial"/>
                <w:szCs w:val="18"/>
                <w:lang w:eastAsia="ja-JP" w:bidi="he-IL"/>
              </w:rPr>
            </w:pPr>
            <w:r w:rsidRPr="008B1015">
              <w:rPr>
                <w:rFonts w:eastAsia="Calibri" w:cs="Arial"/>
                <w:szCs w:val="18"/>
                <w:lang w:val="en-US" w:bidi="he-IL"/>
              </w:rPr>
              <w:t>Excluding strategic, litigation and conduct costs, operating expenses</w:t>
            </w:r>
            <w:r w:rsidRPr="008B1015">
              <w:rPr>
                <w:rFonts w:eastAsia="Times New Roman" w:cs="Arial"/>
                <w:szCs w:val="18"/>
                <w:lang w:val="en-US" w:eastAsia="ja-JP" w:bidi="he-IL"/>
              </w:rPr>
              <w:t xml:space="preserve"> decreased by £49 million, or 8.0%, compared with Q3 2019, predominantly reflecting </w:t>
            </w:r>
            <w:r w:rsidRPr="008B1015">
              <w:rPr>
                <w:rFonts w:cs="Arial"/>
                <w:szCs w:val="18"/>
              </w:rPr>
              <w:t>a reduction in staff costs associated with a 10.3% reduction in headcount.</w:t>
            </w:r>
          </w:p>
        </w:tc>
      </w:tr>
      <w:tr w:rsidR="00130A6D" w:rsidTr="00496BCA">
        <w:trPr>
          <w:trHeight w:val="80"/>
        </w:trPr>
        <w:tc>
          <w:tcPr>
            <w:tcW w:w="284" w:type="dxa"/>
          </w:tcPr>
          <w:p w:rsidR="00E26703" w:rsidRPr="00353F47" w:rsidRDefault="004160AB" w:rsidP="00E26703">
            <w:pPr>
              <w:pStyle w:val="Normal00"/>
              <w:spacing w:line="276" w:lineRule="auto"/>
              <w:jc w:val="both"/>
              <w:rPr>
                <w:rFonts w:ascii="Arial" w:eastAsia="SimSun" w:hAnsi="Arial" w:cs="Arial"/>
                <w:sz w:val="18"/>
                <w:szCs w:val="18"/>
                <w:lang w:eastAsia="ja-JP"/>
              </w:rPr>
            </w:pPr>
            <w:r w:rsidRPr="00353F47">
              <w:rPr>
                <w:rFonts w:ascii="Arial" w:eastAsia="SimSun" w:hAnsi="Arial" w:cs="Arial"/>
                <w:sz w:val="18"/>
                <w:szCs w:val="18"/>
                <w:lang w:eastAsia="ja-JP"/>
              </w:rPr>
              <w:t>●</w:t>
            </w:r>
          </w:p>
        </w:tc>
        <w:tc>
          <w:tcPr>
            <w:tcW w:w="9922" w:type="dxa"/>
          </w:tcPr>
          <w:p w:rsidR="00E26703" w:rsidRPr="008B1015" w:rsidRDefault="004160AB" w:rsidP="00E26703">
            <w:pPr>
              <w:autoSpaceDE w:val="0"/>
              <w:autoSpaceDN w:val="0"/>
              <w:adjustRightInd w:val="0"/>
              <w:spacing w:line="240" w:lineRule="auto"/>
              <w:rPr>
                <w:rFonts w:eastAsia="Calibri" w:cs="Arial"/>
                <w:szCs w:val="18"/>
                <w:lang w:val="en-US" w:bidi="he-IL"/>
              </w:rPr>
            </w:pPr>
            <w:r w:rsidRPr="008B1015">
              <w:rPr>
                <w:rFonts w:eastAsia="Calibri" w:cs="Arial"/>
                <w:szCs w:val="18"/>
                <w:lang w:val="en-US" w:bidi="he-IL"/>
              </w:rPr>
              <w:t>Impairment losses of £70 million in Q3 2020 primarily reflect stage three default charges driven by personal advances.</w:t>
            </w:r>
          </w:p>
        </w:tc>
      </w:tr>
      <w:tr w:rsidR="00130A6D" w:rsidTr="00496BCA">
        <w:trPr>
          <w:trHeight w:val="253"/>
        </w:trPr>
        <w:tc>
          <w:tcPr>
            <w:tcW w:w="284" w:type="dxa"/>
          </w:tcPr>
          <w:p w:rsidR="00E26703" w:rsidRPr="00353F47" w:rsidRDefault="004160AB" w:rsidP="00E26703">
            <w:pPr>
              <w:pStyle w:val="Normal00"/>
              <w:spacing w:line="276" w:lineRule="auto"/>
              <w:jc w:val="both"/>
              <w:rPr>
                <w:rFonts w:ascii="Arial" w:eastAsia="SimSun" w:hAnsi="Arial" w:cs="Arial"/>
                <w:sz w:val="18"/>
                <w:szCs w:val="18"/>
                <w:lang w:eastAsia="ja-JP"/>
              </w:rPr>
            </w:pPr>
            <w:r w:rsidRPr="00353F47">
              <w:rPr>
                <w:rFonts w:ascii="Arial" w:eastAsia="SimSun" w:hAnsi="Arial" w:cs="Arial"/>
                <w:sz w:val="18"/>
                <w:szCs w:val="18"/>
                <w:lang w:eastAsia="ja-JP"/>
              </w:rPr>
              <w:t>●</w:t>
            </w:r>
          </w:p>
        </w:tc>
        <w:tc>
          <w:tcPr>
            <w:tcW w:w="9922" w:type="dxa"/>
          </w:tcPr>
          <w:p w:rsidR="00E26703" w:rsidRPr="008B1015" w:rsidRDefault="004160AB" w:rsidP="00E26703">
            <w:pPr>
              <w:rPr>
                <w:rFonts w:eastAsia="Times New Roman" w:cs="Arial"/>
                <w:szCs w:val="18"/>
                <w:lang w:val="en-US" w:eastAsia="ja-JP" w:bidi="he-IL"/>
              </w:rPr>
            </w:pPr>
            <w:bookmarkStart w:id="9" w:name="_Hlk53053223"/>
            <w:r w:rsidRPr="008B1015">
              <w:rPr>
                <w:rFonts w:eastAsia="Times New Roman" w:cs="Arial"/>
                <w:szCs w:val="18"/>
                <w:lang w:val="en-US" w:eastAsia="ja-JP" w:bidi="he-IL"/>
              </w:rPr>
              <w:t>Net loans to customers</w:t>
            </w:r>
            <w:r w:rsidRPr="008B1015">
              <w:rPr>
                <w:rFonts w:eastAsia="Calibri" w:cs="Arial"/>
                <w:szCs w:val="18"/>
                <w:lang w:val="en-US" w:bidi="he-IL"/>
              </w:rPr>
              <w:t xml:space="preserve"> </w:t>
            </w:r>
            <w:r w:rsidRPr="008B1015">
              <w:rPr>
                <w:rFonts w:eastAsia="Times New Roman" w:cs="Arial"/>
                <w:szCs w:val="18"/>
                <w:lang w:val="en-US" w:eastAsia="ja-JP" w:bidi="he-IL"/>
              </w:rPr>
              <w:t xml:space="preserve">increased by £2.2 billion compared with Q2 2020. </w:t>
            </w:r>
            <w:r w:rsidRPr="008B1015">
              <w:rPr>
                <w:rFonts w:cs="Arial"/>
                <w:szCs w:val="18"/>
              </w:rPr>
              <w:t>Gross new mortgage lending was £6.7 billion in Q3 2020, with market flow share of approximately 11% and strong retention supporting a stock share of approximately 10.6%. Unsecured balances remained stable in Q3 2020, compared with a reduction of £0.8 billion in Q2 2020.</w:t>
            </w:r>
            <w:bookmarkEnd w:id="9"/>
          </w:p>
        </w:tc>
      </w:tr>
      <w:tr w:rsidR="00130A6D" w:rsidTr="00496BCA">
        <w:trPr>
          <w:trHeight w:val="336"/>
        </w:trPr>
        <w:tc>
          <w:tcPr>
            <w:tcW w:w="284" w:type="dxa"/>
          </w:tcPr>
          <w:p w:rsidR="00E26703" w:rsidRPr="00353F47" w:rsidRDefault="004160AB" w:rsidP="00E26703">
            <w:pPr>
              <w:pStyle w:val="Normal00"/>
              <w:spacing w:line="276" w:lineRule="auto"/>
              <w:jc w:val="both"/>
              <w:rPr>
                <w:rFonts w:ascii="Arial" w:eastAsia="SimSun" w:hAnsi="Arial" w:cs="Arial"/>
                <w:sz w:val="18"/>
                <w:szCs w:val="18"/>
                <w:lang w:eastAsia="ja-JP"/>
              </w:rPr>
            </w:pPr>
            <w:r w:rsidRPr="00353F47">
              <w:rPr>
                <w:rFonts w:ascii="Arial" w:eastAsia="SimSun" w:hAnsi="Arial" w:cs="Arial"/>
                <w:sz w:val="18"/>
                <w:szCs w:val="18"/>
                <w:lang w:eastAsia="ja-JP"/>
              </w:rPr>
              <w:t>●</w:t>
            </w:r>
          </w:p>
        </w:tc>
        <w:tc>
          <w:tcPr>
            <w:tcW w:w="9922" w:type="dxa"/>
          </w:tcPr>
          <w:p w:rsidR="00E26703" w:rsidRPr="008B1015" w:rsidRDefault="004160AB" w:rsidP="00E26703">
            <w:pPr>
              <w:rPr>
                <w:rFonts w:eastAsia="Times New Roman" w:cs="Arial"/>
                <w:szCs w:val="18"/>
                <w:lang w:val="en-US" w:eastAsia="ja-JP" w:bidi="he-IL"/>
              </w:rPr>
            </w:pPr>
            <w:r w:rsidRPr="008B1015">
              <w:rPr>
                <w:rFonts w:eastAsia="Times New Roman" w:cs="Arial"/>
                <w:szCs w:val="18"/>
                <w:lang w:val="en-US" w:eastAsia="ja-JP" w:bidi="he-IL"/>
              </w:rPr>
              <w:t xml:space="preserve">Customer deposits increased by £3.9 billion in Q3 2020, compared with an £8.2 billion increase in Q2 2020, </w:t>
            </w:r>
            <w:r w:rsidRPr="008B1015">
              <w:rPr>
                <w:rFonts w:eastAsia="Calibri" w:cs="Arial"/>
                <w:szCs w:val="18"/>
                <w:lang w:val="en-US" w:bidi="he-IL"/>
              </w:rPr>
              <w:t>predominantly</w:t>
            </w:r>
            <w:r w:rsidRPr="008B1015">
              <w:rPr>
                <w:rFonts w:eastAsia="Times New Roman" w:cs="Arial"/>
                <w:szCs w:val="18"/>
                <w:lang w:val="en-US" w:eastAsia="ja-JP" w:bidi="he-IL"/>
              </w:rPr>
              <w:t xml:space="preserve"> driven by increasing current account balances, however growth slowed in Q3 2020 as customer spend levels increased towards pre-Covid-19 levels. </w:t>
            </w:r>
          </w:p>
        </w:tc>
      </w:tr>
    </w:tbl>
    <w:p w:rsidR="00305060" w:rsidRPr="009A6B85" w:rsidRDefault="00305060" w:rsidP="000A4C61">
      <w:pPr>
        <w:pStyle w:val="Normal200"/>
        <w:spacing w:line="259" w:lineRule="auto"/>
        <w:jc w:val="both"/>
        <w:rPr>
          <w:b/>
          <w:color w:val="42145F"/>
          <w:sz w:val="2"/>
          <w:szCs w:val="2"/>
          <w:lang w:eastAsia="ja-JP"/>
        </w:rPr>
      </w:pPr>
    </w:p>
    <w:p w:rsidR="006B4F34" w:rsidRDefault="004160AB">
      <w:pPr>
        <w:spacing w:after="200"/>
        <w:rPr>
          <w:rFonts w:eastAsia="Arial" w:cs="Arial"/>
          <w:b/>
          <w:color w:val="42145F"/>
          <w:szCs w:val="20"/>
          <w:lang w:eastAsia="ja-JP"/>
        </w:rPr>
      </w:pPr>
      <w:r>
        <w:rPr>
          <w:b/>
          <w:color w:val="42145F"/>
          <w:szCs w:val="20"/>
          <w:lang w:eastAsia="ja-JP"/>
        </w:rPr>
        <w:br w:type="page"/>
      </w:r>
    </w:p>
    <w:p w:rsidR="00741732" w:rsidRPr="00741732" w:rsidRDefault="004160AB" w:rsidP="00741732">
      <w:pPr>
        <w:pStyle w:val="Normal200"/>
        <w:spacing w:line="288" w:lineRule="auto"/>
        <w:jc w:val="both"/>
        <w:rPr>
          <w:b/>
          <w:color w:val="42145F"/>
          <w:sz w:val="18"/>
          <w:szCs w:val="20"/>
          <w:lang w:eastAsia="ja-JP"/>
        </w:rPr>
      </w:pPr>
      <w:r w:rsidRPr="00353F47">
        <w:rPr>
          <w:b/>
          <w:color w:val="42145F"/>
          <w:sz w:val="18"/>
          <w:szCs w:val="20"/>
          <w:lang w:eastAsia="ja-JP"/>
        </w:rPr>
        <w:lastRenderedPageBreak/>
        <w:t>Business performance summary</w:t>
      </w:r>
    </w:p>
    <w:p w:rsidR="000A4C61" w:rsidRPr="00353F47" w:rsidRDefault="004160AB" w:rsidP="000A4C61">
      <w:pPr>
        <w:pStyle w:val="Normal200"/>
        <w:spacing w:line="259" w:lineRule="auto"/>
        <w:jc w:val="both"/>
        <w:rPr>
          <w:b/>
          <w:color w:val="42145F"/>
          <w:sz w:val="18"/>
          <w:szCs w:val="18"/>
          <w:lang w:eastAsia="ja-JP"/>
        </w:rPr>
      </w:pPr>
      <w:r w:rsidRPr="00353F47">
        <w:rPr>
          <w:b/>
          <w:color w:val="42145F"/>
          <w:sz w:val="18"/>
          <w:szCs w:val="18"/>
          <w:lang w:eastAsia="ja-JP"/>
        </w:rPr>
        <w:t xml:space="preserve">Ulster Bank </w:t>
      </w:r>
      <w:proofErr w:type="spellStart"/>
      <w:r w:rsidRPr="00353F47">
        <w:rPr>
          <w:b/>
          <w:color w:val="42145F"/>
          <w:sz w:val="18"/>
          <w:szCs w:val="18"/>
          <w:lang w:eastAsia="ja-JP"/>
        </w:rPr>
        <w:t>RoI</w:t>
      </w:r>
      <w:proofErr w:type="spellEnd"/>
    </w:p>
    <w:tbl>
      <w:tblPr>
        <w:tblStyle w:val="table"/>
        <w:tblW w:w="10060" w:type="dxa"/>
        <w:tblInd w:w="5" w:type="dxa"/>
        <w:tblCellMar>
          <w:left w:w="0" w:type="dxa"/>
          <w:right w:w="0" w:type="dxa"/>
        </w:tblCellMar>
        <w:tblLook w:val="05E0" w:firstRow="1" w:lastRow="1" w:firstColumn="1" w:lastColumn="1" w:noHBand="0" w:noVBand="1"/>
      </w:tblPr>
      <w:tblGrid>
        <w:gridCol w:w="1710"/>
        <w:gridCol w:w="1260"/>
        <w:gridCol w:w="810"/>
        <w:gridCol w:w="1110"/>
        <w:gridCol w:w="60"/>
        <w:gridCol w:w="1860"/>
        <w:gridCol w:w="1260"/>
        <w:gridCol w:w="885"/>
        <w:gridCol w:w="1110"/>
      </w:tblGrid>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180"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center"/>
              <w:rPr>
                <w:rFonts w:eastAsia="Arial" w:cs="Arial"/>
                <w:b/>
                <w:bCs/>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3366"/>
                <w:sz w:val="16"/>
                <w:szCs w:val="16"/>
              </w:rPr>
            </w:pPr>
          </w:p>
        </w:tc>
        <w:tc>
          <w:tcPr>
            <w:tcW w:w="3255"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As at</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8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8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r>
      <w:tr w:rsidR="00130A6D">
        <w:trPr>
          <w:trHeight w:val="195"/>
        </w:trPr>
        <w:tc>
          <w:tcPr>
            <w:tcW w:w="17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145</w:t>
            </w:r>
          </w:p>
        </w:tc>
        <w:tc>
          <w:tcPr>
            <w:tcW w:w="8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135</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161</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 xml:space="preserve">Net loans to customers - </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(138)</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(140)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(146)</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amortised cost</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20.5</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21.4</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21.6</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21.7</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releases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(246)</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13.3</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14.1</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15.3</w:t>
            </w: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profit/(loss)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(251)</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(45.5%)</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5.8%</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1.47%</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1.49%</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1.54%</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95.2%</w:t>
            </w:r>
          </w:p>
        </w:tc>
        <w:tc>
          <w:tcPr>
            <w:tcW w:w="8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103.7%</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90.7%</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7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Loan impairment rate</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11bps</w:t>
            </w:r>
          </w:p>
        </w:tc>
        <w:tc>
          <w:tcPr>
            <w:tcW w:w="8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460bps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w:t>
            </w:r>
            <w:proofErr w:type="gramStart"/>
            <w:r>
              <w:rPr>
                <w:rFonts w:eastAsia="Arial" w:cs="Arial"/>
                <w:color w:val="000000"/>
                <w:sz w:val="16"/>
                <w:szCs w:val="16"/>
              </w:rPr>
              <w:t>34)bps</w:t>
            </w:r>
            <w:proofErr w:type="gramEnd"/>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7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8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bl>
    <w:tbl>
      <w:tblPr>
        <w:tblW w:w="10204" w:type="dxa"/>
        <w:tblLayout w:type="fixed"/>
        <w:tblCellMar>
          <w:left w:w="0" w:type="dxa"/>
          <w:right w:w="0" w:type="dxa"/>
        </w:tblCellMar>
        <w:tblLook w:val="01E0" w:firstRow="1" w:lastRow="1" w:firstColumn="1" w:lastColumn="1" w:noHBand="0" w:noVBand="0"/>
      </w:tblPr>
      <w:tblGrid>
        <w:gridCol w:w="284"/>
        <w:gridCol w:w="9920"/>
      </w:tblGrid>
      <w:tr w:rsidR="00130A6D" w:rsidTr="00175989">
        <w:trPr>
          <w:trHeight w:val="362"/>
        </w:trPr>
        <w:tc>
          <w:tcPr>
            <w:tcW w:w="10204" w:type="dxa"/>
            <w:gridSpan w:val="2"/>
            <w:tcBorders>
              <w:top w:val="nil"/>
              <w:left w:val="nil"/>
              <w:bottom w:val="nil"/>
              <w:right w:val="nil"/>
            </w:tcBorders>
          </w:tcPr>
          <w:p w:rsidR="00175989" w:rsidRPr="00175989" w:rsidRDefault="004160AB" w:rsidP="00175989">
            <w:pPr>
              <w:pStyle w:val="Normal00"/>
              <w:spacing w:line="276" w:lineRule="auto"/>
              <w:jc w:val="both"/>
              <w:rPr>
                <w:rFonts w:ascii="Arial" w:eastAsia="SimSun" w:hAnsi="Arial" w:cs="Arial"/>
                <w:color w:val="003366"/>
                <w:sz w:val="14"/>
                <w:szCs w:val="14"/>
                <w:lang w:eastAsia="ja-JP"/>
              </w:rPr>
            </w:pPr>
            <w:r w:rsidRPr="00175989">
              <w:rPr>
                <w:rFonts w:ascii="Arial" w:eastAsia="SimSun" w:hAnsi="Arial" w:cs="Arial"/>
                <w:sz w:val="14"/>
                <w:szCs w:val="14"/>
                <w:lang w:eastAsia="ja-JP"/>
              </w:rPr>
              <w:t>Note:</w:t>
            </w:r>
          </w:p>
          <w:p w:rsidR="00175989" w:rsidRPr="00175989" w:rsidRDefault="004160AB" w:rsidP="00175989">
            <w:pPr>
              <w:pStyle w:val="ListParagraph"/>
              <w:numPr>
                <w:ilvl w:val="0"/>
                <w:numId w:val="6"/>
              </w:numPr>
              <w:spacing w:after="0"/>
              <w:ind w:left="284" w:hanging="284"/>
              <w:rPr>
                <w:rFonts w:eastAsia="SimSun" w:cs="Arial"/>
                <w:sz w:val="14"/>
                <w:szCs w:val="14"/>
                <w:lang w:eastAsia="ja-JP"/>
              </w:rPr>
            </w:pPr>
            <w:r w:rsidRPr="00175989">
              <w:rPr>
                <w:rFonts w:ascii="Arial" w:eastAsia="SimSun" w:hAnsi="Arial" w:cs="Arial"/>
                <w:sz w:val="14"/>
                <w:szCs w:val="14"/>
                <w:lang w:eastAsia="ja-JP"/>
              </w:rPr>
              <w:t xml:space="preserve"> Ratios have been presented on a Euro basis. Comparatives have been restated.</w:t>
            </w:r>
          </w:p>
        </w:tc>
      </w:tr>
      <w:tr w:rsidR="00130A6D" w:rsidTr="00175989">
        <w:trPr>
          <w:trHeight w:val="80"/>
        </w:trPr>
        <w:tc>
          <w:tcPr>
            <w:tcW w:w="10204" w:type="dxa"/>
            <w:gridSpan w:val="2"/>
            <w:tcBorders>
              <w:top w:val="nil"/>
              <w:left w:val="nil"/>
              <w:bottom w:val="nil"/>
              <w:right w:val="nil"/>
            </w:tcBorders>
          </w:tcPr>
          <w:p w:rsidR="00175989" w:rsidRPr="00741732" w:rsidRDefault="00175989" w:rsidP="00175989">
            <w:pPr>
              <w:pStyle w:val="Normal00"/>
              <w:spacing w:line="276" w:lineRule="auto"/>
              <w:jc w:val="both"/>
              <w:rPr>
                <w:rFonts w:ascii="Arial" w:hAnsi="Arial" w:cs="Arial"/>
                <w:sz w:val="10"/>
                <w:szCs w:val="10"/>
                <w:lang w:val="en-US" w:eastAsia="ja-JP" w:bidi="he-IL"/>
              </w:rPr>
            </w:pPr>
          </w:p>
        </w:tc>
      </w:tr>
      <w:tr w:rsidR="00130A6D" w:rsidTr="00D60342">
        <w:trPr>
          <w:trHeight w:val="199"/>
        </w:trPr>
        <w:tc>
          <w:tcPr>
            <w:tcW w:w="10204" w:type="dxa"/>
            <w:gridSpan w:val="2"/>
            <w:tcBorders>
              <w:top w:val="nil"/>
              <w:left w:val="nil"/>
              <w:bottom w:val="nil"/>
              <w:right w:val="nil"/>
            </w:tcBorders>
          </w:tcPr>
          <w:p w:rsidR="00E26703" w:rsidRPr="00E26703" w:rsidRDefault="004160AB" w:rsidP="00083597">
            <w:pPr>
              <w:rPr>
                <w:rFonts w:eastAsia="Times New Roman" w:cs="Arial"/>
                <w:szCs w:val="18"/>
                <w:lang w:val="en-US" w:eastAsia="ja-JP" w:bidi="he-IL"/>
              </w:rPr>
            </w:pPr>
            <w:bookmarkStart w:id="10" w:name="_Hlk54277343"/>
            <w:r w:rsidRPr="00685555">
              <w:rPr>
                <w:rFonts w:eastAsia="Times New Roman" w:cs="Arial"/>
                <w:szCs w:val="18"/>
                <w:lang w:val="en-US" w:eastAsia="ja-JP" w:bidi="he-IL"/>
              </w:rPr>
              <w:t xml:space="preserve">Our strategy to grow our Ulster Bank business in the Republic of Ireland organically and safely remains unchanged. We continue to evaluate the impact of Covid-19 and the challenges to the economy and we are reviewing our strategy appropriately and responsibly </w:t>
            </w:r>
            <w:proofErr w:type="gramStart"/>
            <w:r w:rsidRPr="00685555">
              <w:rPr>
                <w:rFonts w:eastAsia="Times New Roman" w:cs="Arial"/>
                <w:szCs w:val="18"/>
                <w:lang w:val="en-US" w:eastAsia="ja-JP" w:bidi="he-IL"/>
              </w:rPr>
              <w:t>in light of</w:t>
            </w:r>
            <w:proofErr w:type="gramEnd"/>
            <w:r w:rsidRPr="00685555">
              <w:rPr>
                <w:rFonts w:eastAsia="Times New Roman" w:cs="Arial"/>
                <w:szCs w:val="18"/>
                <w:lang w:val="en-US" w:eastAsia="ja-JP" w:bidi="he-IL"/>
              </w:rPr>
              <w:t xml:space="preserve"> these events.</w:t>
            </w:r>
          </w:p>
        </w:tc>
      </w:tr>
      <w:tr w:rsidR="00130A6D" w:rsidTr="00DF29A0">
        <w:trPr>
          <w:trHeight w:val="80"/>
        </w:trPr>
        <w:tc>
          <w:tcPr>
            <w:tcW w:w="284" w:type="dxa"/>
            <w:tcBorders>
              <w:top w:val="nil"/>
              <w:left w:val="nil"/>
              <w:bottom w:val="nil"/>
              <w:right w:val="nil"/>
            </w:tcBorders>
          </w:tcPr>
          <w:p w:rsidR="00E26703" w:rsidRPr="00DF29A0" w:rsidRDefault="00E26703" w:rsidP="00083597">
            <w:pPr>
              <w:pStyle w:val="Normal00"/>
              <w:spacing w:line="276" w:lineRule="auto"/>
              <w:rPr>
                <w:rFonts w:ascii="Arial" w:eastAsia="SimSun" w:hAnsi="Arial" w:cs="Arial"/>
                <w:sz w:val="14"/>
                <w:szCs w:val="14"/>
                <w:lang w:eastAsia="ja-JP"/>
              </w:rPr>
            </w:pPr>
          </w:p>
        </w:tc>
        <w:tc>
          <w:tcPr>
            <w:tcW w:w="9920" w:type="dxa"/>
            <w:tcBorders>
              <w:top w:val="nil"/>
              <w:left w:val="nil"/>
              <w:bottom w:val="nil"/>
              <w:right w:val="nil"/>
            </w:tcBorders>
          </w:tcPr>
          <w:p w:rsidR="00E26703" w:rsidRPr="00DF29A0" w:rsidRDefault="00E26703" w:rsidP="00083597">
            <w:pPr>
              <w:rPr>
                <w:sz w:val="14"/>
                <w:szCs w:val="14"/>
                <w:lang w:val="en-US" w:eastAsia="ja-JP"/>
              </w:rPr>
            </w:pPr>
          </w:p>
        </w:tc>
      </w:tr>
      <w:tr w:rsidR="00130A6D" w:rsidTr="00DF29A0">
        <w:trPr>
          <w:trHeight w:val="547"/>
        </w:trPr>
        <w:tc>
          <w:tcPr>
            <w:tcW w:w="10204" w:type="dxa"/>
            <w:gridSpan w:val="2"/>
            <w:tcBorders>
              <w:top w:val="nil"/>
              <w:left w:val="nil"/>
              <w:bottom w:val="nil"/>
              <w:right w:val="nil"/>
            </w:tcBorders>
          </w:tcPr>
          <w:p w:rsidR="00E26703" w:rsidRPr="00685555" w:rsidRDefault="004160AB" w:rsidP="00083597">
            <w:pPr>
              <w:rPr>
                <w:rFonts w:eastAsia="Times New Roman" w:cs="Arial"/>
                <w:szCs w:val="18"/>
                <w:lang w:val="en-US" w:eastAsia="ja-JP" w:bidi="he-IL"/>
              </w:rPr>
            </w:pPr>
            <w:r w:rsidRPr="00685555">
              <w:rPr>
                <w:rFonts w:eastAsia="Times New Roman" w:cs="Arial"/>
                <w:szCs w:val="18"/>
                <w:lang w:val="en-US" w:eastAsia="ja-JP" w:bidi="he-IL"/>
              </w:rPr>
              <w:t>In the event of any changes being made to our strategy, these would be undertaken with full consideration of any impact on customers, colleagues and shareholders in the first instance. Our priority now is to continue to remain focused on supporting our colleagues in serving our customers in these difficult times.</w:t>
            </w:r>
          </w:p>
          <w:p w:rsidR="00E26703" w:rsidRPr="00DF29A0" w:rsidRDefault="00E26703" w:rsidP="00083597">
            <w:pPr>
              <w:rPr>
                <w:sz w:val="14"/>
                <w:szCs w:val="14"/>
                <w:lang w:val="en-US" w:eastAsia="ja-JP"/>
              </w:rPr>
            </w:pPr>
          </w:p>
        </w:tc>
      </w:tr>
      <w:tr w:rsidR="00130A6D" w:rsidTr="00825346">
        <w:trPr>
          <w:trHeight w:val="350"/>
        </w:trPr>
        <w:tc>
          <w:tcPr>
            <w:tcW w:w="10204" w:type="dxa"/>
            <w:gridSpan w:val="2"/>
            <w:tcBorders>
              <w:top w:val="nil"/>
              <w:left w:val="nil"/>
              <w:bottom w:val="nil"/>
              <w:right w:val="nil"/>
            </w:tcBorders>
          </w:tcPr>
          <w:p w:rsidR="00E26703" w:rsidRPr="00D26782" w:rsidRDefault="004160AB" w:rsidP="00083597">
            <w:pPr>
              <w:pStyle w:val="Normal00"/>
              <w:spacing w:line="276" w:lineRule="auto"/>
              <w:rPr>
                <w:rFonts w:ascii="Arial" w:hAnsi="Arial" w:cs="Arial"/>
                <w:sz w:val="18"/>
                <w:szCs w:val="18"/>
                <w:lang w:val="en-US" w:eastAsia="ja-JP" w:bidi="he-IL"/>
              </w:rPr>
            </w:pPr>
            <w:bookmarkStart w:id="11" w:name="_Hlk54083112"/>
            <w:r>
              <w:rPr>
                <w:rFonts w:ascii="Arial" w:hAnsi="Arial" w:cs="Arial"/>
                <w:sz w:val="18"/>
                <w:szCs w:val="18"/>
                <w:lang w:val="en-US" w:eastAsia="ja-JP" w:bidi="he-IL"/>
              </w:rPr>
              <w:t xml:space="preserve">As at Q3 2020, Ulster Bank </w:t>
            </w:r>
            <w:proofErr w:type="spellStart"/>
            <w:r>
              <w:rPr>
                <w:rFonts w:ascii="Arial" w:hAnsi="Arial" w:cs="Arial"/>
                <w:sz w:val="18"/>
                <w:szCs w:val="18"/>
                <w:lang w:val="en-US" w:eastAsia="ja-JP" w:bidi="he-IL"/>
              </w:rPr>
              <w:t>RoI</w:t>
            </w:r>
            <w:proofErr w:type="spellEnd"/>
            <w:r>
              <w:rPr>
                <w:rFonts w:ascii="Arial" w:hAnsi="Arial" w:cs="Arial"/>
                <w:sz w:val="18"/>
                <w:szCs w:val="18"/>
                <w:lang w:val="en-US" w:eastAsia="ja-JP" w:bidi="he-IL"/>
              </w:rPr>
              <w:t xml:space="preserve"> had approved over 17,000 payment breaks and, of those who have rolled off their initial payment break, approximately 46% have opted for a second payment break, representing around 8% of the lending book by value.</w:t>
            </w:r>
            <w:bookmarkEnd w:id="11"/>
          </w:p>
        </w:tc>
      </w:tr>
      <w:tr w:rsidR="00130A6D" w:rsidTr="00175989">
        <w:trPr>
          <w:trHeight w:val="199"/>
        </w:trPr>
        <w:tc>
          <w:tcPr>
            <w:tcW w:w="284" w:type="dxa"/>
            <w:tcBorders>
              <w:top w:val="nil"/>
              <w:left w:val="nil"/>
              <w:bottom w:val="nil"/>
              <w:right w:val="nil"/>
            </w:tcBorders>
          </w:tcPr>
          <w:p w:rsidR="00E26703" w:rsidRPr="00DF29A0" w:rsidRDefault="00E26703" w:rsidP="00E26703">
            <w:pPr>
              <w:pStyle w:val="Normal00"/>
              <w:spacing w:line="276" w:lineRule="auto"/>
              <w:jc w:val="both"/>
              <w:rPr>
                <w:rFonts w:ascii="Arial" w:eastAsia="SimSun" w:hAnsi="Arial" w:cs="Arial"/>
                <w:sz w:val="14"/>
                <w:szCs w:val="14"/>
                <w:lang w:eastAsia="ja-JP"/>
              </w:rPr>
            </w:pPr>
          </w:p>
        </w:tc>
        <w:tc>
          <w:tcPr>
            <w:tcW w:w="9920" w:type="dxa"/>
            <w:tcBorders>
              <w:top w:val="nil"/>
              <w:left w:val="nil"/>
              <w:bottom w:val="nil"/>
              <w:right w:val="nil"/>
            </w:tcBorders>
          </w:tcPr>
          <w:p w:rsidR="00E26703" w:rsidRPr="00DF29A0" w:rsidRDefault="00E26703" w:rsidP="00E26703">
            <w:pPr>
              <w:rPr>
                <w:sz w:val="14"/>
                <w:szCs w:val="14"/>
                <w:lang w:val="en-US" w:eastAsia="ja-JP"/>
              </w:rPr>
            </w:pPr>
          </w:p>
        </w:tc>
      </w:tr>
      <w:tr w:rsidR="00130A6D" w:rsidTr="00175989">
        <w:trPr>
          <w:trHeight w:val="199"/>
        </w:trPr>
        <w:tc>
          <w:tcPr>
            <w:tcW w:w="284" w:type="dxa"/>
            <w:tcBorders>
              <w:top w:val="nil"/>
              <w:left w:val="nil"/>
              <w:bottom w:val="nil"/>
              <w:right w:val="nil"/>
            </w:tcBorders>
          </w:tcPr>
          <w:p w:rsidR="00E26703" w:rsidRPr="00D7165F" w:rsidRDefault="004160AB" w:rsidP="00E26703">
            <w:pPr>
              <w:pStyle w:val="Normal00"/>
              <w:spacing w:line="276" w:lineRule="auto"/>
              <w:jc w:val="both"/>
              <w:rPr>
                <w:rFonts w:eastAsia="SimSun"/>
                <w:sz w:val="14"/>
                <w:szCs w:val="14"/>
                <w:lang w:eastAsia="ja-JP"/>
              </w:rPr>
            </w:pPr>
            <w:r w:rsidRPr="00D7165F">
              <w:rPr>
                <w:rFonts w:ascii="Arial" w:eastAsia="SimSun" w:hAnsi="Arial" w:cs="Arial"/>
                <w:sz w:val="20"/>
                <w:szCs w:val="18"/>
                <w:lang w:eastAsia="ja-JP"/>
              </w:rPr>
              <w:t>●</w:t>
            </w:r>
          </w:p>
        </w:tc>
        <w:tc>
          <w:tcPr>
            <w:tcW w:w="9920" w:type="dxa"/>
            <w:tcBorders>
              <w:top w:val="nil"/>
              <w:left w:val="nil"/>
              <w:bottom w:val="nil"/>
              <w:right w:val="nil"/>
            </w:tcBorders>
          </w:tcPr>
          <w:p w:rsidR="00E26703" w:rsidRPr="00A86585" w:rsidRDefault="004160AB" w:rsidP="00E26703">
            <w:pPr>
              <w:rPr>
                <w:rFonts w:ascii="Calibri" w:hAnsi="Calibri"/>
                <w:sz w:val="22"/>
                <w:lang w:val="en-US" w:eastAsia="ja-JP"/>
              </w:rPr>
            </w:pPr>
            <w:r w:rsidRPr="00A86585">
              <w:rPr>
                <w:lang w:val="en-US" w:eastAsia="ja-JP"/>
              </w:rPr>
              <w:t xml:space="preserve">Total income decreased by €16 million, or 9.9%, compared with Q3 2019 primarily due to lower lending income, reduced transaction volumes and fee income resulting from the impact of Covid-19. Total income increased by €10 million in comparison to Q2 2020, reflecting higher fee income from a return to more </w:t>
            </w:r>
            <w:proofErr w:type="spellStart"/>
            <w:r w:rsidRPr="00A86585">
              <w:rPr>
                <w:lang w:val="en-US" w:eastAsia="ja-JP"/>
              </w:rPr>
              <w:t>normalised</w:t>
            </w:r>
            <w:proofErr w:type="spellEnd"/>
            <w:r w:rsidRPr="00A86585">
              <w:rPr>
                <w:lang w:val="en-US" w:eastAsia="ja-JP"/>
              </w:rPr>
              <w:t xml:space="preserve"> transaction levels. Net interest margin decreased by 2 basis points in comparison to Q2 2020 reflecting the continued impact of negative rates on increased liquid assets.</w:t>
            </w:r>
          </w:p>
        </w:tc>
      </w:tr>
      <w:tr w:rsidR="00130A6D" w:rsidTr="00175989">
        <w:trPr>
          <w:trHeight w:val="267"/>
        </w:trPr>
        <w:tc>
          <w:tcPr>
            <w:tcW w:w="284" w:type="dxa"/>
            <w:tcBorders>
              <w:top w:val="nil"/>
              <w:left w:val="nil"/>
              <w:bottom w:val="nil"/>
              <w:right w:val="nil"/>
            </w:tcBorders>
          </w:tcPr>
          <w:p w:rsidR="00E26703" w:rsidRPr="00D7165F" w:rsidRDefault="004160AB" w:rsidP="00E26703">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20" w:type="dxa"/>
            <w:tcBorders>
              <w:top w:val="nil"/>
              <w:left w:val="nil"/>
              <w:bottom w:val="nil"/>
              <w:right w:val="nil"/>
            </w:tcBorders>
          </w:tcPr>
          <w:p w:rsidR="00E26703" w:rsidRPr="00B9244C" w:rsidRDefault="004160AB" w:rsidP="00E26703">
            <w:pPr>
              <w:rPr>
                <w:rFonts w:eastAsia="Times New Roman" w:cs="Arial"/>
                <w:szCs w:val="18"/>
                <w:lang w:val="en-US" w:eastAsia="ja-JP" w:bidi="he-IL"/>
              </w:rPr>
            </w:pPr>
            <w:r>
              <w:t>Impairment losses were €6 million in Q3 2020, with payment breaks in part mitigating the full impact of credit losses attributable to the Covid-19 pandemic.</w:t>
            </w:r>
          </w:p>
        </w:tc>
      </w:tr>
      <w:tr w:rsidR="00130A6D" w:rsidTr="00175989">
        <w:trPr>
          <w:trHeight w:val="510"/>
        </w:trPr>
        <w:tc>
          <w:tcPr>
            <w:tcW w:w="284" w:type="dxa"/>
            <w:tcBorders>
              <w:top w:val="nil"/>
              <w:left w:val="nil"/>
              <w:bottom w:val="nil"/>
              <w:right w:val="nil"/>
            </w:tcBorders>
          </w:tcPr>
          <w:p w:rsidR="00E26703" w:rsidRPr="00D7165F" w:rsidRDefault="004160AB" w:rsidP="00E26703">
            <w:pPr>
              <w:pStyle w:val="Normal00"/>
              <w:spacing w:line="276" w:lineRule="auto"/>
              <w:jc w:val="both"/>
              <w:rPr>
                <w:rFonts w:eastAsia="SimSun"/>
                <w:sz w:val="14"/>
                <w:szCs w:val="14"/>
                <w:lang w:eastAsia="ja-JP"/>
              </w:rPr>
            </w:pPr>
            <w:r w:rsidRPr="00D7165F">
              <w:rPr>
                <w:rFonts w:ascii="Arial" w:eastAsia="SimSun" w:hAnsi="Arial" w:cs="Arial"/>
                <w:sz w:val="20"/>
                <w:szCs w:val="18"/>
                <w:lang w:eastAsia="ja-JP"/>
              </w:rPr>
              <w:t>●</w:t>
            </w:r>
          </w:p>
        </w:tc>
        <w:tc>
          <w:tcPr>
            <w:tcW w:w="9920" w:type="dxa"/>
            <w:tcBorders>
              <w:top w:val="nil"/>
              <w:left w:val="nil"/>
              <w:bottom w:val="nil"/>
              <w:right w:val="nil"/>
            </w:tcBorders>
          </w:tcPr>
          <w:p w:rsidR="00E26703" w:rsidRPr="009061DF" w:rsidRDefault="004160AB" w:rsidP="00E26703">
            <w:pPr>
              <w:rPr>
                <w:rFonts w:eastAsia="Times New Roman" w:cs="Arial"/>
                <w:szCs w:val="18"/>
                <w:lang w:val="en-US" w:eastAsia="ja-JP" w:bidi="he-IL"/>
              </w:rPr>
            </w:pPr>
            <w:r>
              <w:rPr>
                <w:rFonts w:eastAsia="Times New Roman" w:cs="Arial"/>
                <w:szCs w:val="18"/>
                <w:lang w:val="en-US" w:eastAsia="ja-JP" w:bidi="he-IL"/>
              </w:rPr>
              <w:t>Net loans to customers decreased by €0.3 billion compared with Q2 2020 as repayments continued to exceed gross new lending, combined with a further derecognition of the non-performing loan (NPL) sale agreed in 2019. Gross new lending of €0.4 billion was broadly in line with Q2 2020.</w:t>
            </w:r>
          </w:p>
        </w:tc>
      </w:tr>
      <w:tr w:rsidR="00130A6D" w:rsidTr="00175989">
        <w:trPr>
          <w:trHeight w:val="475"/>
        </w:trPr>
        <w:tc>
          <w:tcPr>
            <w:tcW w:w="284" w:type="dxa"/>
            <w:tcBorders>
              <w:top w:val="nil"/>
              <w:left w:val="nil"/>
              <w:bottom w:val="nil"/>
              <w:right w:val="nil"/>
            </w:tcBorders>
          </w:tcPr>
          <w:p w:rsidR="00E26703" w:rsidRPr="00D7165F" w:rsidRDefault="004160AB" w:rsidP="00E26703">
            <w:pPr>
              <w:pStyle w:val="Normal00"/>
              <w:spacing w:line="276" w:lineRule="auto"/>
              <w:jc w:val="both"/>
              <w:rPr>
                <w:rFonts w:eastAsia="SimSun"/>
                <w:sz w:val="14"/>
                <w:szCs w:val="14"/>
                <w:lang w:eastAsia="ja-JP"/>
              </w:rPr>
            </w:pPr>
            <w:r w:rsidRPr="00D7165F">
              <w:rPr>
                <w:rFonts w:ascii="Arial" w:eastAsia="SimSun" w:hAnsi="Arial" w:cs="Arial"/>
                <w:sz w:val="20"/>
                <w:szCs w:val="18"/>
                <w:lang w:eastAsia="ja-JP"/>
              </w:rPr>
              <w:t>●</w:t>
            </w:r>
          </w:p>
        </w:tc>
        <w:tc>
          <w:tcPr>
            <w:tcW w:w="9920" w:type="dxa"/>
            <w:tcBorders>
              <w:top w:val="nil"/>
              <w:left w:val="nil"/>
              <w:bottom w:val="nil"/>
              <w:right w:val="nil"/>
            </w:tcBorders>
          </w:tcPr>
          <w:p w:rsidR="00E26703" w:rsidRPr="00F658EA" w:rsidRDefault="004160AB" w:rsidP="00E26703">
            <w:pPr>
              <w:ind w:right="567"/>
              <w:rPr>
                <w:rFonts w:eastAsia="Times New Roman" w:cs="Arial"/>
                <w:szCs w:val="18"/>
                <w:lang w:val="en-US" w:eastAsia="ja-JP" w:bidi="he-IL"/>
              </w:rPr>
            </w:pPr>
            <w:r w:rsidRPr="00F658EA">
              <w:rPr>
                <w:rFonts w:eastAsia="Times New Roman" w:cs="Arial"/>
                <w:szCs w:val="18"/>
                <w:lang w:val="en-US" w:eastAsia="ja-JP" w:bidi="he-IL"/>
              </w:rPr>
              <w:t xml:space="preserve">Customer deposits decreased by €0.4 billion in comparison to Q2 2020 mainly due to the introduction of negative rates on certain commercial deposit categories. </w:t>
            </w:r>
          </w:p>
        </w:tc>
      </w:tr>
      <w:tr w:rsidR="00130A6D" w:rsidTr="00175989">
        <w:trPr>
          <w:trHeight w:val="475"/>
        </w:trPr>
        <w:tc>
          <w:tcPr>
            <w:tcW w:w="284" w:type="dxa"/>
            <w:tcBorders>
              <w:top w:val="nil"/>
              <w:left w:val="nil"/>
              <w:bottom w:val="nil"/>
              <w:right w:val="nil"/>
            </w:tcBorders>
          </w:tcPr>
          <w:p w:rsidR="00E26703" w:rsidRPr="00D7165F" w:rsidRDefault="004160AB" w:rsidP="00E26703">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20" w:type="dxa"/>
            <w:tcBorders>
              <w:top w:val="nil"/>
              <w:left w:val="nil"/>
              <w:bottom w:val="nil"/>
              <w:right w:val="nil"/>
            </w:tcBorders>
          </w:tcPr>
          <w:p w:rsidR="00E26703" w:rsidRPr="009A5AA3" w:rsidRDefault="004160AB" w:rsidP="00E26703">
            <w:pPr>
              <w:ind w:right="567"/>
              <w:rPr>
                <w:rFonts w:eastAsia="Times New Roman" w:cs="Arial"/>
                <w:szCs w:val="18"/>
                <w:lang w:val="en-US" w:eastAsia="ja-JP" w:bidi="he-IL"/>
              </w:rPr>
            </w:pPr>
            <w:r w:rsidRPr="006F752B">
              <w:rPr>
                <w:rFonts w:eastAsia="Times New Roman" w:cs="Arial"/>
                <w:szCs w:val="18"/>
                <w:lang w:val="en-US" w:eastAsia="ja-JP" w:bidi="he-IL"/>
              </w:rPr>
              <w:t>RWAs decreased by €0.8 billion in comparison to Q2 2020 reflecting the €0.2 billion impact of the NPL sale derecognition, lower volumes and improved credit metrics.</w:t>
            </w:r>
          </w:p>
          <w:p w:rsidR="00E26703" w:rsidRPr="00057D62" w:rsidRDefault="00E26703" w:rsidP="00E26703">
            <w:pPr>
              <w:ind w:right="567"/>
              <w:rPr>
                <w:rFonts w:eastAsia="Times New Roman" w:cs="Arial"/>
                <w:sz w:val="10"/>
                <w:szCs w:val="10"/>
                <w:lang w:val="en-US" w:eastAsia="ja-JP" w:bidi="he-IL"/>
              </w:rPr>
            </w:pPr>
          </w:p>
        </w:tc>
      </w:tr>
      <w:bookmarkEnd w:id="10"/>
    </w:tbl>
    <w:p w:rsidR="00653AE2" w:rsidRPr="00741732" w:rsidRDefault="00653AE2" w:rsidP="00FE3D17">
      <w:pPr>
        <w:pStyle w:val="Normal200"/>
        <w:spacing w:line="288" w:lineRule="auto"/>
        <w:jc w:val="both"/>
        <w:rPr>
          <w:b/>
          <w:color w:val="42145F"/>
          <w:sz w:val="14"/>
          <w:szCs w:val="14"/>
          <w:lang w:eastAsia="ja-JP"/>
        </w:rPr>
      </w:pPr>
    </w:p>
    <w:p w:rsidR="00E26703" w:rsidRDefault="00E26703" w:rsidP="00E26703">
      <w:pPr>
        <w:pStyle w:val="Normal200"/>
        <w:spacing w:line="288" w:lineRule="auto"/>
        <w:jc w:val="both"/>
        <w:rPr>
          <w:b/>
          <w:color w:val="42145F"/>
          <w:sz w:val="18"/>
          <w:szCs w:val="20"/>
          <w:lang w:eastAsia="ja-JP"/>
        </w:rPr>
      </w:pPr>
    </w:p>
    <w:p w:rsidR="00E26703" w:rsidRDefault="00E26703" w:rsidP="00E26703">
      <w:pPr>
        <w:pStyle w:val="Normal200"/>
        <w:spacing w:line="288" w:lineRule="auto"/>
        <w:jc w:val="both"/>
        <w:rPr>
          <w:b/>
          <w:color w:val="42145F"/>
          <w:sz w:val="18"/>
          <w:szCs w:val="20"/>
          <w:lang w:eastAsia="ja-JP"/>
        </w:rPr>
      </w:pPr>
    </w:p>
    <w:p w:rsidR="00E26703" w:rsidRDefault="00E26703" w:rsidP="00E26703">
      <w:pPr>
        <w:pStyle w:val="Normal200"/>
        <w:spacing w:line="288" w:lineRule="auto"/>
        <w:jc w:val="both"/>
        <w:rPr>
          <w:b/>
          <w:color w:val="42145F"/>
          <w:sz w:val="18"/>
          <w:szCs w:val="20"/>
          <w:lang w:eastAsia="ja-JP"/>
        </w:rPr>
      </w:pPr>
    </w:p>
    <w:p w:rsidR="00E26703" w:rsidRDefault="00E26703" w:rsidP="00E26703">
      <w:pPr>
        <w:pStyle w:val="Normal200"/>
        <w:spacing w:line="288" w:lineRule="auto"/>
        <w:jc w:val="both"/>
        <w:rPr>
          <w:b/>
          <w:color w:val="42145F"/>
          <w:sz w:val="18"/>
          <w:szCs w:val="20"/>
          <w:lang w:eastAsia="ja-JP"/>
        </w:rPr>
      </w:pPr>
    </w:p>
    <w:p w:rsidR="00E26703" w:rsidRDefault="00E26703" w:rsidP="00E26703">
      <w:pPr>
        <w:pStyle w:val="Normal200"/>
        <w:spacing w:line="288" w:lineRule="auto"/>
        <w:jc w:val="both"/>
        <w:rPr>
          <w:b/>
          <w:color w:val="42145F"/>
          <w:sz w:val="18"/>
          <w:szCs w:val="20"/>
          <w:lang w:eastAsia="ja-JP"/>
        </w:rPr>
      </w:pPr>
    </w:p>
    <w:p w:rsidR="009879F2" w:rsidRDefault="004160AB">
      <w:pPr>
        <w:spacing w:after="200"/>
        <w:rPr>
          <w:rFonts w:eastAsia="Arial" w:cs="Arial"/>
          <w:b/>
          <w:color w:val="42145F"/>
          <w:szCs w:val="20"/>
          <w:lang w:eastAsia="ja-JP"/>
        </w:rPr>
      </w:pPr>
      <w:r>
        <w:rPr>
          <w:b/>
          <w:color w:val="42145F"/>
          <w:szCs w:val="20"/>
          <w:lang w:eastAsia="ja-JP"/>
        </w:rPr>
        <w:br w:type="page"/>
      </w:r>
    </w:p>
    <w:p w:rsidR="00E26703" w:rsidRPr="00741732" w:rsidRDefault="004160AB" w:rsidP="00E26703">
      <w:pPr>
        <w:pStyle w:val="Normal200"/>
        <w:spacing w:line="288" w:lineRule="auto"/>
        <w:jc w:val="both"/>
        <w:rPr>
          <w:b/>
          <w:color w:val="42145F"/>
          <w:sz w:val="18"/>
          <w:szCs w:val="20"/>
          <w:lang w:eastAsia="ja-JP"/>
        </w:rPr>
      </w:pPr>
      <w:r w:rsidRPr="00353F47">
        <w:rPr>
          <w:b/>
          <w:color w:val="42145F"/>
          <w:sz w:val="18"/>
          <w:szCs w:val="20"/>
          <w:lang w:eastAsia="ja-JP"/>
        </w:rPr>
        <w:lastRenderedPageBreak/>
        <w:t>Business performance summary</w:t>
      </w:r>
    </w:p>
    <w:p w:rsidR="000A4C61" w:rsidRPr="00353F47" w:rsidRDefault="005829C9" w:rsidP="00FE3D17">
      <w:pPr>
        <w:pStyle w:val="Normal200"/>
        <w:spacing w:line="288" w:lineRule="auto"/>
        <w:jc w:val="both"/>
        <w:rPr>
          <w:b/>
          <w:color w:val="42145F"/>
          <w:sz w:val="18"/>
          <w:szCs w:val="20"/>
          <w:lang w:eastAsia="ja-JP"/>
        </w:rPr>
      </w:pPr>
      <w:r w:rsidRPr="00353F47">
        <w:rPr>
          <w:b/>
          <w:color w:val="42145F"/>
          <w:sz w:val="18"/>
          <w:szCs w:val="20"/>
          <w:lang w:eastAsia="ja-JP"/>
        </w:rPr>
        <w:t>Commercial Banking</w:t>
      </w:r>
    </w:p>
    <w:tbl>
      <w:tblPr>
        <w:tblStyle w:val="table"/>
        <w:tblW w:w="10040" w:type="dxa"/>
        <w:tblInd w:w="5" w:type="dxa"/>
        <w:tblCellMar>
          <w:left w:w="0" w:type="dxa"/>
          <w:right w:w="0" w:type="dxa"/>
        </w:tblCellMar>
        <w:tblLook w:val="05E0" w:firstRow="1" w:lastRow="1" w:firstColumn="1" w:lastColumn="1" w:noHBand="0" w:noVBand="1"/>
      </w:tblPr>
      <w:tblGrid>
        <w:gridCol w:w="1560"/>
        <w:gridCol w:w="1260"/>
        <w:gridCol w:w="885"/>
        <w:gridCol w:w="1110"/>
        <w:gridCol w:w="120"/>
        <w:gridCol w:w="1860"/>
        <w:gridCol w:w="1260"/>
        <w:gridCol w:w="885"/>
        <w:gridCol w:w="1110"/>
      </w:tblGrid>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255"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center"/>
              <w:rPr>
                <w:rFonts w:eastAsia="Arial" w:cs="Arial"/>
                <w:b/>
                <w:bCs/>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255"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As at</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r>
      <w:tr w:rsidR="00130A6D">
        <w:trPr>
          <w:trHeight w:val="195"/>
        </w:trPr>
        <w:tc>
          <w:tcPr>
            <w:tcW w:w="15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1,004</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995</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1,077</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 xml:space="preserve">Net loans to customers - </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(553)</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(611)</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(638)</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amortised cost</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110.0</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112.0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101.2</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(127)</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(1,355)</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(108)</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161.3</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159.6</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135.0</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profit/(loss)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324</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(971)</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331</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76.5</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78.3</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72.5</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(32.5%)</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8.4%</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1.70%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1.90%</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53.4%</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59.9%</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57.9%</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5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Loan impairment rate</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45bps</w:t>
            </w: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472bps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42bps</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bl>
    <w:tbl>
      <w:tblPr>
        <w:tblW w:w="10341" w:type="dxa"/>
        <w:tblCellMar>
          <w:left w:w="0" w:type="dxa"/>
          <w:right w:w="0" w:type="dxa"/>
        </w:tblCellMar>
        <w:tblLook w:val="01E0" w:firstRow="1" w:lastRow="1" w:firstColumn="1" w:lastColumn="1" w:noHBand="0" w:noVBand="0"/>
      </w:tblPr>
      <w:tblGrid>
        <w:gridCol w:w="284"/>
        <w:gridCol w:w="10057"/>
      </w:tblGrid>
      <w:tr w:rsidR="00130A6D" w:rsidTr="006250B2">
        <w:trPr>
          <w:trHeight w:val="68"/>
        </w:trPr>
        <w:tc>
          <w:tcPr>
            <w:tcW w:w="10341" w:type="dxa"/>
            <w:gridSpan w:val="2"/>
            <w:tcBorders>
              <w:top w:val="nil"/>
              <w:left w:val="nil"/>
              <w:bottom w:val="nil"/>
              <w:right w:val="nil"/>
            </w:tcBorders>
          </w:tcPr>
          <w:p w:rsidR="006250B2" w:rsidRPr="006250B2" w:rsidRDefault="006250B2" w:rsidP="006250B2">
            <w:pPr>
              <w:autoSpaceDE w:val="0"/>
              <w:autoSpaceDN w:val="0"/>
              <w:rPr>
                <w:sz w:val="4"/>
                <w:szCs w:val="4"/>
                <w:lang w:eastAsia="ja-JP"/>
              </w:rPr>
            </w:pPr>
          </w:p>
        </w:tc>
      </w:tr>
      <w:tr w:rsidR="00130A6D" w:rsidTr="006063BE">
        <w:trPr>
          <w:trHeight w:val="291"/>
        </w:trPr>
        <w:tc>
          <w:tcPr>
            <w:tcW w:w="10341" w:type="dxa"/>
            <w:gridSpan w:val="2"/>
            <w:tcBorders>
              <w:top w:val="nil"/>
              <w:left w:val="nil"/>
              <w:bottom w:val="nil"/>
              <w:right w:val="nil"/>
            </w:tcBorders>
          </w:tcPr>
          <w:p w:rsidR="00CF1E11" w:rsidRPr="008C1B46" w:rsidRDefault="004160AB" w:rsidP="006063BE">
            <w:pPr>
              <w:rPr>
                <w:rFonts w:ascii="Calibri" w:hAnsi="Calibri"/>
                <w:sz w:val="22"/>
                <w:lang w:val="en-US" w:eastAsia="ja-JP"/>
              </w:rPr>
            </w:pPr>
            <w:r>
              <w:rPr>
                <w:lang w:val="en-US" w:eastAsia="ja-JP"/>
              </w:rPr>
              <w:t>Commercial Banking continues to support customers through a comprehensive package of initiatives including participation in the UK Government’s financial support schemes. As at Q3 2020, £7.9 billion BBLS, £3.7 billion CBILS and £1.2 billion CLBILS had been approved. Since 22 March 2020 Commercial Banking provided payment holidays on over 72,000 customer accounts and as at Q3 2020 had active payment holidays on c.55,000 customer accounts, representing c.8% of the lending book by value.</w:t>
            </w:r>
          </w:p>
        </w:tc>
      </w:tr>
      <w:tr w:rsidR="00130A6D" w:rsidTr="00A04F5A">
        <w:trPr>
          <w:trHeight w:val="80"/>
        </w:trPr>
        <w:tc>
          <w:tcPr>
            <w:tcW w:w="10341" w:type="dxa"/>
            <w:gridSpan w:val="2"/>
            <w:tcBorders>
              <w:top w:val="nil"/>
              <w:left w:val="nil"/>
              <w:bottom w:val="nil"/>
              <w:right w:val="nil"/>
            </w:tcBorders>
          </w:tcPr>
          <w:p w:rsidR="006250B2" w:rsidRPr="009F5795" w:rsidRDefault="006250B2" w:rsidP="006250B2">
            <w:pPr>
              <w:pStyle w:val="Normal00"/>
              <w:spacing w:line="276" w:lineRule="auto"/>
              <w:jc w:val="both"/>
              <w:rPr>
                <w:rFonts w:eastAsia="Arial" w:cs="Arial"/>
                <w:sz w:val="8"/>
                <w:szCs w:val="8"/>
                <w:lang w:val="en-US" w:eastAsia="ja-JP"/>
              </w:rPr>
            </w:pPr>
          </w:p>
        </w:tc>
      </w:tr>
      <w:tr w:rsidR="00130A6D" w:rsidTr="00CC5FA7">
        <w:trPr>
          <w:trHeight w:val="200"/>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hAnsi="Arial" w:cs="Arial"/>
                <w:sz w:val="20"/>
                <w:szCs w:val="20"/>
                <w:lang w:val="en-US" w:eastAsia="ja-JP" w:bidi="he-IL"/>
              </w:rPr>
            </w:pPr>
            <w:r w:rsidRPr="00D7165F">
              <w:rPr>
                <w:rFonts w:ascii="Arial" w:hAnsi="Arial" w:cs="Arial"/>
                <w:sz w:val="20"/>
                <w:szCs w:val="18"/>
                <w:lang w:val="en-US" w:eastAsia="ja-JP" w:bidi="he-IL"/>
              </w:rPr>
              <w:t>●</w:t>
            </w:r>
          </w:p>
        </w:tc>
        <w:tc>
          <w:tcPr>
            <w:tcW w:w="10057" w:type="dxa"/>
            <w:tcBorders>
              <w:top w:val="nil"/>
              <w:left w:val="nil"/>
              <w:bottom w:val="nil"/>
              <w:right w:val="nil"/>
            </w:tcBorders>
          </w:tcPr>
          <w:p w:rsidR="00E85B67" w:rsidRDefault="004160AB" w:rsidP="00E85B67">
            <w:pPr>
              <w:rPr>
                <w:rFonts w:eastAsia="Times New Roman" w:cs="Arial"/>
                <w:szCs w:val="18"/>
                <w:lang w:val="en-US" w:eastAsia="ja-JP" w:bidi="he-IL"/>
              </w:rPr>
            </w:pPr>
            <w:r>
              <w:rPr>
                <w:rFonts w:eastAsia="Times New Roman" w:cs="Arial"/>
                <w:szCs w:val="18"/>
                <w:lang w:val="en-US" w:eastAsia="ja-JP" w:bidi="he-IL"/>
              </w:rPr>
              <w:t xml:space="preserve">Total income decreased by £73 million, or 6.8%, compared with Q3 2019 as the continued contraction of the yield curve and lower business activity was partially offset by increased lending volumes. Net interest margin decreased by 5 basis points in comparison to Q2 2020 as a result of lower deposit funding benefits. </w:t>
            </w:r>
          </w:p>
        </w:tc>
      </w:tr>
      <w:tr w:rsidR="00130A6D" w:rsidTr="00CC5FA7">
        <w:trPr>
          <w:trHeight w:val="118"/>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hAnsi="Arial" w:cs="Arial"/>
                <w:sz w:val="20"/>
                <w:szCs w:val="20"/>
                <w:lang w:val="en-US" w:eastAsia="ja-JP" w:bidi="he-IL"/>
              </w:rPr>
            </w:pPr>
            <w:r w:rsidRPr="00D7165F">
              <w:rPr>
                <w:rFonts w:ascii="Arial" w:hAnsi="Arial" w:cs="Arial"/>
                <w:sz w:val="20"/>
                <w:szCs w:val="18"/>
                <w:lang w:val="en-US" w:eastAsia="ja-JP" w:bidi="he-IL"/>
              </w:rPr>
              <w:t>●</w:t>
            </w:r>
          </w:p>
        </w:tc>
        <w:tc>
          <w:tcPr>
            <w:tcW w:w="10057" w:type="dxa"/>
            <w:tcBorders>
              <w:top w:val="nil"/>
              <w:left w:val="nil"/>
              <w:bottom w:val="nil"/>
              <w:right w:val="nil"/>
            </w:tcBorders>
          </w:tcPr>
          <w:p w:rsidR="00E85B67" w:rsidRPr="00510518" w:rsidRDefault="004160AB" w:rsidP="00E85B67">
            <w:pPr>
              <w:rPr>
                <w:rFonts w:eastAsia="Calibri" w:cs="Arial"/>
                <w:szCs w:val="18"/>
                <w:highlight w:val="yellow"/>
                <w:lang w:val="en-US" w:bidi="he-IL"/>
              </w:rPr>
            </w:pPr>
            <w:bookmarkStart w:id="12" w:name="_Hlk53754843"/>
            <w:r w:rsidRPr="00B3226A">
              <w:rPr>
                <w:rFonts w:eastAsia="Calibri" w:cs="Arial"/>
                <w:szCs w:val="18"/>
                <w:lang w:val="en-US" w:bidi="he-IL"/>
              </w:rPr>
              <w:t>Other expenses, excluding OLD, were £36 million, or 6.8%, lower than Q3 2019 mainly due to</w:t>
            </w:r>
            <w:r w:rsidRPr="00B3226A">
              <w:rPr>
                <w:rFonts w:eastAsia="Times New Roman" w:cs="Arial"/>
                <w:szCs w:val="18"/>
                <w:lang w:val="en-US" w:eastAsia="ja-JP" w:bidi="he-IL"/>
              </w:rPr>
              <w:t xml:space="preserve"> a reduction in back office operations costs and a 3.0% reduction in headcount.</w:t>
            </w:r>
            <w:bookmarkEnd w:id="12"/>
          </w:p>
        </w:tc>
      </w:tr>
      <w:tr w:rsidR="00130A6D" w:rsidTr="00CC5FA7">
        <w:trPr>
          <w:trHeight w:val="67"/>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hAnsi="Arial" w:cs="Arial"/>
                <w:sz w:val="20"/>
                <w:szCs w:val="20"/>
                <w:lang w:val="en-US" w:eastAsia="ja-JP" w:bidi="he-IL"/>
              </w:rPr>
            </w:pPr>
            <w:r w:rsidRPr="00D7165F">
              <w:rPr>
                <w:rFonts w:ascii="Arial" w:hAnsi="Arial" w:cs="Arial"/>
                <w:sz w:val="20"/>
                <w:szCs w:val="18"/>
                <w:lang w:val="en-US" w:eastAsia="ja-JP" w:bidi="he-IL"/>
              </w:rPr>
              <w:t>●</w:t>
            </w:r>
          </w:p>
        </w:tc>
        <w:tc>
          <w:tcPr>
            <w:tcW w:w="10057" w:type="dxa"/>
            <w:tcBorders>
              <w:top w:val="nil"/>
              <w:left w:val="nil"/>
              <w:bottom w:val="nil"/>
              <w:right w:val="nil"/>
            </w:tcBorders>
          </w:tcPr>
          <w:p w:rsidR="00E85B67" w:rsidRPr="00A93159" w:rsidRDefault="004160AB" w:rsidP="00E85B67">
            <w:pPr>
              <w:autoSpaceDE w:val="0"/>
              <w:autoSpaceDN w:val="0"/>
              <w:spacing w:before="40" w:after="40" w:line="240" w:lineRule="auto"/>
              <w:rPr>
                <w:rFonts w:eastAsia="Times New Roman" w:cs="Arial"/>
                <w:szCs w:val="18"/>
                <w:lang w:val="en-US" w:eastAsia="ja-JP" w:bidi="he-IL"/>
              </w:rPr>
            </w:pPr>
            <w:r>
              <w:rPr>
                <w:rFonts w:eastAsia="Times New Roman" w:cs="Arial"/>
                <w:szCs w:val="18"/>
                <w:lang w:val="en-US" w:eastAsia="ja-JP" w:bidi="he-IL"/>
              </w:rPr>
              <w:t xml:space="preserve">Impairment losses of £127 million in Q3 2020 primarily reflect stage one and two movements related to the expected deterioration in the economic environment, with total stage three charges of £53 million, including a small number of single name charges. </w:t>
            </w:r>
          </w:p>
        </w:tc>
      </w:tr>
      <w:tr w:rsidR="00130A6D" w:rsidTr="00CC5FA7">
        <w:trPr>
          <w:trHeight w:val="539"/>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hAnsi="Arial" w:cs="Arial"/>
                <w:sz w:val="20"/>
                <w:szCs w:val="20"/>
                <w:lang w:val="en-US" w:eastAsia="ja-JP" w:bidi="he-IL"/>
              </w:rPr>
            </w:pPr>
            <w:r w:rsidRPr="00D7165F">
              <w:rPr>
                <w:rFonts w:ascii="Arial" w:hAnsi="Arial" w:cs="Arial"/>
                <w:sz w:val="20"/>
                <w:szCs w:val="18"/>
                <w:lang w:val="en-US" w:eastAsia="ja-JP" w:bidi="he-IL"/>
              </w:rPr>
              <w:t>●</w:t>
            </w:r>
          </w:p>
        </w:tc>
        <w:tc>
          <w:tcPr>
            <w:tcW w:w="10057" w:type="dxa"/>
            <w:tcBorders>
              <w:top w:val="nil"/>
              <w:left w:val="nil"/>
              <w:bottom w:val="nil"/>
              <w:right w:val="nil"/>
            </w:tcBorders>
          </w:tcPr>
          <w:p w:rsidR="00E85B67" w:rsidRPr="009C4D10" w:rsidRDefault="004160AB" w:rsidP="00E85B67">
            <w:pPr>
              <w:autoSpaceDE w:val="0"/>
              <w:autoSpaceDN w:val="0"/>
              <w:adjustRightInd w:val="0"/>
              <w:rPr>
                <w:rFonts w:eastAsia="Times New Roman" w:cs="Arial"/>
                <w:szCs w:val="18"/>
                <w:lang w:val="en-US" w:eastAsia="ja-JP" w:bidi="he-IL"/>
              </w:rPr>
            </w:pPr>
            <w:r>
              <w:rPr>
                <w:rFonts w:eastAsia="Times New Roman" w:cs="Arial"/>
                <w:szCs w:val="18"/>
                <w:lang w:val="en-US" w:eastAsia="ja-JP" w:bidi="he-IL"/>
              </w:rPr>
              <w:t>Net loans to customers</w:t>
            </w:r>
            <w:r>
              <w:rPr>
                <w:rFonts w:eastAsia="Calibri" w:cs="Arial"/>
                <w:szCs w:val="18"/>
                <w:lang w:val="en-US" w:bidi="he-IL"/>
              </w:rPr>
              <w:t xml:space="preserve"> </w:t>
            </w:r>
            <w:r>
              <w:rPr>
                <w:rFonts w:eastAsia="Times New Roman" w:cs="Arial"/>
                <w:szCs w:val="18"/>
                <w:lang w:val="en-US" w:eastAsia="ja-JP" w:bidi="he-IL"/>
              </w:rPr>
              <w:t xml:space="preserve">decreased by £2.0 billion compared with Q2 2020 as </w:t>
            </w:r>
            <w:r>
              <w:rPr>
                <w:rFonts w:cs="Arial"/>
                <w:szCs w:val="18"/>
              </w:rPr>
              <w:t>£3.1 billion net RCF repayments and lower lending across Large Corporate &amp; Institutions and Specialised business lending more than offset drawdowns against UK Government lending schemes, including £1.7 billion related to BBLS, £0.8 billion related to CBILS and £0.4 billion related to CLBILS. RCF utilisation decreased to c.26% of committed facilities, broadly in line with pre-Covid-19 levels.</w:t>
            </w:r>
          </w:p>
        </w:tc>
      </w:tr>
      <w:tr w:rsidR="00130A6D" w:rsidTr="00A04F5A">
        <w:trPr>
          <w:trHeight w:val="224"/>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hAnsi="Arial" w:cs="Arial"/>
                <w:sz w:val="20"/>
                <w:szCs w:val="18"/>
                <w:lang w:val="en-US" w:eastAsia="ja-JP" w:bidi="he-IL"/>
              </w:rPr>
            </w:pPr>
            <w:r w:rsidRPr="00D7165F">
              <w:rPr>
                <w:rFonts w:ascii="Arial" w:hAnsi="Arial" w:cs="Arial"/>
                <w:sz w:val="20"/>
                <w:szCs w:val="18"/>
                <w:lang w:val="en-US" w:eastAsia="ja-JP" w:bidi="he-IL"/>
              </w:rPr>
              <w:t>●</w:t>
            </w:r>
          </w:p>
        </w:tc>
        <w:tc>
          <w:tcPr>
            <w:tcW w:w="10057" w:type="dxa"/>
            <w:tcBorders>
              <w:top w:val="nil"/>
              <w:left w:val="nil"/>
              <w:bottom w:val="nil"/>
              <w:right w:val="nil"/>
            </w:tcBorders>
          </w:tcPr>
          <w:p w:rsidR="00E85B67" w:rsidRPr="00347737" w:rsidRDefault="004160AB" w:rsidP="00E85B67">
            <w:pPr>
              <w:rPr>
                <w:rFonts w:cs="Arial"/>
                <w:szCs w:val="18"/>
              </w:rPr>
            </w:pPr>
            <w:r w:rsidRPr="00347737">
              <w:rPr>
                <w:rFonts w:cs="Arial"/>
                <w:szCs w:val="18"/>
              </w:rPr>
              <w:t>Customer deposits increased by £1.7 billion compared with Q2 2020 as customers continued to retain liquidity.</w:t>
            </w:r>
          </w:p>
        </w:tc>
      </w:tr>
      <w:tr w:rsidR="00130A6D" w:rsidTr="00CC5FA7">
        <w:trPr>
          <w:trHeight w:val="539"/>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hAnsi="Arial" w:cs="Arial"/>
                <w:sz w:val="20"/>
                <w:szCs w:val="18"/>
                <w:lang w:val="en-US" w:eastAsia="ja-JP" w:bidi="he-IL"/>
              </w:rPr>
            </w:pPr>
            <w:r w:rsidRPr="00D7165F">
              <w:rPr>
                <w:rFonts w:ascii="Arial" w:hAnsi="Arial" w:cs="Arial"/>
                <w:sz w:val="20"/>
                <w:szCs w:val="18"/>
                <w:lang w:val="en-US" w:eastAsia="ja-JP" w:bidi="he-IL"/>
              </w:rPr>
              <w:t>●</w:t>
            </w:r>
          </w:p>
        </w:tc>
        <w:tc>
          <w:tcPr>
            <w:tcW w:w="10057" w:type="dxa"/>
            <w:tcBorders>
              <w:top w:val="nil"/>
              <w:left w:val="nil"/>
              <w:bottom w:val="nil"/>
              <w:right w:val="nil"/>
            </w:tcBorders>
          </w:tcPr>
          <w:p w:rsidR="00C02C74" w:rsidRPr="00C02C74" w:rsidRDefault="004160AB" w:rsidP="00C02C74">
            <w:pPr>
              <w:rPr>
                <w:rFonts w:cs="Arial"/>
                <w:szCs w:val="18"/>
              </w:rPr>
            </w:pPr>
            <w:r w:rsidRPr="00C02C74">
              <w:rPr>
                <w:rFonts w:cs="Arial"/>
                <w:szCs w:val="18"/>
              </w:rPr>
              <w:t>RWAs decreased by £1.8 billion compared with Q2 2020 as lower lending volumes and a c.£1.5 billion reduction reflecting the CRR Covid-19 amendment to accelerate the planned changes to the SME supporting factor and the introduction of an Infrastructure supporting factor,  partially offset by risk parameter changes.</w:t>
            </w:r>
          </w:p>
          <w:p w:rsidR="00E85B67" w:rsidRPr="00C02C74" w:rsidRDefault="00E85B67" w:rsidP="00E85B67">
            <w:pPr>
              <w:rPr>
                <w:rFonts w:cs="Arial"/>
                <w:szCs w:val="18"/>
              </w:rPr>
            </w:pPr>
          </w:p>
        </w:tc>
      </w:tr>
    </w:tbl>
    <w:p w:rsidR="00472979" w:rsidRDefault="00472979" w:rsidP="00E85B67">
      <w:pPr>
        <w:spacing w:after="200"/>
        <w:rPr>
          <w:rFonts w:cs="Arial"/>
          <w:b/>
          <w:color w:val="42145F"/>
          <w:szCs w:val="18"/>
          <w:lang w:eastAsia="ja-JP"/>
        </w:rPr>
      </w:pPr>
    </w:p>
    <w:p w:rsidR="00472979" w:rsidRDefault="004160AB">
      <w:pPr>
        <w:spacing w:after="200"/>
        <w:rPr>
          <w:rFonts w:cs="Arial"/>
          <w:b/>
          <w:color w:val="42145F"/>
          <w:szCs w:val="18"/>
          <w:lang w:eastAsia="ja-JP"/>
        </w:rPr>
      </w:pPr>
      <w:r>
        <w:rPr>
          <w:rFonts w:cs="Arial"/>
          <w:b/>
          <w:color w:val="42145F"/>
          <w:szCs w:val="18"/>
          <w:lang w:eastAsia="ja-JP"/>
        </w:rPr>
        <w:br w:type="page"/>
      </w:r>
    </w:p>
    <w:p w:rsidR="00472979" w:rsidRPr="00741732" w:rsidRDefault="004160AB" w:rsidP="00472979">
      <w:pPr>
        <w:pStyle w:val="Normal200"/>
        <w:spacing w:line="288" w:lineRule="auto"/>
        <w:jc w:val="both"/>
        <w:rPr>
          <w:b/>
          <w:color w:val="42145F"/>
          <w:sz w:val="18"/>
          <w:szCs w:val="20"/>
          <w:lang w:eastAsia="ja-JP"/>
        </w:rPr>
      </w:pPr>
      <w:r w:rsidRPr="00353F47">
        <w:rPr>
          <w:b/>
          <w:color w:val="42145F"/>
          <w:sz w:val="18"/>
          <w:szCs w:val="20"/>
          <w:lang w:eastAsia="ja-JP"/>
        </w:rPr>
        <w:lastRenderedPageBreak/>
        <w:t>Business performance summary</w:t>
      </w:r>
    </w:p>
    <w:p w:rsidR="000A4C61" w:rsidRPr="00E85B67" w:rsidRDefault="004160AB" w:rsidP="00E85B67">
      <w:pPr>
        <w:spacing w:after="200"/>
        <w:rPr>
          <w:rFonts w:eastAsia="Arial" w:cs="Arial"/>
          <w:b/>
          <w:color w:val="42145F"/>
          <w:szCs w:val="20"/>
          <w:lang w:eastAsia="ja-JP"/>
        </w:rPr>
      </w:pPr>
      <w:r w:rsidRPr="00353F47">
        <w:rPr>
          <w:rFonts w:cs="Arial"/>
          <w:b/>
          <w:color w:val="42145F"/>
          <w:szCs w:val="18"/>
          <w:lang w:eastAsia="ja-JP"/>
        </w:rPr>
        <w:t>Private Banking – (commentary adjusted for transfers)</w:t>
      </w:r>
    </w:p>
    <w:tbl>
      <w:tblPr>
        <w:tblStyle w:val="table"/>
        <w:tblW w:w="10080" w:type="dxa"/>
        <w:tblInd w:w="5" w:type="dxa"/>
        <w:tblCellMar>
          <w:left w:w="0" w:type="dxa"/>
          <w:right w:w="0" w:type="dxa"/>
        </w:tblCellMar>
        <w:tblLook w:val="05E0" w:firstRow="1" w:lastRow="1" w:firstColumn="1" w:lastColumn="1" w:noHBand="0" w:noVBand="1"/>
      </w:tblPr>
      <w:tblGrid>
        <w:gridCol w:w="1560"/>
        <w:gridCol w:w="1260"/>
        <w:gridCol w:w="750"/>
        <w:gridCol w:w="1110"/>
        <w:gridCol w:w="135"/>
        <w:gridCol w:w="2160"/>
        <w:gridCol w:w="1260"/>
        <w:gridCol w:w="735"/>
        <w:gridCol w:w="1110"/>
      </w:tblGrid>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120"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center"/>
              <w:rPr>
                <w:rFonts w:eastAsia="Arial" w:cs="Arial"/>
                <w:b/>
                <w:bCs/>
                <w:color w:val="003366"/>
                <w:sz w:val="16"/>
                <w:szCs w:val="16"/>
              </w:rPr>
            </w:pPr>
          </w:p>
        </w:tc>
        <w:tc>
          <w:tcPr>
            <w:tcW w:w="21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105"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As at</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75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21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73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7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21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7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21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r>
      <w:tr w:rsidR="00130A6D">
        <w:trPr>
          <w:trHeight w:val="195"/>
        </w:trPr>
        <w:tc>
          <w:tcPr>
            <w:tcW w:w="15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187</w:t>
            </w:r>
          </w:p>
        </w:tc>
        <w:tc>
          <w:tcPr>
            <w:tcW w:w="75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191</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198</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Net loans to customers -</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73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7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(129)</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(119)</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amortised cost </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15.5</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Impairment</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75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30.3</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29.8</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28.4</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(losses)/releases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7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(27)</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10.4</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10.1</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profit</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w:t>
            </w:r>
          </w:p>
        </w:tc>
        <w:tc>
          <w:tcPr>
            <w:tcW w:w="7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35</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81</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Assets Under Management</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7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16.8%</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(AUMs)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27.3</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27.1</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23.2</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1.99%</w:t>
            </w:r>
          </w:p>
        </w:tc>
        <w:tc>
          <w:tcPr>
            <w:tcW w:w="7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2.14%</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2.35%</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 xml:space="preserve">Assets Under Administration </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59.9%</w:t>
            </w:r>
          </w:p>
        </w:tc>
        <w:tc>
          <w:tcPr>
            <w:tcW w:w="7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67.5%</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60.1%</w:t>
            </w: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Style w:val="font2"/>
                <w:rFonts w:ascii="Times New Roman" w:eastAsia="Times New Roman" w:hAnsi="Times New Roman" w:cs="Times New Roman"/>
              </w:rPr>
              <w:t xml:space="preserve">   </w:t>
            </w:r>
            <w:r>
              <w:rPr>
                <w:rStyle w:val="font2"/>
              </w:rPr>
              <w:t xml:space="preserve">(AUAs) </w:t>
            </w:r>
            <w:r>
              <w:rPr>
                <w:rStyle w:val="font300"/>
              </w:rPr>
              <w:t>(1)</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2.7</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7.2</w:t>
            </w: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Loan impairment rate</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43bps</w:t>
            </w:r>
          </w:p>
        </w:tc>
        <w:tc>
          <w:tcPr>
            <w:tcW w:w="7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67bps</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w:t>
            </w:r>
            <w:proofErr w:type="gramStart"/>
            <w:r>
              <w:rPr>
                <w:rFonts w:eastAsia="Arial" w:cs="Arial"/>
                <w:color w:val="000000"/>
                <w:sz w:val="16"/>
                <w:szCs w:val="16"/>
              </w:rPr>
              <w:t>5)bps</w:t>
            </w:r>
            <w:proofErr w:type="gramEnd"/>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 xml:space="preserve">Total Assets Under </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r>
      <w:tr w:rsidR="00130A6D">
        <w:trPr>
          <w:trHeight w:val="195"/>
        </w:trPr>
        <w:tc>
          <w:tcPr>
            <w:tcW w:w="15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75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Management and</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r>
      <w:tr w:rsidR="00130A6D">
        <w:trPr>
          <w:trHeight w:val="195"/>
        </w:trPr>
        <w:tc>
          <w:tcPr>
            <w:tcW w:w="15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75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21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Administration (AUMA)</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30.1</w:t>
            </w:r>
          </w:p>
        </w:tc>
        <w:tc>
          <w:tcPr>
            <w:tcW w:w="73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29.8</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30.4</w:t>
            </w:r>
          </w:p>
        </w:tc>
      </w:tr>
    </w:tbl>
    <w:p w:rsidR="00472979" w:rsidRDefault="00472979" w:rsidP="00B70853">
      <w:pPr>
        <w:pStyle w:val="Normal00"/>
        <w:spacing w:line="259" w:lineRule="auto"/>
        <w:rPr>
          <w:rFonts w:ascii="Arial" w:hAnsi="Arial" w:cs="Arial"/>
          <w:b/>
          <w:color w:val="42145F"/>
          <w:sz w:val="18"/>
          <w:szCs w:val="20"/>
          <w:lang w:eastAsia="ja-JP"/>
        </w:rPr>
      </w:pPr>
    </w:p>
    <w:tbl>
      <w:tblPr>
        <w:tblW w:w="10206" w:type="dxa"/>
        <w:tblLayout w:type="fixed"/>
        <w:tblCellMar>
          <w:left w:w="0" w:type="dxa"/>
          <w:right w:w="0" w:type="dxa"/>
        </w:tblCellMar>
        <w:tblLook w:val="01E0" w:firstRow="1" w:lastRow="1" w:firstColumn="1" w:lastColumn="1" w:noHBand="0" w:noVBand="0"/>
      </w:tblPr>
      <w:tblGrid>
        <w:gridCol w:w="284"/>
        <w:gridCol w:w="9922"/>
      </w:tblGrid>
      <w:tr w:rsidR="00130A6D" w:rsidTr="00C92BFB">
        <w:trPr>
          <w:trHeight w:val="86"/>
        </w:trPr>
        <w:tc>
          <w:tcPr>
            <w:tcW w:w="10206" w:type="dxa"/>
            <w:gridSpan w:val="2"/>
          </w:tcPr>
          <w:p w:rsidR="00496BCA" w:rsidRPr="004A27CE" w:rsidRDefault="004160AB" w:rsidP="00496BCA">
            <w:pPr>
              <w:spacing w:line="259" w:lineRule="auto"/>
              <w:jc w:val="both"/>
              <w:rPr>
                <w:rFonts w:cs="Arial"/>
                <w:sz w:val="14"/>
                <w:szCs w:val="14"/>
              </w:rPr>
            </w:pPr>
            <w:r w:rsidRPr="004A27CE">
              <w:rPr>
                <w:rFonts w:cs="Arial"/>
                <w:sz w:val="14"/>
                <w:szCs w:val="14"/>
              </w:rPr>
              <w:t>Notes:</w:t>
            </w:r>
          </w:p>
        </w:tc>
      </w:tr>
      <w:tr w:rsidR="00130A6D" w:rsidTr="00C92BFB">
        <w:trPr>
          <w:trHeight w:val="206"/>
        </w:trPr>
        <w:tc>
          <w:tcPr>
            <w:tcW w:w="10206" w:type="dxa"/>
            <w:gridSpan w:val="2"/>
          </w:tcPr>
          <w:p w:rsidR="00496BCA" w:rsidRDefault="004160AB" w:rsidP="00496BCA">
            <w:pPr>
              <w:pStyle w:val="ListParagraph"/>
              <w:numPr>
                <w:ilvl w:val="0"/>
                <w:numId w:val="7"/>
              </w:numPr>
              <w:autoSpaceDE w:val="0"/>
              <w:autoSpaceDN w:val="0"/>
              <w:adjustRightInd w:val="0"/>
              <w:spacing w:after="0" w:line="259" w:lineRule="auto"/>
              <w:rPr>
                <w:rFonts w:ascii="Arial" w:hAnsi="Arial" w:cs="Arial"/>
                <w:sz w:val="14"/>
                <w:szCs w:val="14"/>
              </w:rPr>
            </w:pPr>
            <w:r w:rsidRPr="004A27CE">
              <w:rPr>
                <w:rFonts w:ascii="Arial" w:hAnsi="Arial" w:cs="Arial"/>
                <w:sz w:val="14"/>
                <w:szCs w:val="14"/>
              </w:rPr>
              <w:t>Private Banking manages assets under administration portfolios on behalf of Retail Banking and RBSI and receives a management fee in respect of providing this service.</w:t>
            </w:r>
          </w:p>
          <w:p w:rsidR="00496BCA" w:rsidRPr="00496BCA" w:rsidRDefault="004160AB" w:rsidP="00496BCA">
            <w:pPr>
              <w:pStyle w:val="ListParagraph"/>
              <w:numPr>
                <w:ilvl w:val="0"/>
                <w:numId w:val="7"/>
              </w:numPr>
              <w:autoSpaceDE w:val="0"/>
              <w:autoSpaceDN w:val="0"/>
              <w:adjustRightInd w:val="0"/>
              <w:spacing w:after="0" w:line="259" w:lineRule="auto"/>
              <w:rPr>
                <w:rFonts w:ascii="Arial" w:hAnsi="Arial" w:cs="Arial"/>
                <w:sz w:val="14"/>
                <w:szCs w:val="14"/>
              </w:rPr>
            </w:pPr>
            <w:r w:rsidRPr="0082489B">
              <w:rPr>
                <w:rFonts w:ascii="Arial" w:hAnsi="Arial" w:cs="Arial"/>
                <w:sz w:val="14"/>
                <w:szCs w:val="14"/>
              </w:rPr>
              <w:t>Comparisons with prior periods are impacted by the transfer of the Private Client Advice business from Retail Banking from 1 January 2020. The net impact on Q3 2019 operating profit would have been to increase total income by £11 million and operating expenses by £2 million. The net impact on the Q3 2019 balance sheet would have been to increase customer deposits by £0.2 billion. AUMs would have been £4.5 billion higher, with a corresponding decrease in AUAs. Variances in the commentary below have been adjusted for the impact of this transfer.</w:t>
            </w:r>
          </w:p>
          <w:p w:rsidR="00496BCA" w:rsidRPr="00E85B67" w:rsidRDefault="00496BCA" w:rsidP="00496BCA">
            <w:pPr>
              <w:pStyle w:val="ListParagraph"/>
              <w:spacing w:after="0" w:line="259" w:lineRule="auto"/>
              <w:ind w:left="0"/>
              <w:jc w:val="both"/>
              <w:rPr>
                <w:rFonts w:ascii="Arial" w:hAnsi="Arial" w:cs="Arial"/>
                <w:sz w:val="6"/>
                <w:szCs w:val="6"/>
              </w:rPr>
            </w:pPr>
          </w:p>
        </w:tc>
      </w:tr>
      <w:tr w:rsidR="00130A6D" w:rsidTr="00C92BFB">
        <w:trPr>
          <w:trHeight w:val="206"/>
        </w:trPr>
        <w:tc>
          <w:tcPr>
            <w:tcW w:w="10206" w:type="dxa"/>
            <w:gridSpan w:val="2"/>
          </w:tcPr>
          <w:p w:rsidR="00496BCA" w:rsidRDefault="004160AB" w:rsidP="00496BCA">
            <w:pPr>
              <w:spacing w:line="259" w:lineRule="auto"/>
              <w:jc w:val="both"/>
              <w:rPr>
                <w:rFonts w:eastAsia="Times New Roman"/>
                <w:szCs w:val="18"/>
                <w:lang w:val="en-US" w:eastAsia="ja-JP" w:bidi="he-IL"/>
              </w:rPr>
            </w:pPr>
            <w:r w:rsidRPr="00F97F6D">
              <w:t>Private Banking remains committed to supporting clients through a range of initiatives, including the provision of mortgage and loan repayment breaks and via participation in UK Government lending initiatives, with c.£0.3 billion approved as at Q3 2020</w:t>
            </w:r>
            <w:r w:rsidRPr="00F97F6D">
              <w:rPr>
                <w:rFonts w:eastAsia="Times New Roman"/>
                <w:szCs w:val="18"/>
                <w:lang w:val="en-US" w:eastAsia="ja-JP" w:bidi="he-IL"/>
              </w:rPr>
              <w:t>.</w:t>
            </w:r>
          </w:p>
          <w:p w:rsidR="00C92BFB" w:rsidRPr="00496BCA" w:rsidRDefault="00C92BFB" w:rsidP="00496BCA">
            <w:pPr>
              <w:spacing w:line="259" w:lineRule="auto"/>
              <w:jc w:val="both"/>
              <w:rPr>
                <w:rFonts w:eastAsia="Times New Roman"/>
                <w:szCs w:val="18"/>
                <w:lang w:val="en-US" w:eastAsia="ja-JP" w:bidi="he-IL"/>
              </w:rPr>
            </w:pPr>
          </w:p>
        </w:tc>
      </w:tr>
      <w:tr w:rsidR="00130A6D" w:rsidTr="00C92BFB">
        <w:trPr>
          <w:trHeight w:val="146"/>
        </w:trPr>
        <w:tc>
          <w:tcPr>
            <w:tcW w:w="284" w:type="dxa"/>
          </w:tcPr>
          <w:p w:rsidR="00496BCA" w:rsidRPr="00353F47" w:rsidRDefault="004160AB" w:rsidP="00496BCA">
            <w:pPr>
              <w:pStyle w:val="Normal00"/>
              <w:spacing w:line="276" w:lineRule="auto"/>
              <w:jc w:val="both"/>
              <w:rPr>
                <w:rFonts w:ascii="Arial" w:eastAsia="SimSun" w:hAnsi="Arial" w:cs="Arial"/>
                <w:sz w:val="18"/>
                <w:szCs w:val="18"/>
                <w:lang w:eastAsia="ja-JP"/>
              </w:rPr>
            </w:pPr>
            <w:r w:rsidRPr="00353F47">
              <w:rPr>
                <w:rFonts w:ascii="Arial" w:eastAsia="SimSun" w:hAnsi="Arial" w:cs="Arial"/>
                <w:sz w:val="18"/>
                <w:szCs w:val="18"/>
                <w:lang w:eastAsia="ja-JP"/>
              </w:rPr>
              <w:t>●</w:t>
            </w:r>
          </w:p>
        </w:tc>
        <w:tc>
          <w:tcPr>
            <w:tcW w:w="9922" w:type="dxa"/>
          </w:tcPr>
          <w:p w:rsidR="00496BCA" w:rsidRPr="00027D51" w:rsidRDefault="004160AB" w:rsidP="00496BCA">
            <w:pPr>
              <w:rPr>
                <w:rFonts w:ascii="Calibri" w:hAnsi="Calibri"/>
                <w:i/>
                <w:iCs/>
                <w:sz w:val="22"/>
              </w:rPr>
            </w:pPr>
            <w:r w:rsidRPr="00F97F6D">
              <w:rPr>
                <w:rFonts w:eastAsia="Times New Roman" w:cs="Arial"/>
                <w:szCs w:val="18"/>
                <w:lang w:val="en-US" w:eastAsia="ja-JP" w:bidi="he-IL"/>
              </w:rPr>
              <w:t>Total income was £22 million, or 10.5%, lower than Q3 2019 mainly reflecting lower deposit funding benefits, a reduction in fee income and one-off benefits related to hedging income gains in Q3 2019, partially offset by balance sheet growth. Net interest margin decreased by 15 basis points in comparison to Q2 2020 primarily due to lower deposit funding benefits.</w:t>
            </w:r>
          </w:p>
        </w:tc>
      </w:tr>
      <w:tr w:rsidR="00130A6D" w:rsidTr="00C92BFB">
        <w:trPr>
          <w:trHeight w:val="201"/>
        </w:trPr>
        <w:tc>
          <w:tcPr>
            <w:tcW w:w="284" w:type="dxa"/>
          </w:tcPr>
          <w:p w:rsidR="00496BCA" w:rsidRPr="00353F47" w:rsidRDefault="004160AB" w:rsidP="00496BCA">
            <w:pPr>
              <w:pStyle w:val="Normal00"/>
              <w:spacing w:line="276" w:lineRule="auto"/>
              <w:jc w:val="both"/>
              <w:rPr>
                <w:rFonts w:ascii="Arial" w:eastAsia="SimSun" w:hAnsi="Arial" w:cs="Arial"/>
                <w:sz w:val="18"/>
                <w:szCs w:val="18"/>
                <w:lang w:eastAsia="ja-JP"/>
              </w:rPr>
            </w:pPr>
            <w:r w:rsidRPr="00353F47">
              <w:rPr>
                <w:rFonts w:ascii="Arial" w:eastAsia="SimSun" w:hAnsi="Arial" w:cs="Arial"/>
                <w:sz w:val="18"/>
                <w:szCs w:val="18"/>
                <w:lang w:eastAsia="ja-JP"/>
              </w:rPr>
              <w:t>●</w:t>
            </w:r>
          </w:p>
        </w:tc>
        <w:tc>
          <w:tcPr>
            <w:tcW w:w="9922" w:type="dxa"/>
          </w:tcPr>
          <w:p w:rsidR="00C92BFB" w:rsidRPr="00C92BFB" w:rsidRDefault="004160AB" w:rsidP="00496BCA">
            <w:pPr>
              <w:rPr>
                <w:rFonts w:eastAsia="Calibri" w:cs="Arial"/>
                <w:szCs w:val="18"/>
                <w:lang w:val="en-US" w:bidi="he-IL"/>
              </w:rPr>
            </w:pPr>
            <w:r w:rsidRPr="00F97F6D">
              <w:rPr>
                <w:rFonts w:eastAsia="Calibri" w:cs="Arial"/>
                <w:szCs w:val="18"/>
                <w:lang w:val="en-US" w:bidi="he-IL"/>
              </w:rPr>
              <w:t>Impairment losses of £18 million largely reflected stage one and two charges.</w:t>
            </w:r>
          </w:p>
        </w:tc>
      </w:tr>
      <w:tr w:rsidR="00130A6D" w:rsidTr="00C92BFB">
        <w:trPr>
          <w:trHeight w:val="80"/>
        </w:trPr>
        <w:tc>
          <w:tcPr>
            <w:tcW w:w="284" w:type="dxa"/>
          </w:tcPr>
          <w:p w:rsidR="00496BCA" w:rsidRPr="00353F47" w:rsidRDefault="004160AB" w:rsidP="00496BCA">
            <w:pPr>
              <w:pStyle w:val="Normal00"/>
              <w:spacing w:line="276" w:lineRule="auto"/>
              <w:jc w:val="both"/>
              <w:rPr>
                <w:rFonts w:ascii="Arial" w:eastAsia="SimSun" w:hAnsi="Arial" w:cs="Arial"/>
                <w:sz w:val="18"/>
                <w:szCs w:val="18"/>
                <w:lang w:eastAsia="ja-JP"/>
              </w:rPr>
            </w:pPr>
            <w:r w:rsidRPr="00353F47">
              <w:rPr>
                <w:rFonts w:ascii="Arial" w:eastAsia="SimSun" w:hAnsi="Arial" w:cs="Arial"/>
                <w:sz w:val="18"/>
                <w:szCs w:val="18"/>
                <w:lang w:eastAsia="ja-JP"/>
              </w:rPr>
              <w:t>●</w:t>
            </w:r>
          </w:p>
        </w:tc>
        <w:tc>
          <w:tcPr>
            <w:tcW w:w="9922" w:type="dxa"/>
          </w:tcPr>
          <w:p w:rsidR="00496BCA" w:rsidRPr="008B1015" w:rsidRDefault="004160AB" w:rsidP="00496BCA">
            <w:pPr>
              <w:autoSpaceDE w:val="0"/>
              <w:autoSpaceDN w:val="0"/>
              <w:adjustRightInd w:val="0"/>
              <w:spacing w:line="240" w:lineRule="auto"/>
              <w:rPr>
                <w:rFonts w:eastAsia="Calibri" w:cs="Arial"/>
                <w:szCs w:val="18"/>
                <w:lang w:val="en-US" w:bidi="he-IL"/>
              </w:rPr>
            </w:pPr>
            <w:r w:rsidRPr="00F97F6D">
              <w:rPr>
                <w:rFonts w:eastAsia="Times New Roman" w:cs="Arial"/>
                <w:szCs w:val="18"/>
                <w:lang w:val="en-US" w:eastAsia="ja-JP" w:bidi="he-IL"/>
              </w:rPr>
              <w:t>Net loans to customers increased by £0.5 billion in comparison to Q2 2020 reflecting</w:t>
            </w:r>
            <w:r w:rsidRPr="00F97F6D">
              <w:rPr>
                <w:rFonts w:eastAsia="Calibri" w:cs="Arial"/>
                <w:szCs w:val="18"/>
                <w:lang w:val="en-US" w:bidi="he-IL"/>
              </w:rPr>
              <w:t xml:space="preserve"> mortgage growth and drawdowns against UK Government lending schemes</w:t>
            </w:r>
            <w:r w:rsidRPr="00F97F6D">
              <w:rPr>
                <w:rFonts w:eastAsia="Times New Roman" w:cs="Arial"/>
                <w:szCs w:val="18"/>
                <w:lang w:val="en-US" w:eastAsia="ja-JP" w:bidi="he-IL"/>
              </w:rPr>
              <w:t>.</w:t>
            </w:r>
          </w:p>
        </w:tc>
      </w:tr>
      <w:tr w:rsidR="00130A6D" w:rsidTr="00C92BFB">
        <w:trPr>
          <w:trHeight w:val="253"/>
        </w:trPr>
        <w:tc>
          <w:tcPr>
            <w:tcW w:w="284" w:type="dxa"/>
          </w:tcPr>
          <w:p w:rsidR="00496BCA" w:rsidRPr="00353F47" w:rsidRDefault="004160AB" w:rsidP="00496BCA">
            <w:pPr>
              <w:pStyle w:val="Normal00"/>
              <w:spacing w:line="276" w:lineRule="auto"/>
              <w:jc w:val="both"/>
              <w:rPr>
                <w:rFonts w:ascii="Arial" w:eastAsia="SimSun" w:hAnsi="Arial" w:cs="Arial"/>
                <w:sz w:val="18"/>
                <w:szCs w:val="18"/>
                <w:lang w:eastAsia="ja-JP"/>
              </w:rPr>
            </w:pPr>
            <w:r w:rsidRPr="00353F47">
              <w:rPr>
                <w:rFonts w:ascii="Arial" w:eastAsia="SimSun" w:hAnsi="Arial" w:cs="Arial"/>
                <w:sz w:val="18"/>
                <w:szCs w:val="18"/>
                <w:lang w:eastAsia="ja-JP"/>
              </w:rPr>
              <w:t>●</w:t>
            </w:r>
          </w:p>
        </w:tc>
        <w:tc>
          <w:tcPr>
            <w:tcW w:w="9922" w:type="dxa"/>
          </w:tcPr>
          <w:p w:rsidR="00496BCA" w:rsidRPr="008B1015" w:rsidRDefault="004160AB" w:rsidP="00496BCA">
            <w:pPr>
              <w:rPr>
                <w:rFonts w:eastAsia="Times New Roman" w:cs="Arial"/>
                <w:szCs w:val="18"/>
                <w:lang w:val="en-US" w:eastAsia="ja-JP" w:bidi="he-IL"/>
              </w:rPr>
            </w:pPr>
            <w:r w:rsidRPr="00F97F6D">
              <w:rPr>
                <w:rFonts w:eastAsia="Times New Roman" w:cs="Arial"/>
                <w:szCs w:val="18"/>
                <w:lang w:val="en-US" w:eastAsia="ja-JP" w:bidi="he-IL"/>
              </w:rPr>
              <w:t>Total AUMAs overseen by Private Banking increased by £0.3 billion compared with Q2 2020 reflecting positive investment performance.</w:t>
            </w:r>
          </w:p>
        </w:tc>
      </w:tr>
    </w:tbl>
    <w:p w:rsidR="00496BCA" w:rsidRDefault="00496BCA" w:rsidP="00B70853">
      <w:pPr>
        <w:pStyle w:val="Normal00"/>
        <w:spacing w:line="259" w:lineRule="auto"/>
        <w:rPr>
          <w:rFonts w:ascii="Arial" w:hAnsi="Arial" w:cs="Arial"/>
          <w:b/>
          <w:color w:val="42145F"/>
          <w:sz w:val="18"/>
          <w:szCs w:val="20"/>
          <w:lang w:eastAsia="ja-JP"/>
        </w:rPr>
      </w:pPr>
    </w:p>
    <w:p w:rsidR="000A4C61" w:rsidRPr="00353F47" w:rsidRDefault="004160AB" w:rsidP="00B70853">
      <w:pPr>
        <w:pStyle w:val="Normal00"/>
        <w:spacing w:line="259" w:lineRule="auto"/>
        <w:rPr>
          <w:rFonts w:ascii="Arial" w:hAnsi="Arial" w:cs="Arial"/>
          <w:b/>
          <w:color w:val="42145F"/>
          <w:sz w:val="18"/>
          <w:szCs w:val="20"/>
          <w:lang w:eastAsia="ja-JP"/>
        </w:rPr>
      </w:pPr>
      <w:r w:rsidRPr="00353F47">
        <w:rPr>
          <w:rFonts w:ascii="Arial" w:hAnsi="Arial" w:cs="Arial"/>
          <w:b/>
          <w:color w:val="42145F"/>
          <w:sz w:val="18"/>
          <w:szCs w:val="20"/>
          <w:lang w:eastAsia="ja-JP"/>
        </w:rPr>
        <w:t>RBS International</w:t>
      </w:r>
    </w:p>
    <w:tbl>
      <w:tblPr>
        <w:tblStyle w:val="table"/>
        <w:tblW w:w="10200" w:type="dxa"/>
        <w:tblInd w:w="5" w:type="dxa"/>
        <w:tblCellMar>
          <w:left w:w="0" w:type="dxa"/>
          <w:right w:w="0" w:type="dxa"/>
        </w:tblCellMar>
        <w:tblLook w:val="05E0" w:firstRow="1" w:lastRow="1" w:firstColumn="1" w:lastColumn="1" w:noHBand="0" w:noVBand="1"/>
      </w:tblPr>
      <w:tblGrid>
        <w:gridCol w:w="2160"/>
        <w:gridCol w:w="1260"/>
        <w:gridCol w:w="735"/>
        <w:gridCol w:w="1050"/>
        <w:gridCol w:w="120"/>
        <w:gridCol w:w="1860"/>
        <w:gridCol w:w="1260"/>
        <w:gridCol w:w="735"/>
        <w:gridCol w:w="1035"/>
      </w:tblGrid>
      <w:tr w:rsidR="00130A6D">
        <w:trPr>
          <w:trHeight w:val="135"/>
        </w:trPr>
        <w:tc>
          <w:tcPr>
            <w:tcW w:w="21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045"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center"/>
              <w:rPr>
                <w:rFonts w:eastAsia="Arial" w:cs="Arial"/>
                <w:b/>
                <w:bCs/>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030"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As at</w:t>
            </w:r>
          </w:p>
        </w:tc>
      </w:tr>
      <w:tr w:rsidR="00130A6D">
        <w:trPr>
          <w:trHeight w:val="135"/>
        </w:trPr>
        <w:tc>
          <w:tcPr>
            <w:tcW w:w="21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73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05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73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135"/>
        </w:trPr>
        <w:tc>
          <w:tcPr>
            <w:tcW w:w="21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0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0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35"/>
        </w:trPr>
        <w:tc>
          <w:tcPr>
            <w:tcW w:w="21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0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c>
          <w:tcPr>
            <w:tcW w:w="10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r>
      <w:tr w:rsidR="00130A6D">
        <w:trPr>
          <w:trHeight w:val="165"/>
        </w:trPr>
        <w:tc>
          <w:tcPr>
            <w:tcW w:w="21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73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105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 xml:space="preserve">Net loans to customers - </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73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(65)</w:t>
            </w:r>
          </w:p>
        </w:tc>
        <w:tc>
          <w:tcPr>
            <w:tcW w:w="10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amortised cost</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12.8</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12.7</w:t>
            </w:r>
          </w:p>
        </w:tc>
        <w:tc>
          <w:tcPr>
            <w:tcW w:w="10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14.1</w:t>
            </w:r>
          </w:p>
        </w:tc>
      </w:tr>
      <w:tr w:rsidR="00130A6D">
        <w:trPr>
          <w:trHeight w:val="165"/>
        </w:trPr>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10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30.4</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29.5</w:t>
            </w:r>
          </w:p>
        </w:tc>
        <w:tc>
          <w:tcPr>
            <w:tcW w:w="10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30.1</w:t>
            </w:r>
          </w:p>
        </w:tc>
      </w:tr>
      <w:tr w:rsidR="00130A6D">
        <w:trPr>
          <w:trHeight w:val="165"/>
        </w:trPr>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profit</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0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88</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6.8</w:t>
            </w:r>
          </w:p>
        </w:tc>
        <w:tc>
          <w:tcPr>
            <w:tcW w:w="10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6.5</w:t>
            </w:r>
          </w:p>
        </w:tc>
      </w:tr>
      <w:tr w:rsidR="00130A6D">
        <w:trPr>
          <w:trHeight w:val="165"/>
        </w:trPr>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4.3%</w:t>
            </w:r>
          </w:p>
        </w:tc>
        <w:tc>
          <w:tcPr>
            <w:tcW w:w="10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26.0%</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1.07%</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10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1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47.3%</w:t>
            </w:r>
          </w:p>
        </w:tc>
        <w:tc>
          <w:tcPr>
            <w:tcW w:w="73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56.5%</w:t>
            </w:r>
          </w:p>
        </w:tc>
        <w:tc>
          <w:tcPr>
            <w:tcW w:w="105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41.3%</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3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95"/>
        </w:trPr>
        <w:tc>
          <w:tcPr>
            <w:tcW w:w="21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Loan impairment rate</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105bps</w:t>
            </w:r>
          </w:p>
        </w:tc>
        <w:tc>
          <w:tcPr>
            <w:tcW w:w="73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97bps</w:t>
            </w:r>
          </w:p>
        </w:tc>
        <w:tc>
          <w:tcPr>
            <w:tcW w:w="105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2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86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73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3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bl>
    <w:tbl>
      <w:tblPr>
        <w:tblW w:w="10236" w:type="dxa"/>
        <w:tblLayout w:type="fixed"/>
        <w:tblCellMar>
          <w:left w:w="0" w:type="dxa"/>
          <w:right w:w="0" w:type="dxa"/>
        </w:tblCellMar>
        <w:tblLook w:val="01E0" w:firstRow="1" w:lastRow="1" w:firstColumn="1" w:lastColumn="1" w:noHBand="0" w:noVBand="0"/>
      </w:tblPr>
      <w:tblGrid>
        <w:gridCol w:w="284"/>
        <w:gridCol w:w="9952"/>
      </w:tblGrid>
      <w:tr w:rsidR="00130A6D" w:rsidTr="001B31B0">
        <w:trPr>
          <w:trHeight w:val="80"/>
        </w:trPr>
        <w:tc>
          <w:tcPr>
            <w:tcW w:w="284" w:type="dxa"/>
            <w:tcBorders>
              <w:top w:val="nil"/>
              <w:left w:val="nil"/>
              <w:bottom w:val="nil"/>
              <w:right w:val="nil"/>
            </w:tcBorders>
          </w:tcPr>
          <w:p w:rsidR="00653AE2" w:rsidRPr="001B31B0" w:rsidRDefault="00653AE2" w:rsidP="00CC5FA7">
            <w:pPr>
              <w:pStyle w:val="Normal00"/>
              <w:spacing w:line="276" w:lineRule="auto"/>
              <w:jc w:val="both"/>
              <w:rPr>
                <w:rFonts w:eastAsia="SimSun"/>
                <w:color w:val="003366"/>
                <w:sz w:val="2"/>
                <w:szCs w:val="2"/>
                <w:lang w:eastAsia="ja-JP"/>
              </w:rPr>
            </w:pPr>
          </w:p>
        </w:tc>
        <w:tc>
          <w:tcPr>
            <w:tcW w:w="9952" w:type="dxa"/>
            <w:tcBorders>
              <w:top w:val="nil"/>
              <w:left w:val="nil"/>
              <w:bottom w:val="nil"/>
              <w:right w:val="nil"/>
            </w:tcBorders>
          </w:tcPr>
          <w:p w:rsidR="00653AE2" w:rsidRPr="001B31B0" w:rsidRDefault="00653AE2" w:rsidP="00CC5FA7">
            <w:pPr>
              <w:rPr>
                <w:rFonts w:eastAsia="SimSun" w:cs="Arial"/>
                <w:noProof/>
                <w:sz w:val="2"/>
                <w:szCs w:val="2"/>
              </w:rPr>
            </w:pPr>
          </w:p>
        </w:tc>
      </w:tr>
      <w:tr w:rsidR="00130A6D" w:rsidTr="00B75272">
        <w:trPr>
          <w:trHeight w:val="226"/>
        </w:trPr>
        <w:tc>
          <w:tcPr>
            <w:tcW w:w="10236" w:type="dxa"/>
            <w:gridSpan w:val="2"/>
            <w:tcBorders>
              <w:top w:val="nil"/>
              <w:left w:val="nil"/>
              <w:bottom w:val="nil"/>
              <w:right w:val="nil"/>
            </w:tcBorders>
          </w:tcPr>
          <w:p w:rsidR="00E85B67" w:rsidRPr="00232BDD" w:rsidRDefault="004160AB" w:rsidP="006D7C09">
            <w:pPr>
              <w:pStyle w:val="Normal00"/>
              <w:spacing w:line="276" w:lineRule="auto"/>
              <w:rPr>
                <w:rFonts w:ascii="Arial" w:hAnsi="Arial" w:cs="Arial"/>
                <w:sz w:val="18"/>
                <w:szCs w:val="18"/>
                <w:lang w:val="en-US" w:eastAsia="ja-JP" w:bidi="he-IL"/>
              </w:rPr>
            </w:pPr>
            <w:r w:rsidRPr="0010126B">
              <w:rPr>
                <w:rFonts w:ascii="Arial" w:hAnsi="Arial" w:cs="Arial"/>
                <w:sz w:val="18"/>
                <w:szCs w:val="18"/>
                <w:lang w:val="en-US" w:eastAsia="ja-JP" w:bidi="he-IL"/>
              </w:rPr>
              <w:t>As at Q3 2020, RBS International had 322 active mortgage repayment breaks, reflecting a mortgage value of £82 million, and is providing support for 566 business customers with working capital facilities, reflecting a value of £503 million, while continuing to suspend a range of fees and charges for its personal and business customers.</w:t>
            </w:r>
          </w:p>
        </w:tc>
      </w:tr>
      <w:tr w:rsidR="00130A6D" w:rsidTr="009F5795">
        <w:trPr>
          <w:trHeight w:val="80"/>
        </w:trPr>
        <w:tc>
          <w:tcPr>
            <w:tcW w:w="10236" w:type="dxa"/>
            <w:gridSpan w:val="2"/>
            <w:tcBorders>
              <w:top w:val="nil"/>
              <w:left w:val="nil"/>
              <w:bottom w:val="nil"/>
              <w:right w:val="nil"/>
            </w:tcBorders>
          </w:tcPr>
          <w:p w:rsidR="00E85B67" w:rsidRPr="00741732" w:rsidRDefault="00E85B67" w:rsidP="00E85B67">
            <w:pPr>
              <w:pStyle w:val="Normal00"/>
              <w:spacing w:line="276" w:lineRule="auto"/>
              <w:jc w:val="both"/>
              <w:rPr>
                <w:rFonts w:ascii="Arial" w:hAnsi="Arial" w:cs="Arial"/>
                <w:sz w:val="14"/>
                <w:szCs w:val="14"/>
                <w:lang w:val="en-US" w:eastAsia="ja-JP" w:bidi="he-IL"/>
              </w:rPr>
            </w:pPr>
          </w:p>
        </w:tc>
      </w:tr>
      <w:tr w:rsidR="00130A6D" w:rsidTr="00CC5FA7">
        <w:trPr>
          <w:trHeight w:val="174"/>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52" w:type="dxa"/>
            <w:tcBorders>
              <w:top w:val="nil"/>
              <w:left w:val="nil"/>
              <w:bottom w:val="nil"/>
              <w:right w:val="nil"/>
            </w:tcBorders>
          </w:tcPr>
          <w:p w:rsidR="00E85B67" w:rsidRPr="00967389" w:rsidRDefault="004160AB" w:rsidP="00E85B67">
            <w:pPr>
              <w:spacing w:line="256" w:lineRule="auto"/>
              <w:rPr>
                <w:rFonts w:eastAsia="Times New Roman" w:cs="Arial"/>
                <w:szCs w:val="18"/>
                <w:lang w:val="en-US" w:eastAsia="ja-JP" w:bidi="he-IL"/>
              </w:rPr>
            </w:pPr>
            <w:r w:rsidRPr="0010126B">
              <w:rPr>
                <w:rFonts w:eastAsia="Times New Roman" w:cs="Arial"/>
                <w:szCs w:val="18"/>
                <w:lang w:val="en-US" w:eastAsia="ja-JP" w:bidi="he-IL"/>
              </w:rPr>
              <w:t>Total income decreased by £38 million, or 25.3%, compared with Q3 2019 primarily due to the impact of the interest rate reductions on deposit income and lower fee income reflecting the economic response to Covid-19. Net interest margin decreased by 8 basis points compared with Q2 2020 due to reduced funding benefits.</w:t>
            </w:r>
          </w:p>
        </w:tc>
      </w:tr>
      <w:tr w:rsidR="00130A6D" w:rsidTr="00CC5FA7">
        <w:trPr>
          <w:trHeight w:val="164"/>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52" w:type="dxa"/>
            <w:tcBorders>
              <w:top w:val="nil"/>
              <w:left w:val="nil"/>
              <w:bottom w:val="nil"/>
              <w:right w:val="nil"/>
            </w:tcBorders>
          </w:tcPr>
          <w:p w:rsidR="00E85B67" w:rsidRPr="00967389" w:rsidRDefault="004160AB" w:rsidP="00E85B67">
            <w:pPr>
              <w:spacing w:line="256" w:lineRule="auto"/>
              <w:rPr>
                <w:rFonts w:eastAsia="Calibri" w:cs="Arial"/>
                <w:szCs w:val="18"/>
                <w:lang w:val="en-US" w:bidi="he-IL"/>
              </w:rPr>
            </w:pPr>
            <w:r w:rsidRPr="00942998">
              <w:rPr>
                <w:rFonts w:eastAsia="Calibri" w:cs="Arial"/>
                <w:szCs w:val="18"/>
                <w:lang w:val="en-US" w:bidi="he-IL"/>
              </w:rPr>
              <w:t>Excluding strategic, litigation and conduct costs, operating expenses</w:t>
            </w:r>
            <w:r w:rsidRPr="00942998">
              <w:rPr>
                <w:rFonts w:eastAsia="Times New Roman" w:cs="Arial"/>
                <w:szCs w:val="18"/>
                <w:lang w:val="en-US" w:eastAsia="ja-JP" w:bidi="he-IL"/>
              </w:rPr>
              <w:t xml:space="preserve"> decreased by £7 million, or 12.3%, compared with Q3 2019 mainly due to lower staff costs as a result of a 5.6% headcount reduction and lower project spend.</w:t>
            </w:r>
          </w:p>
        </w:tc>
      </w:tr>
      <w:tr w:rsidR="00130A6D" w:rsidTr="00A23B41">
        <w:trPr>
          <w:trHeight w:val="252"/>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52" w:type="dxa"/>
            <w:tcBorders>
              <w:top w:val="nil"/>
              <w:left w:val="nil"/>
              <w:bottom w:val="nil"/>
              <w:right w:val="nil"/>
            </w:tcBorders>
          </w:tcPr>
          <w:p w:rsidR="00E85B67" w:rsidRPr="00967389" w:rsidRDefault="004160AB" w:rsidP="00E85B67">
            <w:pPr>
              <w:spacing w:line="256" w:lineRule="auto"/>
              <w:rPr>
                <w:rFonts w:eastAsia="Times New Roman" w:cs="Arial"/>
                <w:szCs w:val="18"/>
                <w:lang w:val="en-US" w:eastAsia="ja-JP" w:bidi="he-IL"/>
              </w:rPr>
            </w:pPr>
            <w:r>
              <w:rPr>
                <w:rFonts w:eastAsia="Times New Roman" w:cs="Arial"/>
                <w:szCs w:val="18"/>
                <w:lang w:val="en-US" w:eastAsia="ja-JP" w:bidi="he-IL"/>
              </w:rPr>
              <w:t>Impairment losses were £34 million higher than Q3 2019 due to revised economic scenarios, refreshed staging and maturity date analysis.</w:t>
            </w:r>
          </w:p>
        </w:tc>
      </w:tr>
      <w:tr w:rsidR="00130A6D" w:rsidTr="00A05025">
        <w:trPr>
          <w:trHeight w:val="202"/>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52" w:type="dxa"/>
            <w:tcBorders>
              <w:top w:val="nil"/>
              <w:left w:val="nil"/>
              <w:bottom w:val="nil"/>
              <w:right w:val="nil"/>
            </w:tcBorders>
          </w:tcPr>
          <w:p w:rsidR="00E85B67" w:rsidRPr="00967389" w:rsidRDefault="004160AB" w:rsidP="00E85B67">
            <w:pPr>
              <w:spacing w:line="256" w:lineRule="auto"/>
              <w:rPr>
                <w:rFonts w:eastAsia="Times New Roman" w:cs="Arial"/>
                <w:szCs w:val="18"/>
                <w:lang w:val="en-US" w:eastAsia="ja-JP" w:bidi="he-IL"/>
              </w:rPr>
            </w:pPr>
            <w:r w:rsidRPr="00967389">
              <w:rPr>
                <w:rFonts w:eastAsia="Times New Roman" w:cs="Arial"/>
                <w:szCs w:val="18"/>
                <w:lang w:val="en-US" w:eastAsia="ja-JP" w:bidi="he-IL"/>
              </w:rPr>
              <w:t>Customer deposits were £0.9 billion higher than Q2 2020 due to short term placements in the Institutional Banking Sector.</w:t>
            </w:r>
          </w:p>
        </w:tc>
      </w:tr>
      <w:tr w:rsidR="00130A6D" w:rsidTr="00B75272">
        <w:trPr>
          <w:trHeight w:val="149"/>
        </w:trPr>
        <w:tc>
          <w:tcPr>
            <w:tcW w:w="284" w:type="dxa"/>
            <w:tcBorders>
              <w:top w:val="nil"/>
              <w:left w:val="nil"/>
              <w:bottom w:val="nil"/>
              <w:right w:val="nil"/>
            </w:tcBorders>
          </w:tcPr>
          <w:p w:rsidR="00E85B67" w:rsidRPr="00D7165F" w:rsidRDefault="004160AB" w:rsidP="00E85B67">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52" w:type="dxa"/>
            <w:tcBorders>
              <w:top w:val="nil"/>
              <w:left w:val="nil"/>
              <w:bottom w:val="nil"/>
              <w:right w:val="nil"/>
            </w:tcBorders>
          </w:tcPr>
          <w:p w:rsidR="00E85B67" w:rsidRPr="003942C6" w:rsidRDefault="004160AB" w:rsidP="00E85B67">
            <w:pPr>
              <w:spacing w:line="256" w:lineRule="auto"/>
              <w:rPr>
                <w:rFonts w:eastAsia="Times New Roman" w:cs="Arial"/>
                <w:szCs w:val="18"/>
                <w:lang w:val="en-US" w:eastAsia="ja-JP" w:bidi="he-IL"/>
              </w:rPr>
            </w:pPr>
            <w:r w:rsidRPr="003942C6">
              <w:rPr>
                <w:lang w:val="en-US" w:eastAsia="ja-JP"/>
              </w:rPr>
              <w:t>RWAs increased by £0.2 billion compared with Q2 2020 due to customer maturities and higher lending balances in the wholesale sector.</w:t>
            </w:r>
          </w:p>
        </w:tc>
      </w:tr>
    </w:tbl>
    <w:p w:rsidR="00653AE2" w:rsidRPr="0028753C" w:rsidRDefault="00653AE2" w:rsidP="000A4C61">
      <w:pPr>
        <w:pStyle w:val="Normal00"/>
        <w:jc w:val="both"/>
        <w:rPr>
          <w:rFonts w:ascii="Arial" w:hAnsi="Arial" w:cs="Arial"/>
          <w:b/>
          <w:color w:val="003366"/>
          <w:sz w:val="10"/>
          <w:szCs w:val="10"/>
          <w:lang w:eastAsia="ja-JP"/>
        </w:rPr>
      </w:pPr>
    </w:p>
    <w:p w:rsidR="00472979" w:rsidRDefault="004160AB">
      <w:pPr>
        <w:spacing w:after="200"/>
        <w:rPr>
          <w:rFonts w:eastAsia="Arial" w:cs="Arial"/>
          <w:b/>
          <w:color w:val="42145F"/>
          <w:szCs w:val="20"/>
          <w:lang w:eastAsia="ja-JP"/>
        </w:rPr>
      </w:pPr>
      <w:r>
        <w:rPr>
          <w:b/>
          <w:color w:val="42145F"/>
          <w:szCs w:val="20"/>
          <w:lang w:eastAsia="ja-JP"/>
        </w:rPr>
        <w:br w:type="page"/>
      </w:r>
    </w:p>
    <w:p w:rsidR="00472979" w:rsidRPr="00741732" w:rsidRDefault="004160AB" w:rsidP="00472979">
      <w:pPr>
        <w:pStyle w:val="Normal200"/>
        <w:spacing w:line="288" w:lineRule="auto"/>
        <w:jc w:val="both"/>
        <w:rPr>
          <w:b/>
          <w:color w:val="42145F"/>
          <w:sz w:val="18"/>
          <w:szCs w:val="20"/>
          <w:lang w:eastAsia="ja-JP"/>
        </w:rPr>
      </w:pPr>
      <w:r w:rsidRPr="00353F47">
        <w:rPr>
          <w:b/>
          <w:color w:val="42145F"/>
          <w:sz w:val="18"/>
          <w:szCs w:val="20"/>
          <w:lang w:eastAsia="ja-JP"/>
        </w:rPr>
        <w:lastRenderedPageBreak/>
        <w:t>Business performance summary</w:t>
      </w:r>
    </w:p>
    <w:p w:rsidR="00653AE2" w:rsidRPr="00E85B67" w:rsidRDefault="004160AB" w:rsidP="00E85B67">
      <w:pPr>
        <w:spacing w:after="200"/>
        <w:rPr>
          <w:rFonts w:eastAsia="Arial" w:cs="Arial"/>
          <w:b/>
          <w:color w:val="42145F"/>
          <w:szCs w:val="20"/>
          <w:lang w:eastAsia="ja-JP"/>
        </w:rPr>
      </w:pPr>
      <w:r w:rsidRPr="00353F47">
        <w:rPr>
          <w:rFonts w:cs="Arial"/>
          <w:b/>
          <w:color w:val="42145F"/>
          <w:szCs w:val="20"/>
          <w:lang w:eastAsia="ja-JP"/>
        </w:rPr>
        <w:t xml:space="preserve">NatWest </w:t>
      </w:r>
      <w:proofErr w:type="gramStart"/>
      <w:r w:rsidRPr="00353F47">
        <w:rPr>
          <w:rFonts w:cs="Arial"/>
          <w:b/>
          <w:color w:val="42145F"/>
          <w:szCs w:val="20"/>
          <w:lang w:eastAsia="ja-JP"/>
        </w:rPr>
        <w:t>Markets</w:t>
      </w:r>
      <w:r w:rsidRPr="00353F47">
        <w:rPr>
          <w:rFonts w:cs="Arial"/>
          <w:color w:val="42145F"/>
          <w:szCs w:val="20"/>
          <w:vertAlign w:val="superscript"/>
          <w:lang w:eastAsia="ja-JP"/>
        </w:rPr>
        <w:t>(</w:t>
      </w:r>
      <w:proofErr w:type="gramEnd"/>
      <w:r w:rsidRPr="00353F47">
        <w:rPr>
          <w:rFonts w:cs="Arial"/>
          <w:color w:val="42145F"/>
          <w:szCs w:val="20"/>
          <w:vertAlign w:val="superscript"/>
          <w:lang w:eastAsia="ja-JP"/>
        </w:rPr>
        <w:t>1)</w:t>
      </w:r>
    </w:p>
    <w:tbl>
      <w:tblPr>
        <w:tblStyle w:val="table"/>
        <w:tblW w:w="10040" w:type="dxa"/>
        <w:tblInd w:w="5" w:type="dxa"/>
        <w:tblCellMar>
          <w:left w:w="0" w:type="dxa"/>
          <w:right w:w="0" w:type="dxa"/>
        </w:tblCellMar>
        <w:tblLook w:val="05E0" w:firstRow="1" w:lastRow="1" w:firstColumn="1" w:lastColumn="1" w:noHBand="0" w:noVBand="1"/>
      </w:tblPr>
      <w:tblGrid>
        <w:gridCol w:w="2310"/>
        <w:gridCol w:w="1260"/>
        <w:gridCol w:w="885"/>
        <w:gridCol w:w="1110"/>
        <w:gridCol w:w="60"/>
        <w:gridCol w:w="1185"/>
        <w:gridCol w:w="1260"/>
        <w:gridCol w:w="885"/>
        <w:gridCol w:w="1095"/>
      </w:tblGrid>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255"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center"/>
              <w:rPr>
                <w:rFonts w:eastAsia="Arial" w:cs="Arial"/>
                <w:b/>
                <w:bCs/>
                <w:color w:val="003366"/>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240"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As at</w:t>
            </w: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09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09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c>
          <w:tcPr>
            <w:tcW w:w="109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£bn</w:t>
            </w:r>
          </w:p>
        </w:tc>
      </w:tr>
      <w:tr w:rsidR="00130A6D">
        <w:trPr>
          <w:trHeight w:val="165"/>
        </w:trPr>
        <w:tc>
          <w:tcPr>
            <w:tcW w:w="23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234</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273</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Funded Assets</w:t>
            </w:r>
          </w:p>
        </w:tc>
        <w:tc>
          <w:tcPr>
            <w:tcW w:w="1260" w:type="dxa"/>
            <w:tcBorders>
              <w:top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121.3</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122.9</w:t>
            </w:r>
          </w:p>
        </w:tc>
        <w:tc>
          <w:tcPr>
            <w:tcW w:w="1095"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116.2</w:t>
            </w: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i/>
                <w:iCs/>
                <w:color w:val="000000"/>
                <w:sz w:val="16"/>
                <w:szCs w:val="16"/>
              </w:rPr>
            </w:pPr>
            <w:r>
              <w:rPr>
                <w:rFonts w:eastAsia="Arial" w:cs="Arial"/>
                <w:i/>
                <w:iCs/>
                <w:color w:val="000000"/>
                <w:sz w:val="16"/>
                <w:szCs w:val="16"/>
              </w:rPr>
              <w:t xml:space="preserve">of which: </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35.1</w:t>
            </w:r>
          </w:p>
        </w:tc>
        <w:tc>
          <w:tcPr>
            <w:tcW w:w="109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37.9</w:t>
            </w: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 Income excluding</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 xml:space="preserve">asset disposals/strategic </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 xml:space="preserve">risk reduction and own </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credit adjustments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280</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438</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161</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 Asset disposals/strategic</w:t>
            </w: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i/>
                <w:iCs/>
                <w:color w:val="000000"/>
                <w:sz w:val="16"/>
                <w:szCs w:val="16"/>
              </w:rPr>
            </w:pPr>
            <w:r>
              <w:rPr>
                <w:rStyle w:val="font183"/>
                <w:rFonts w:ascii="Times New Roman" w:eastAsia="Times New Roman" w:hAnsi="Times New Roman" w:cs="Times New Roman"/>
              </w:rPr>
              <w:t xml:space="preserve">       </w:t>
            </w:r>
            <w:r>
              <w:rPr>
                <w:rStyle w:val="font183"/>
              </w:rPr>
              <w:t xml:space="preserve">risk reduction </w:t>
            </w:r>
            <w:r>
              <w:rPr>
                <w:rStyle w:val="font186"/>
              </w:rPr>
              <w:t>(2)</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(63)</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 Own credit adjustments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(102)</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(302)</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(365)</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(348)</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Impairment releases/(losses)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(45)</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Operating (loss)</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(137)</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(193)</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c>
          <w:tcPr>
            <w:tcW w:w="885"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(7.1%)</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r w:rsidR="00130A6D">
        <w:trPr>
          <w:trHeight w:val="165"/>
        </w:trPr>
        <w:tc>
          <w:tcPr>
            <w:tcW w:w="23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w:t>
            </w: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129.1%</w:t>
            </w: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133.7%</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232.0%</w:t>
            </w:r>
          </w:p>
        </w:tc>
        <w:tc>
          <w:tcPr>
            <w:tcW w:w="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095" w:type="dxa"/>
            <w:tcBorders>
              <w:bottom w:val="single" w:sz="6" w:space="0" w:color="000000"/>
            </w:tcBorders>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bl>
    <w:p w:rsidR="00472979" w:rsidRDefault="00472979" w:rsidP="00653AE2">
      <w:pPr>
        <w:pStyle w:val="Normal00"/>
        <w:spacing w:line="276" w:lineRule="auto"/>
        <w:jc w:val="both"/>
        <w:rPr>
          <w:rFonts w:ascii="Arial" w:hAnsi="Arial" w:cs="Arial"/>
          <w:sz w:val="14"/>
          <w:szCs w:val="14"/>
        </w:rPr>
      </w:pPr>
    </w:p>
    <w:p w:rsidR="00653AE2" w:rsidRPr="00CE46D9" w:rsidRDefault="004160AB" w:rsidP="00653AE2">
      <w:pPr>
        <w:pStyle w:val="Normal00"/>
        <w:spacing w:line="276" w:lineRule="auto"/>
        <w:jc w:val="both"/>
        <w:rPr>
          <w:rFonts w:ascii="Arial" w:hAnsi="Arial" w:cs="Arial"/>
          <w:color w:val="000000"/>
          <w:sz w:val="14"/>
          <w:szCs w:val="14"/>
        </w:rPr>
      </w:pPr>
      <w:r w:rsidRPr="00CE46D9">
        <w:rPr>
          <w:rFonts w:ascii="Arial" w:hAnsi="Arial" w:cs="Arial"/>
          <w:sz w:val="14"/>
          <w:szCs w:val="14"/>
        </w:rPr>
        <w:t>Notes:</w:t>
      </w:r>
    </w:p>
    <w:p w:rsidR="00653AE2" w:rsidRDefault="004160AB" w:rsidP="00653AE2">
      <w:pPr>
        <w:pStyle w:val="ListParagraph"/>
        <w:numPr>
          <w:ilvl w:val="0"/>
          <w:numId w:val="8"/>
        </w:numPr>
        <w:autoSpaceDE w:val="0"/>
        <w:autoSpaceDN w:val="0"/>
        <w:adjustRightInd w:val="0"/>
        <w:spacing w:after="0"/>
        <w:rPr>
          <w:rFonts w:ascii="Arial" w:hAnsi="Arial" w:cs="Arial"/>
          <w:sz w:val="14"/>
          <w:szCs w:val="14"/>
        </w:rPr>
      </w:pPr>
      <w:r w:rsidRPr="00CE46D9">
        <w:rPr>
          <w:rFonts w:ascii="Arial" w:hAnsi="Arial" w:cs="Arial"/>
          <w:sz w:val="14"/>
          <w:szCs w:val="14"/>
        </w:rPr>
        <w:t>The NatWest Markets operating segment is not the same as the NatWest Markets Plc legal entity (NWM Plc) or group (NWM or NWM Group). For 2019, NWM Group includes NatWest Markets N.V. (NWM N.V.) from 29 November 2019 only. For periods prior to Q4 2019, NWM N.V. was excluded from the NWM Group. In both 2019 and 2020 the NatWest Markets segment excludes the Central items &amp; other segment.</w:t>
      </w:r>
    </w:p>
    <w:p w:rsidR="00BA7CF0" w:rsidRDefault="004160AB" w:rsidP="00BA7CF0">
      <w:pPr>
        <w:pStyle w:val="Normal00"/>
        <w:numPr>
          <w:ilvl w:val="0"/>
          <w:numId w:val="8"/>
        </w:numPr>
        <w:spacing w:line="252" w:lineRule="auto"/>
        <w:rPr>
          <w:rFonts w:ascii="Arial" w:hAnsi="Arial" w:cs="Arial"/>
          <w:sz w:val="14"/>
          <w:szCs w:val="14"/>
          <w:lang w:eastAsia="en-US"/>
        </w:rPr>
      </w:pPr>
      <w:r w:rsidRPr="009E4B5F">
        <w:rPr>
          <w:rFonts w:ascii="Arial" w:hAnsi="Arial" w:cs="Arial"/>
          <w:sz w:val="14"/>
          <w:szCs w:val="14"/>
        </w:rPr>
        <w:t xml:space="preserve">Asset disposals/strategic risk reduction in 2020 relates to the cost of exiting positions and the impact of risk reduction transactions </w:t>
      </w:r>
      <w:proofErr w:type="gramStart"/>
      <w:r w:rsidRPr="009E4B5F">
        <w:rPr>
          <w:rFonts w:ascii="Arial" w:hAnsi="Arial" w:cs="Arial"/>
          <w:sz w:val="14"/>
          <w:szCs w:val="14"/>
        </w:rPr>
        <w:t>entered into</w:t>
      </w:r>
      <w:proofErr w:type="gramEnd"/>
      <w:r w:rsidRPr="009E4B5F">
        <w:rPr>
          <w:rFonts w:ascii="Arial" w:hAnsi="Arial" w:cs="Arial"/>
          <w:sz w:val="14"/>
          <w:szCs w:val="14"/>
        </w:rPr>
        <w:t>, in respect of the strategic announcement on 14 February 2020.</w:t>
      </w:r>
    </w:p>
    <w:p w:rsidR="00CE3D3B" w:rsidRPr="00BA7CF0" w:rsidRDefault="00CE3D3B" w:rsidP="00CE3D3B">
      <w:pPr>
        <w:pStyle w:val="Normal00"/>
        <w:spacing w:line="252" w:lineRule="auto"/>
        <w:rPr>
          <w:rFonts w:ascii="Arial" w:hAnsi="Arial" w:cs="Arial"/>
          <w:sz w:val="14"/>
          <w:szCs w:val="14"/>
          <w:lang w:eastAsia="en-US"/>
        </w:rPr>
      </w:pPr>
    </w:p>
    <w:tbl>
      <w:tblPr>
        <w:tblW w:w="10206" w:type="dxa"/>
        <w:tblCellMar>
          <w:left w:w="0" w:type="dxa"/>
          <w:right w:w="0" w:type="dxa"/>
        </w:tblCellMar>
        <w:tblLook w:val="01E0" w:firstRow="1" w:lastRow="1" w:firstColumn="1" w:lastColumn="1" w:noHBand="0" w:noVBand="0"/>
      </w:tblPr>
      <w:tblGrid>
        <w:gridCol w:w="284"/>
        <w:gridCol w:w="9922"/>
      </w:tblGrid>
      <w:tr w:rsidR="00130A6D" w:rsidTr="004534CB">
        <w:trPr>
          <w:trHeight w:val="1713"/>
        </w:trPr>
        <w:tc>
          <w:tcPr>
            <w:tcW w:w="10206" w:type="dxa"/>
            <w:gridSpan w:val="2"/>
          </w:tcPr>
          <w:p w:rsidR="00F140C4" w:rsidRDefault="004160AB" w:rsidP="00F140C4">
            <w:r>
              <w:t xml:space="preserve">During Q3 2020 NatWest Markets made further progress on reshaping the business for the future, putting purpose at its core. The front office operating model was reorganised to increase focus on NatWest Group’s customers. A Capital Management Unit has also been established to safely manage capital reduction and optimisation. Further refinements to the product suite were also communicated, to focus resources on developing product capability in the areas that matter most to NatWest Group’s customers. This included exiting Distressed and Emerging Markets Credit trading and making changes to simplify the Rates business. </w:t>
            </w:r>
            <w:bookmarkStart w:id="13" w:name="_Hlk53754488"/>
            <w:r>
              <w:t xml:space="preserve">In line with the strategy announced in February, NatWest Markets has continued to reduce RWAs, particularly within counterparty credit and market risk, and are now </w:t>
            </w:r>
            <w:r>
              <w:rPr>
                <w:rFonts w:eastAsia="Calibri"/>
                <w:szCs w:val="18"/>
                <w:lang w:eastAsia="ja-JP"/>
              </w:rPr>
              <w:t xml:space="preserve">targeting </w:t>
            </w:r>
            <w:bookmarkStart w:id="14" w:name="_Hlk54283236"/>
            <w:r>
              <w:rPr>
                <w:rFonts w:eastAsia="Calibri"/>
                <w:szCs w:val="18"/>
                <w:lang w:eastAsia="ja-JP"/>
              </w:rPr>
              <w:t>RWAs of around £30 billion by the end of 2020</w:t>
            </w:r>
            <w:bookmarkEnd w:id="14"/>
            <w:r>
              <w:rPr>
                <w:rFonts w:eastAsia="Calibri"/>
                <w:szCs w:val="18"/>
                <w:lang w:eastAsia="ja-JP"/>
              </w:rPr>
              <w:t>.</w:t>
            </w:r>
            <w:bookmarkEnd w:id="13"/>
          </w:p>
          <w:p w:rsidR="00741732" w:rsidRPr="00E565B6" w:rsidRDefault="00741732" w:rsidP="00741732">
            <w:pPr>
              <w:rPr>
                <w:rFonts w:eastAsia="SimSun" w:cs="Arial"/>
                <w:noProof/>
                <w:sz w:val="6"/>
                <w:szCs w:val="6"/>
              </w:rPr>
            </w:pPr>
          </w:p>
        </w:tc>
      </w:tr>
      <w:tr w:rsidR="00130A6D" w:rsidTr="004534CB">
        <w:trPr>
          <w:trHeight w:val="142"/>
        </w:trPr>
        <w:tc>
          <w:tcPr>
            <w:tcW w:w="284" w:type="dxa"/>
          </w:tcPr>
          <w:p w:rsidR="00C92BFB" w:rsidRPr="00D7165F" w:rsidRDefault="004160AB" w:rsidP="00C92BFB">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22" w:type="dxa"/>
          </w:tcPr>
          <w:p w:rsidR="00C92BFB" w:rsidRPr="00967389" w:rsidRDefault="004160AB" w:rsidP="00C92BFB">
            <w:pPr>
              <w:spacing w:line="256" w:lineRule="auto"/>
              <w:rPr>
                <w:rFonts w:eastAsia="Times New Roman" w:cs="Arial"/>
                <w:szCs w:val="18"/>
                <w:lang w:val="en-US" w:eastAsia="ja-JP" w:bidi="he-IL"/>
              </w:rPr>
            </w:pPr>
            <w:r>
              <w:rPr>
                <w:rFonts w:cs="Arial"/>
                <w:szCs w:val="18"/>
              </w:rPr>
              <w:t>Income excluding asset disposals/strategic risk reduction, OCA and notable items increased by £111 million, or 65.7%, in comparison to Q3 2019. Although market activity and the level of primary issuance eased in Q3 2020 compared to the first half of the year, income was significantly higher than Q3 2019 due to elevated hedging costs in the prior period.</w:t>
            </w:r>
          </w:p>
        </w:tc>
      </w:tr>
      <w:tr w:rsidR="00130A6D" w:rsidTr="004534CB">
        <w:trPr>
          <w:trHeight w:val="142"/>
        </w:trPr>
        <w:tc>
          <w:tcPr>
            <w:tcW w:w="284" w:type="dxa"/>
          </w:tcPr>
          <w:p w:rsidR="00C92BFB" w:rsidRPr="00D7165F" w:rsidRDefault="004160AB" w:rsidP="00C92BFB">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22" w:type="dxa"/>
          </w:tcPr>
          <w:p w:rsidR="00C92BFB" w:rsidRPr="00967389" w:rsidRDefault="004160AB" w:rsidP="00C92BFB">
            <w:pPr>
              <w:spacing w:line="256" w:lineRule="auto"/>
              <w:rPr>
                <w:rFonts w:eastAsia="Calibri" w:cs="Arial"/>
                <w:szCs w:val="18"/>
                <w:lang w:val="en-US" w:bidi="he-IL"/>
              </w:rPr>
            </w:pPr>
            <w:r>
              <w:rPr>
                <w:rFonts w:eastAsia="Calibri" w:cs="Arial"/>
                <w:szCs w:val="18"/>
                <w:lang w:val="en-US" w:bidi="he-IL"/>
              </w:rPr>
              <w:t>Excluding strategic, litigation and conduct costs, operating expenses</w:t>
            </w:r>
            <w:r>
              <w:rPr>
                <w:rFonts w:eastAsia="Times New Roman" w:cs="Arial"/>
                <w:szCs w:val="18"/>
                <w:lang w:val="en-US" w:eastAsia="ja-JP" w:bidi="he-IL"/>
              </w:rPr>
              <w:t xml:space="preserve"> decreased by £57 million, or 20.2%, in comparison to Q3 2019 reflecting continued reductions in line with the strategic announcement in February 2020.</w:t>
            </w:r>
          </w:p>
        </w:tc>
      </w:tr>
      <w:tr w:rsidR="00130A6D" w:rsidTr="004534CB">
        <w:trPr>
          <w:trHeight w:val="142"/>
        </w:trPr>
        <w:tc>
          <w:tcPr>
            <w:tcW w:w="284" w:type="dxa"/>
          </w:tcPr>
          <w:p w:rsidR="00C92BFB" w:rsidRPr="00D7165F" w:rsidRDefault="004160AB" w:rsidP="00C92BFB">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22" w:type="dxa"/>
          </w:tcPr>
          <w:p w:rsidR="00C92BFB" w:rsidRPr="00967389" w:rsidRDefault="004160AB" w:rsidP="00C92BFB">
            <w:pPr>
              <w:spacing w:line="256" w:lineRule="auto"/>
              <w:rPr>
                <w:rFonts w:eastAsia="Times New Roman" w:cs="Arial"/>
                <w:szCs w:val="18"/>
                <w:lang w:val="en-US" w:eastAsia="ja-JP" w:bidi="he-IL"/>
              </w:rPr>
            </w:pPr>
            <w:r w:rsidRPr="00AE4A6B">
              <w:rPr>
                <w:rFonts w:eastAsia="Times New Roman" w:cs="Arial"/>
                <w:szCs w:val="18"/>
                <w:lang w:val="en-US" w:eastAsia="ja-JP" w:bidi="he-IL"/>
              </w:rPr>
              <w:t xml:space="preserve">RWAs were £5.1 billion lower than Q2 2020 as counterparty credit risk decreased by £2.2 billion and market risk decreased by £2.2 billion due to capital </w:t>
            </w:r>
            <w:proofErr w:type="spellStart"/>
            <w:r w:rsidRPr="00AE4A6B">
              <w:rPr>
                <w:rFonts w:eastAsia="Times New Roman" w:cs="Arial"/>
                <w:szCs w:val="18"/>
                <w:lang w:val="en-US" w:eastAsia="ja-JP" w:bidi="he-IL"/>
              </w:rPr>
              <w:t>optimisation</w:t>
            </w:r>
            <w:proofErr w:type="spellEnd"/>
            <w:r w:rsidRPr="00AE4A6B">
              <w:rPr>
                <w:rFonts w:eastAsia="Times New Roman" w:cs="Arial"/>
                <w:szCs w:val="18"/>
                <w:lang w:val="en-US" w:eastAsia="ja-JP" w:bidi="he-IL"/>
              </w:rPr>
              <w:t xml:space="preserve"> actions.</w:t>
            </w:r>
          </w:p>
        </w:tc>
      </w:tr>
    </w:tbl>
    <w:p w:rsidR="00472979" w:rsidRDefault="00472979" w:rsidP="00353F47">
      <w:pPr>
        <w:pStyle w:val="Normal00"/>
        <w:spacing w:before="80" w:line="269" w:lineRule="auto"/>
        <w:jc w:val="both"/>
        <w:rPr>
          <w:rFonts w:ascii="Arial" w:hAnsi="Arial" w:cs="Arial"/>
          <w:b/>
          <w:color w:val="42145F"/>
          <w:sz w:val="18"/>
          <w:szCs w:val="20"/>
          <w:lang w:eastAsia="ja-JP"/>
        </w:rPr>
      </w:pPr>
    </w:p>
    <w:p w:rsidR="00410251" w:rsidRPr="00353F47" w:rsidRDefault="004160AB" w:rsidP="00353F47">
      <w:pPr>
        <w:pStyle w:val="Normal00"/>
        <w:spacing w:before="80" w:line="269" w:lineRule="auto"/>
        <w:jc w:val="both"/>
        <w:rPr>
          <w:rFonts w:ascii="Arial" w:hAnsi="Arial" w:cs="Arial"/>
          <w:b/>
          <w:color w:val="42145F"/>
          <w:sz w:val="18"/>
          <w:szCs w:val="20"/>
          <w:lang w:eastAsia="ja-JP"/>
        </w:rPr>
      </w:pPr>
      <w:r w:rsidRPr="00353F47">
        <w:rPr>
          <w:rFonts w:ascii="Arial" w:hAnsi="Arial" w:cs="Arial"/>
          <w:b/>
          <w:color w:val="42145F"/>
          <w:sz w:val="18"/>
          <w:szCs w:val="20"/>
          <w:lang w:eastAsia="ja-JP"/>
        </w:rPr>
        <w:t>Central items &amp; other</w:t>
      </w:r>
    </w:p>
    <w:tbl>
      <w:tblPr>
        <w:tblStyle w:val="table"/>
        <w:tblW w:w="13580" w:type="dxa"/>
        <w:tblInd w:w="5" w:type="dxa"/>
        <w:tblCellMar>
          <w:left w:w="0" w:type="dxa"/>
          <w:right w:w="0" w:type="dxa"/>
        </w:tblCellMar>
        <w:tblLook w:val="05E0" w:firstRow="1" w:lastRow="1" w:firstColumn="1" w:lastColumn="1" w:noHBand="0" w:noVBand="1"/>
      </w:tblPr>
      <w:tblGrid>
        <w:gridCol w:w="6645"/>
        <w:gridCol w:w="1260"/>
        <w:gridCol w:w="1110"/>
        <w:gridCol w:w="1110"/>
        <w:gridCol w:w="1260"/>
        <w:gridCol w:w="945"/>
        <w:gridCol w:w="1260"/>
      </w:tblGrid>
      <w:tr w:rsidR="00130A6D">
        <w:trPr>
          <w:trHeight w:val="165"/>
        </w:trPr>
        <w:tc>
          <w:tcPr>
            <w:tcW w:w="664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3480" w:type="dxa"/>
            <w:gridSpan w:val="3"/>
            <w:tcBorders>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c>
          <w:tcPr>
            <w:tcW w:w="3465" w:type="dxa"/>
            <w:gridSpan w:val="3"/>
            <w:shd w:val="clear" w:color="auto" w:fill="FFFFFF"/>
            <w:noWrap/>
            <w:tcMar>
              <w:top w:w="0" w:type="dxa"/>
              <w:left w:w="5" w:type="dxa"/>
              <w:bottom w:w="0" w:type="dxa"/>
              <w:right w:w="5" w:type="dxa"/>
            </w:tcMar>
            <w:vAlign w:val="bottom"/>
            <w:hideMark/>
          </w:tcPr>
          <w:p w:rsidR="0078261B" w:rsidRDefault="0078261B">
            <w:pPr>
              <w:spacing w:line="240" w:lineRule="auto"/>
              <w:contextualSpacing/>
              <w:jc w:val="center"/>
              <w:rPr>
                <w:rFonts w:eastAsia="Arial" w:cs="Arial"/>
                <w:b/>
                <w:bCs/>
                <w:color w:val="003366"/>
                <w:sz w:val="16"/>
                <w:szCs w:val="16"/>
              </w:rPr>
            </w:pPr>
          </w:p>
        </w:tc>
      </w:tr>
      <w:tr w:rsidR="00130A6D">
        <w:trPr>
          <w:trHeight w:val="165"/>
        </w:trPr>
        <w:tc>
          <w:tcPr>
            <w:tcW w:w="664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3366"/>
                <w:sz w:val="16"/>
                <w:szCs w:val="16"/>
              </w:rPr>
            </w:pPr>
          </w:p>
        </w:tc>
        <w:tc>
          <w:tcPr>
            <w:tcW w:w="94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r>
      <w:tr w:rsidR="00130A6D">
        <w:trPr>
          <w:trHeight w:val="165"/>
        </w:trPr>
        <w:tc>
          <w:tcPr>
            <w:tcW w:w="664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3366"/>
                <w:sz w:val="16"/>
                <w:szCs w:val="16"/>
              </w:rPr>
            </w:pPr>
          </w:p>
        </w:tc>
        <w:tc>
          <w:tcPr>
            <w:tcW w:w="94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r>
      <w:tr w:rsidR="00130A6D">
        <w:trPr>
          <w:trHeight w:val="165"/>
        </w:trPr>
        <w:tc>
          <w:tcPr>
            <w:tcW w:w="664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b/>
                <w:bCs/>
                <w:color w:val="003366"/>
                <w:sz w:val="16"/>
                <w:szCs w:val="16"/>
              </w:rPr>
            </w:pPr>
          </w:p>
        </w:tc>
        <w:tc>
          <w:tcPr>
            <w:tcW w:w="94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jc w:val="right"/>
              <w:rPr>
                <w:rFonts w:eastAsia="Arial" w:cs="Arial"/>
                <w:color w:val="003366"/>
                <w:sz w:val="16"/>
                <w:szCs w:val="16"/>
              </w:rPr>
            </w:pPr>
          </w:p>
        </w:tc>
      </w:tr>
      <w:tr w:rsidR="00130A6D">
        <w:trPr>
          <w:trHeight w:val="165"/>
        </w:trPr>
        <w:tc>
          <w:tcPr>
            <w:tcW w:w="6645"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rPr>
                <w:rFonts w:eastAsia="Arial" w:cs="Arial"/>
                <w:color w:val="000000"/>
                <w:sz w:val="16"/>
                <w:szCs w:val="16"/>
              </w:rPr>
            </w:pPr>
            <w:r>
              <w:rPr>
                <w:rFonts w:eastAsia="Arial" w:cs="Arial"/>
                <w:color w:val="000000"/>
                <w:sz w:val="16"/>
                <w:szCs w:val="16"/>
              </w:rPr>
              <w:t>Central items not allocated</w:t>
            </w: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(285)</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(146)</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78261B" w:rsidRDefault="004160AB">
            <w:pPr>
              <w:spacing w:line="240" w:lineRule="auto"/>
              <w:contextualSpacing/>
              <w:jc w:val="right"/>
              <w:rPr>
                <w:rFonts w:eastAsia="Arial" w:cs="Arial"/>
                <w:color w:val="000000"/>
                <w:sz w:val="16"/>
                <w:szCs w:val="16"/>
              </w:rPr>
            </w:pPr>
            <w:r>
              <w:rPr>
                <w:rFonts w:eastAsia="Arial" w:cs="Arial"/>
                <w:color w:val="000000"/>
                <w:sz w:val="16"/>
                <w:szCs w:val="16"/>
              </w:rPr>
              <w:t>162</w:t>
            </w: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b/>
                <w:bCs/>
                <w:color w:val="000000"/>
                <w:sz w:val="16"/>
                <w:szCs w:val="16"/>
              </w:rPr>
            </w:pPr>
          </w:p>
        </w:tc>
        <w:tc>
          <w:tcPr>
            <w:tcW w:w="945"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78261B" w:rsidRDefault="0078261B">
            <w:pPr>
              <w:spacing w:line="240" w:lineRule="auto"/>
              <w:contextualSpacing/>
              <w:rPr>
                <w:rFonts w:eastAsia="Arial" w:cs="Arial"/>
                <w:color w:val="000000"/>
                <w:sz w:val="16"/>
                <w:szCs w:val="16"/>
              </w:rPr>
            </w:pPr>
          </w:p>
        </w:tc>
      </w:tr>
    </w:tbl>
    <w:p w:rsidR="004A27CE" w:rsidRDefault="004A27CE" w:rsidP="004A27CE">
      <w:pPr>
        <w:pStyle w:val="Normal00"/>
        <w:spacing w:line="288" w:lineRule="auto"/>
        <w:rPr>
          <w:rFonts w:ascii="Arial" w:hAnsi="Arial" w:cs="Arial"/>
          <w:color w:val="0A2F64"/>
          <w:sz w:val="18"/>
          <w:szCs w:val="18"/>
          <w:lang w:eastAsia="ja-JP"/>
        </w:rPr>
      </w:pPr>
    </w:p>
    <w:tbl>
      <w:tblPr>
        <w:tblW w:w="20128" w:type="dxa"/>
        <w:tblCellMar>
          <w:left w:w="0" w:type="dxa"/>
          <w:right w:w="0" w:type="dxa"/>
        </w:tblCellMar>
        <w:tblLook w:val="01E0" w:firstRow="1" w:lastRow="1" w:firstColumn="1" w:lastColumn="1" w:noHBand="0" w:noVBand="0"/>
      </w:tblPr>
      <w:tblGrid>
        <w:gridCol w:w="284"/>
        <w:gridCol w:w="9922"/>
        <w:gridCol w:w="9922"/>
      </w:tblGrid>
      <w:tr w:rsidR="00130A6D" w:rsidTr="009F5795">
        <w:trPr>
          <w:trHeight w:val="517"/>
        </w:trPr>
        <w:tc>
          <w:tcPr>
            <w:tcW w:w="284" w:type="dxa"/>
            <w:tcBorders>
              <w:top w:val="nil"/>
              <w:left w:val="nil"/>
              <w:bottom w:val="nil"/>
              <w:right w:val="nil"/>
            </w:tcBorders>
          </w:tcPr>
          <w:p w:rsidR="009F5795" w:rsidRPr="00D7165F" w:rsidRDefault="004160AB" w:rsidP="009F5795">
            <w:pPr>
              <w:pStyle w:val="Normal00"/>
              <w:spacing w:line="276" w:lineRule="auto"/>
              <w:jc w:val="both"/>
              <w:rPr>
                <w:rFonts w:ascii="Arial" w:eastAsia="SimSun" w:hAnsi="Arial" w:cs="Arial"/>
                <w:sz w:val="20"/>
                <w:szCs w:val="18"/>
                <w:lang w:eastAsia="ja-JP"/>
              </w:rPr>
            </w:pPr>
            <w:r w:rsidRPr="00D7165F">
              <w:rPr>
                <w:rFonts w:ascii="Arial" w:eastAsia="SimSun" w:hAnsi="Arial" w:cs="Arial"/>
                <w:sz w:val="20"/>
                <w:szCs w:val="18"/>
                <w:lang w:eastAsia="ja-JP"/>
              </w:rPr>
              <w:t>●</w:t>
            </w:r>
          </w:p>
        </w:tc>
        <w:tc>
          <w:tcPr>
            <w:tcW w:w="9922" w:type="dxa"/>
            <w:tcBorders>
              <w:top w:val="nil"/>
              <w:left w:val="nil"/>
              <w:bottom w:val="nil"/>
              <w:right w:val="nil"/>
            </w:tcBorders>
          </w:tcPr>
          <w:p w:rsidR="00E85B67" w:rsidRDefault="004160AB" w:rsidP="00E85B67">
            <w:pPr>
              <w:pStyle w:val="Normal00"/>
              <w:spacing w:line="276" w:lineRule="auto"/>
              <w:rPr>
                <w:rFonts w:ascii="Arial" w:eastAsia="SimSun" w:hAnsi="Arial" w:cs="Arial"/>
                <w:noProof/>
                <w:sz w:val="18"/>
                <w:szCs w:val="18"/>
              </w:rPr>
            </w:pPr>
            <w:bookmarkStart w:id="15" w:name="_Hlk54086205"/>
            <w:r w:rsidRPr="00E47D2A">
              <w:rPr>
                <w:rFonts w:ascii="Arial" w:eastAsia="SimSun" w:hAnsi="Arial" w:cs="Arial"/>
                <w:noProof/>
                <w:sz w:val="18"/>
                <w:szCs w:val="18"/>
              </w:rPr>
              <w:t>A £285 million operating loss within central items not allocated in Q3 2020 principally reflects the day one loss on redemption of own debt of £324 million related to the repurchase of legacy instruments which will result in annual net interest savings of c.£74 million. Q3 2019 principally reflected a £162 million reimbursment under indemnification agreements relating to residential mortgage-backed securities.</w:t>
            </w:r>
          </w:p>
          <w:bookmarkEnd w:id="15"/>
          <w:p w:rsidR="009F5795" w:rsidRPr="00717550" w:rsidRDefault="009F5795" w:rsidP="009F5795">
            <w:pPr>
              <w:pStyle w:val="Normal00"/>
              <w:spacing w:line="276" w:lineRule="auto"/>
              <w:rPr>
                <w:rFonts w:ascii="Arial" w:eastAsia="SimSun" w:hAnsi="Arial" w:cs="Arial"/>
                <w:noProof/>
                <w:sz w:val="18"/>
                <w:szCs w:val="18"/>
              </w:rPr>
            </w:pPr>
          </w:p>
        </w:tc>
        <w:tc>
          <w:tcPr>
            <w:tcW w:w="9922" w:type="dxa"/>
            <w:tcBorders>
              <w:top w:val="nil"/>
              <w:left w:val="nil"/>
              <w:bottom w:val="nil"/>
              <w:right w:val="nil"/>
            </w:tcBorders>
          </w:tcPr>
          <w:p w:rsidR="009F5795" w:rsidRPr="00C220EE" w:rsidRDefault="009F5795" w:rsidP="009F5795">
            <w:pPr>
              <w:pStyle w:val="Normal00"/>
              <w:spacing w:line="276" w:lineRule="auto"/>
              <w:rPr>
                <w:rFonts w:ascii="Arial" w:eastAsia="SimSun" w:hAnsi="Arial" w:cs="Arial"/>
                <w:noProof/>
                <w:sz w:val="20"/>
                <w:szCs w:val="20"/>
              </w:rPr>
            </w:pPr>
          </w:p>
        </w:tc>
      </w:tr>
    </w:tbl>
    <w:p w:rsidR="00653AE2" w:rsidRDefault="00653AE2" w:rsidP="004A27CE">
      <w:pPr>
        <w:pStyle w:val="Normal00"/>
        <w:spacing w:line="288" w:lineRule="auto"/>
        <w:rPr>
          <w:rFonts w:ascii="Arial" w:hAnsi="Arial" w:cs="Arial"/>
          <w:color w:val="0A2F64"/>
          <w:sz w:val="18"/>
          <w:szCs w:val="18"/>
          <w:lang w:eastAsia="ja-JP"/>
        </w:rPr>
      </w:pPr>
    </w:p>
    <w:p w:rsidR="00653AE2" w:rsidRDefault="004160AB">
      <w:pPr>
        <w:spacing w:after="200"/>
        <w:rPr>
          <w:rFonts w:eastAsia="Times New Roman" w:cs="Arial"/>
          <w:color w:val="0A2F64"/>
          <w:szCs w:val="18"/>
          <w:lang w:eastAsia="ja-JP"/>
        </w:rPr>
      </w:pPr>
      <w:r>
        <w:rPr>
          <w:rFonts w:cs="Arial"/>
          <w:color w:val="0A2F64"/>
          <w:szCs w:val="18"/>
          <w:lang w:eastAsia="ja-JP"/>
        </w:rPr>
        <w:br w:type="page"/>
      </w:r>
    </w:p>
    <w:p w:rsidR="00653AE2" w:rsidRPr="00F377A3" w:rsidRDefault="00653AE2" w:rsidP="004A27CE">
      <w:pPr>
        <w:pStyle w:val="Normal00"/>
        <w:spacing w:line="288" w:lineRule="auto"/>
        <w:rPr>
          <w:rFonts w:ascii="Arial" w:hAnsi="Arial" w:cs="Arial"/>
          <w:color w:val="0A2F64"/>
          <w:sz w:val="18"/>
          <w:szCs w:val="18"/>
          <w:lang w:eastAsia="ja-JP"/>
        </w:rPr>
        <w:sectPr w:rsidR="00653AE2" w:rsidRPr="00F377A3" w:rsidSect="000A4C61">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134" w:right="851" w:bottom="680" w:left="851" w:header="708" w:footer="708" w:gutter="0"/>
          <w:cols w:space="708"/>
          <w:docGrid w:linePitch="360"/>
        </w:sectPr>
      </w:pPr>
    </w:p>
    <w:p w:rsidR="00133D7F" w:rsidRPr="000C2D29" w:rsidRDefault="004160AB" w:rsidP="00133D7F">
      <w:pPr>
        <w:pStyle w:val="Normal00"/>
        <w:rPr>
          <w:rFonts w:ascii="Arial" w:hAnsi="Arial"/>
          <w:b/>
          <w:color w:val="42145F"/>
          <w:sz w:val="18"/>
          <w:szCs w:val="20"/>
          <w:lang w:eastAsia="ja-JP"/>
        </w:rPr>
      </w:pPr>
      <w:r w:rsidRPr="000C2D29">
        <w:rPr>
          <w:rFonts w:ascii="Arial" w:hAnsi="Arial"/>
          <w:b/>
          <w:color w:val="42145F"/>
          <w:sz w:val="18"/>
          <w:szCs w:val="20"/>
          <w:lang w:eastAsia="ja-JP"/>
        </w:rPr>
        <w:lastRenderedPageBreak/>
        <w:t xml:space="preserve">Segment performance </w:t>
      </w:r>
    </w:p>
    <w:tbl>
      <w:tblPr>
        <w:tblStyle w:val="table"/>
        <w:tblW w:w="15240" w:type="dxa"/>
        <w:tblInd w:w="5" w:type="dxa"/>
        <w:tblCellMar>
          <w:left w:w="0" w:type="dxa"/>
          <w:right w:w="0" w:type="dxa"/>
        </w:tblCellMar>
        <w:tblLook w:val="05E0" w:firstRow="1" w:lastRow="1" w:firstColumn="1" w:lastColumn="1" w:noHBand="0" w:noVBand="1"/>
      </w:tblPr>
      <w:tblGrid>
        <w:gridCol w:w="6300"/>
        <w:gridCol w:w="1110"/>
        <w:gridCol w:w="1110"/>
        <w:gridCol w:w="1185"/>
        <w:gridCol w:w="1110"/>
        <w:gridCol w:w="1185"/>
        <w:gridCol w:w="1110"/>
        <w:gridCol w:w="1185"/>
        <w:gridCol w:w="1185"/>
      </w:tblGrid>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9180" w:type="dxa"/>
            <w:gridSpan w:val="8"/>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Nine months ended 30 September 2020</w:t>
            </w:r>
          </w:p>
        </w:tc>
      </w:tr>
      <w:tr w:rsidR="00130A6D">
        <w:trPr>
          <w:trHeight w:val="195"/>
        </w:trPr>
        <w:tc>
          <w:tcPr>
            <w:tcW w:w="6060" w:type="dxa"/>
            <w:gridSpan w:val="2"/>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Retail</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Ulster</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Commercial</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Private</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RBS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NatWest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Central items</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 NatWest</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Bank </w:t>
            </w:r>
            <w:proofErr w:type="spellStart"/>
            <w:r>
              <w:rPr>
                <w:rFonts w:eastAsia="Arial" w:cs="Arial"/>
                <w:b/>
                <w:bCs/>
                <w:color w:val="000000"/>
                <w:sz w:val="16"/>
                <w:szCs w:val="16"/>
              </w:rPr>
              <w:t>RoI</w:t>
            </w:r>
            <w:proofErr w:type="spellEnd"/>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International</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Markets</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Style w:val="font800"/>
              </w:rPr>
              <w:t>&amp; other</w:t>
            </w:r>
            <w:r>
              <w:rPr>
                <w:rStyle w:val="font7"/>
              </w:rPr>
              <w:t> (1)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Group</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Income statement</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2,919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2,073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286</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5,778</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934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1,086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2,464</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income</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3,207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1,050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(332)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8,261</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(914)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(2,623)</w:t>
            </w: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(1,678)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(2,335)</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(1,178)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(958)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2,695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(46)</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(428)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(687)</w:t>
            </w: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191</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(115)</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expenses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(1,722)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(1,774)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(1,009)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(5,564)</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Operating profit/(loss)before impairment (losses)/releases</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1,485</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w:t>
            </w: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1,233</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215</w:t>
            </w: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192</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w:t>
            </w: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(476)</w:t>
            </w: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2,697</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(727)</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(251)</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(1,917)</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(74)</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(80)</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(3,112)</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Operating profit/(loss) </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(501)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(415)</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Additional information</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Return on equity</w:t>
            </w:r>
            <w:r>
              <w:rPr>
                <w:rStyle w:val="font7"/>
              </w:rPr>
              <w:t> (2)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proofErr w:type="spellStart"/>
            <w:r>
              <w:rPr>
                <w:rStyle w:val="font60"/>
              </w:rPr>
              <w:t>Cost:income</w:t>
            </w:r>
            <w:proofErr w:type="spellEnd"/>
            <w:r>
              <w:rPr>
                <w:rStyle w:val="font60"/>
              </w:rPr>
              <w:t xml:space="preserve"> ratio </w:t>
            </w:r>
            <w:r>
              <w:rPr>
                <w:rStyle w:val="font7"/>
              </w:rPr>
              <w:t>(2)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98.2%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48.2%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66.9%</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189.5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186.9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283.2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791.6</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189.5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186.9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627.3</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166.7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353.7</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 xml:space="preserve">Loan impairment rate </w:t>
            </w:r>
            <w:r>
              <w:rPr>
                <w:rStyle w:val="font7"/>
              </w:rPr>
              <w:t>(2)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57bps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175bps</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226bps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59bps</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83bps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115bps</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164.9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161.3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418.4</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173.9</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RWA equivalent (</w:t>
            </w:r>
            <w:proofErr w:type="spellStart"/>
            <w:r>
              <w:rPr>
                <w:rFonts w:eastAsia="Arial" w:cs="Arial"/>
                <w:color w:val="000000"/>
                <w:sz w:val="16"/>
                <w:szCs w:val="16"/>
              </w:rPr>
              <w:t>RWAe</w:t>
            </w:r>
            <w:proofErr w:type="spellEnd"/>
            <w:r>
              <w:rPr>
                <w:rFonts w:eastAsia="Arial" w:cs="Arial"/>
                <w:color w:val="000000"/>
                <w:sz w:val="16"/>
                <w:szCs w:val="16"/>
              </w:rPr>
              <w:t>)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76.6</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176.1</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16.6</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61.6</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179.8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160.8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487.8</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1.58%</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 xml:space="preserve">Third party customer asset rate </w:t>
            </w:r>
            <w:r>
              <w:rPr>
                <w:rStyle w:val="font7"/>
              </w:rPr>
              <w:t>(3)</w:t>
            </w:r>
          </w:p>
        </w:tc>
        <w:tc>
          <w:tcPr>
            <w:tcW w:w="111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2.92%</w:t>
            </w:r>
          </w:p>
        </w:tc>
        <w:tc>
          <w:tcPr>
            <w:tcW w:w="111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2.29%</w:t>
            </w:r>
          </w:p>
        </w:tc>
        <w:tc>
          <w:tcPr>
            <w:tcW w:w="118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2.93%</w:t>
            </w:r>
          </w:p>
        </w:tc>
        <w:tc>
          <w:tcPr>
            <w:tcW w:w="111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2.59%</w:t>
            </w:r>
          </w:p>
        </w:tc>
        <w:tc>
          <w:tcPr>
            <w:tcW w:w="118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2.57%</w:t>
            </w:r>
          </w:p>
        </w:tc>
        <w:tc>
          <w:tcPr>
            <w:tcW w:w="111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 xml:space="preserve">Third party customer funding rate </w:t>
            </w:r>
            <w:r>
              <w:rPr>
                <w:rStyle w:val="font7"/>
              </w:rPr>
              <w:t>(3)</w:t>
            </w:r>
          </w:p>
        </w:tc>
        <w:tc>
          <w:tcPr>
            <w:tcW w:w="1110"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(0.23%)</w:t>
            </w:r>
          </w:p>
        </w:tc>
        <w:tc>
          <w:tcPr>
            <w:tcW w:w="1110"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(0.12%)</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(0.20%)</w:t>
            </w:r>
          </w:p>
        </w:tc>
        <w:tc>
          <w:tcPr>
            <w:tcW w:w="1110"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(0.18%)</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(0.03%)</w:t>
            </w:r>
          </w:p>
        </w:tc>
        <w:tc>
          <w:tcPr>
            <w:tcW w:w="1110"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r>
    </w:tbl>
    <w:p w:rsidR="009411D7" w:rsidRDefault="009411D7">
      <w:pPr>
        <w:spacing w:after="200"/>
        <w:rPr>
          <w:b/>
          <w:color w:val="42145F"/>
          <w:sz w:val="20"/>
          <w:szCs w:val="20"/>
          <w:lang w:eastAsia="ja-JP"/>
        </w:rPr>
      </w:pPr>
    </w:p>
    <w:p w:rsidR="001D2717" w:rsidRDefault="004160AB">
      <w:pPr>
        <w:spacing w:after="200"/>
        <w:rPr>
          <w:rFonts w:eastAsia="Times New Roman" w:cs="Times New Roman"/>
          <w:b/>
          <w:color w:val="42145F"/>
          <w:sz w:val="20"/>
          <w:szCs w:val="20"/>
          <w:lang w:eastAsia="ja-JP"/>
        </w:rPr>
      </w:pPr>
      <w:r w:rsidRPr="000C2D29">
        <w:rPr>
          <w:szCs w:val="20"/>
          <w:lang w:eastAsia="ja-JP"/>
        </w:rPr>
        <w:t>Refer to page 14 for the notes to this table. nm = not meaningful.</w:t>
      </w:r>
      <w:r>
        <w:rPr>
          <w:b/>
          <w:color w:val="42145F"/>
          <w:sz w:val="20"/>
          <w:szCs w:val="20"/>
          <w:lang w:eastAsia="ja-JP"/>
        </w:rPr>
        <w:br w:type="page"/>
      </w:r>
    </w:p>
    <w:p w:rsidR="001D2717" w:rsidRPr="000C2D29" w:rsidRDefault="004160AB" w:rsidP="001D2717">
      <w:pPr>
        <w:pStyle w:val="Normal00"/>
        <w:rPr>
          <w:rFonts w:ascii="Arial" w:hAnsi="Arial"/>
          <w:b/>
          <w:color w:val="42145F"/>
          <w:sz w:val="18"/>
          <w:szCs w:val="20"/>
          <w:lang w:eastAsia="ja-JP"/>
        </w:rPr>
      </w:pPr>
      <w:r w:rsidRPr="000C2D29">
        <w:rPr>
          <w:rFonts w:ascii="Arial" w:hAnsi="Arial"/>
          <w:b/>
          <w:color w:val="42145F"/>
          <w:sz w:val="18"/>
          <w:szCs w:val="20"/>
          <w:lang w:eastAsia="ja-JP"/>
        </w:rPr>
        <w:lastRenderedPageBreak/>
        <w:t xml:space="preserve">Segment performance </w:t>
      </w:r>
    </w:p>
    <w:tbl>
      <w:tblPr>
        <w:tblStyle w:val="table"/>
        <w:tblW w:w="15240" w:type="dxa"/>
        <w:tblInd w:w="5" w:type="dxa"/>
        <w:tblCellMar>
          <w:left w:w="0" w:type="dxa"/>
          <w:right w:w="0" w:type="dxa"/>
        </w:tblCellMar>
        <w:tblLook w:val="05E0" w:firstRow="1" w:lastRow="1" w:firstColumn="1" w:lastColumn="1" w:noHBand="0" w:noVBand="1"/>
      </w:tblPr>
      <w:tblGrid>
        <w:gridCol w:w="6300"/>
        <w:gridCol w:w="1110"/>
        <w:gridCol w:w="1110"/>
        <w:gridCol w:w="1185"/>
        <w:gridCol w:w="1110"/>
        <w:gridCol w:w="1185"/>
        <w:gridCol w:w="1110"/>
        <w:gridCol w:w="1185"/>
        <w:gridCol w:w="1185"/>
      </w:tblGrid>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9180" w:type="dxa"/>
            <w:gridSpan w:val="8"/>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color w:val="5E10B1"/>
                <w:sz w:val="16"/>
                <w:szCs w:val="16"/>
              </w:rPr>
            </w:pPr>
            <w:r>
              <w:rPr>
                <w:rFonts w:eastAsia="Arial" w:cs="Arial"/>
                <w:color w:val="5E10B1"/>
                <w:sz w:val="16"/>
                <w:szCs w:val="16"/>
              </w:rPr>
              <w:t>Nine months ended 30 September 2019</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Retail</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Ulster</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Commercial</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Private</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RBS</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NatWest</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Central items</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Total NatWest</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 xml:space="preserve">Bank </w:t>
            </w:r>
            <w:proofErr w:type="spellStart"/>
            <w:r>
              <w:rPr>
                <w:rFonts w:eastAsia="Arial" w:cs="Arial"/>
                <w:color w:val="000000"/>
                <w:sz w:val="16"/>
                <w:szCs w:val="16"/>
              </w:rPr>
              <w:t>RoI</w:t>
            </w:r>
            <w:proofErr w:type="spellEnd"/>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Banking</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International</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Markets</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Style w:val="font60"/>
              </w:rPr>
              <w:t> &amp; other</w:t>
            </w:r>
            <w:r>
              <w:rPr>
                <w:rStyle w:val="font7"/>
              </w:rPr>
              <w:t> (1)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Group</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Income statement</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3,118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2,127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391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6,010</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553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890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3,033</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(58)</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Strategic disposals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444</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591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1,035</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income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3,671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428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3,242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582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460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1,092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545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10,020</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(521)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(508)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(905)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(2,732)</w:t>
            </w: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(1,685)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(2,412)</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(1,113)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2,593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(691)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(844)</w:t>
            </w: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(918)</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184</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(810)</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expenses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(2,830)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(412)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(1,900)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(1,026)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(6,798)</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Operating profit/(loss) before impairment (losses)/releases</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841</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1,342</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231</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279</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447</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3,222</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(312)</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(310)</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(536)</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Operating profit/(loss) </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529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1,032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2,686</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Additional information</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Style w:val="font60"/>
              </w:rPr>
              <w:t>Return on equity</w:t>
            </w:r>
            <w:r>
              <w:rPr>
                <w:rStyle w:val="font7"/>
              </w:rPr>
              <w:t> (2)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6.8%</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proofErr w:type="spellStart"/>
            <w:r>
              <w:rPr>
                <w:rStyle w:val="font60"/>
              </w:rPr>
              <w:t>Cost:income</w:t>
            </w:r>
            <w:proofErr w:type="spellEnd"/>
            <w:r>
              <w:rPr>
                <w:rStyle w:val="font60"/>
              </w:rPr>
              <w:t xml:space="preserve"> ratio</w:t>
            </w:r>
            <w:r>
              <w:rPr>
                <w:rStyle w:val="font7"/>
              </w:rPr>
              <w:t> (2)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77.1%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96.3%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57.2%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60.3%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39.3%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94.0%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67.5%</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166.6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318.3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776.5</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166.6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142.7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34.9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600.7</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154.6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319.5</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Style w:val="font60"/>
              </w:rPr>
              <w:t>Loan impairment rate</w:t>
            </w:r>
            <w:r>
              <w:rPr>
                <w:rStyle w:val="font7"/>
              </w:rPr>
              <w:t> (2)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27bps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roofErr w:type="gramStart"/>
            <w:r>
              <w:rPr>
                <w:rFonts w:eastAsia="Arial" w:cs="Arial"/>
                <w:color w:val="000000"/>
                <w:sz w:val="16"/>
                <w:szCs w:val="16"/>
              </w:rPr>
              <w:t>26)bps</w:t>
            </w:r>
            <w:proofErr w:type="gramEnd"/>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40bps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roofErr w:type="gramStart"/>
            <w:r>
              <w:rPr>
                <w:rFonts w:eastAsia="Arial" w:cs="Arial"/>
                <w:color w:val="000000"/>
                <w:sz w:val="16"/>
                <w:szCs w:val="16"/>
              </w:rPr>
              <w:t>4)bps</w:t>
            </w:r>
            <w:proofErr w:type="gramEnd"/>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roofErr w:type="gramStart"/>
            <w:r>
              <w:rPr>
                <w:rFonts w:eastAsia="Arial" w:cs="Arial"/>
                <w:color w:val="000000"/>
                <w:sz w:val="16"/>
                <w:szCs w:val="16"/>
              </w:rPr>
              <w:t>3)bps</w:t>
            </w:r>
            <w:proofErr w:type="gramEnd"/>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22bps</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147.9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135.7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369.7</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77.0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189.5</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RWA equivalent (</w:t>
            </w:r>
            <w:proofErr w:type="spellStart"/>
            <w:r>
              <w:rPr>
                <w:rFonts w:eastAsia="Arial" w:cs="Arial"/>
                <w:color w:val="000000"/>
                <w:sz w:val="16"/>
                <w:szCs w:val="16"/>
              </w:rPr>
              <w:t>RWAe</w:t>
            </w:r>
            <w:proofErr w:type="spellEnd"/>
            <w:r>
              <w:rPr>
                <w:rFonts w:eastAsia="Arial" w:cs="Arial"/>
                <w:color w:val="000000"/>
                <w:sz w:val="16"/>
                <w:szCs w:val="16"/>
              </w:rPr>
              <w:t>)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78.1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48.9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197.3</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65.7</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165.3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145.8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445.1</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(0.70%)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1.81%</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Style w:val="font60"/>
              </w:rPr>
              <w:t xml:space="preserve">Third party customer asset rate </w:t>
            </w:r>
            <w:r>
              <w:rPr>
                <w:rStyle w:val="font7"/>
              </w:rPr>
              <w:t>(3)</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3.27%</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2.29%</w:t>
            </w:r>
          </w:p>
        </w:tc>
        <w:tc>
          <w:tcPr>
            <w:tcW w:w="118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3.37%</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2.95%</w:t>
            </w:r>
          </w:p>
        </w:tc>
        <w:tc>
          <w:tcPr>
            <w:tcW w:w="118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2.93%</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Style w:val="font60"/>
              </w:rPr>
              <w:t xml:space="preserve">Third party customer funding rate </w:t>
            </w:r>
            <w:r>
              <w:rPr>
                <w:rStyle w:val="font7"/>
              </w:rPr>
              <w:t>(3)</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(0.37%)</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(0.15%)</w:t>
            </w:r>
          </w:p>
        </w:tc>
        <w:tc>
          <w:tcPr>
            <w:tcW w:w="118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(0.35%)</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(0.44%)</w:t>
            </w:r>
          </w:p>
        </w:tc>
        <w:tc>
          <w:tcPr>
            <w:tcW w:w="118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(0.14%)</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r>
    </w:tbl>
    <w:p w:rsidR="009411D7" w:rsidRDefault="009411D7">
      <w:pPr>
        <w:spacing w:after="200"/>
        <w:rPr>
          <w:b/>
          <w:color w:val="42145F"/>
          <w:sz w:val="20"/>
          <w:szCs w:val="20"/>
          <w:lang w:eastAsia="ja-JP"/>
        </w:rPr>
      </w:pPr>
    </w:p>
    <w:p w:rsidR="001D2717" w:rsidRDefault="004160AB">
      <w:pPr>
        <w:spacing w:after="200"/>
        <w:rPr>
          <w:rFonts w:eastAsia="Times New Roman" w:cs="Times New Roman"/>
          <w:b/>
          <w:color w:val="42145F"/>
          <w:sz w:val="20"/>
          <w:szCs w:val="20"/>
          <w:lang w:eastAsia="ja-JP"/>
        </w:rPr>
      </w:pPr>
      <w:r w:rsidRPr="000C2D29">
        <w:rPr>
          <w:szCs w:val="20"/>
          <w:lang w:eastAsia="ja-JP"/>
        </w:rPr>
        <w:t>Refer to page 14 for the notes to this table. nm = not meaningful.</w:t>
      </w:r>
      <w:r>
        <w:rPr>
          <w:b/>
          <w:color w:val="42145F"/>
          <w:sz w:val="20"/>
          <w:szCs w:val="20"/>
          <w:lang w:eastAsia="ja-JP"/>
        </w:rPr>
        <w:br w:type="page"/>
      </w:r>
    </w:p>
    <w:p w:rsidR="001D2717" w:rsidRPr="000C2D29" w:rsidRDefault="004160AB" w:rsidP="001D2717">
      <w:pPr>
        <w:pStyle w:val="Normal00"/>
        <w:rPr>
          <w:rFonts w:ascii="Arial" w:hAnsi="Arial"/>
          <w:b/>
          <w:color w:val="42145F"/>
          <w:sz w:val="18"/>
          <w:szCs w:val="20"/>
          <w:lang w:eastAsia="ja-JP"/>
        </w:rPr>
      </w:pPr>
      <w:r w:rsidRPr="000C2D29">
        <w:rPr>
          <w:rFonts w:ascii="Arial" w:hAnsi="Arial"/>
          <w:b/>
          <w:color w:val="42145F"/>
          <w:sz w:val="18"/>
          <w:szCs w:val="20"/>
          <w:lang w:eastAsia="ja-JP"/>
        </w:rPr>
        <w:lastRenderedPageBreak/>
        <w:t xml:space="preserve">Segment performance </w:t>
      </w:r>
    </w:p>
    <w:tbl>
      <w:tblPr>
        <w:tblStyle w:val="table"/>
        <w:tblW w:w="15240" w:type="dxa"/>
        <w:tblInd w:w="5" w:type="dxa"/>
        <w:tblCellMar>
          <w:left w:w="0" w:type="dxa"/>
          <w:right w:w="0" w:type="dxa"/>
        </w:tblCellMar>
        <w:tblLook w:val="05E0" w:firstRow="1" w:lastRow="1" w:firstColumn="1" w:lastColumn="1" w:noHBand="0" w:noVBand="1"/>
      </w:tblPr>
      <w:tblGrid>
        <w:gridCol w:w="6300"/>
        <w:gridCol w:w="1110"/>
        <w:gridCol w:w="1110"/>
        <w:gridCol w:w="1185"/>
        <w:gridCol w:w="1110"/>
        <w:gridCol w:w="1185"/>
        <w:gridCol w:w="1110"/>
        <w:gridCol w:w="1185"/>
        <w:gridCol w:w="1185"/>
      </w:tblGrid>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9180" w:type="dxa"/>
            <w:gridSpan w:val="8"/>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 30 September 2020</w:t>
            </w:r>
          </w:p>
        </w:tc>
      </w:tr>
      <w:tr w:rsidR="00130A6D">
        <w:trPr>
          <w:trHeight w:val="210"/>
        </w:trPr>
        <w:tc>
          <w:tcPr>
            <w:tcW w:w="6060" w:type="dxa"/>
            <w:gridSpan w:val="2"/>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Retail</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Ulster</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Commercial</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Private</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RBS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NatWest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Central items</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 NatWest</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Bank </w:t>
            </w:r>
            <w:proofErr w:type="spellStart"/>
            <w:r>
              <w:rPr>
                <w:rFonts w:eastAsia="Arial" w:cs="Arial"/>
                <w:b/>
                <w:bCs/>
                <w:color w:val="000000"/>
                <w:sz w:val="16"/>
                <w:szCs w:val="16"/>
              </w:rPr>
              <w:t>RoI</w:t>
            </w:r>
            <w:proofErr w:type="spellEnd"/>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International</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Markets</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Style w:val="font800"/>
              </w:rPr>
              <w:t>&amp; other</w:t>
            </w:r>
            <w:r>
              <w:rPr>
                <w:rStyle w:val="font7"/>
              </w:rPr>
              <w:t> (1)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Group</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r>
      <w:tr w:rsidR="00130A6D">
        <w:trPr>
          <w:trHeight w:val="210"/>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Income statement</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937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1,926</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531</w:t>
            </w:r>
          </w:p>
        </w:tc>
      </w:tr>
      <w:tr w:rsidR="00130A6D">
        <w:trPr>
          <w:trHeight w:val="210"/>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income</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1,022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1,004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2,423</w:t>
            </w:r>
          </w:p>
        </w:tc>
      </w:tr>
      <w:tr w:rsidR="00130A6D">
        <w:trPr>
          <w:trHeight w:val="210"/>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210"/>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(156)</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(827)</w:t>
            </w:r>
          </w:p>
        </w:tc>
      </w:tr>
      <w:tr w:rsidR="00130A6D">
        <w:trPr>
          <w:trHeight w:val="210"/>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(756)</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868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210"/>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(223)</w:t>
            </w:r>
          </w:p>
        </w:tc>
      </w:tr>
      <w:tr w:rsidR="00130A6D">
        <w:trPr>
          <w:trHeight w:val="210"/>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130A6D">
        <w:trPr>
          <w:trHeight w:val="210"/>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expenses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(1,814)</w:t>
            </w:r>
          </w:p>
        </w:tc>
      </w:tr>
      <w:tr w:rsidR="00130A6D">
        <w:trPr>
          <w:trHeight w:val="210"/>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Operating profit/(loss)before impairment (losses)/releases</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375</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451</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w:t>
            </w: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59</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w:t>
            </w: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(286)</w:t>
            </w: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609</w:t>
            </w:r>
          </w:p>
        </w:tc>
      </w:tr>
      <w:tr w:rsidR="00130A6D">
        <w:trPr>
          <w:trHeight w:val="210"/>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(127)</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1110"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185" w:type="dxa"/>
            <w:tcBorders>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(254)</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Operating profit/(loss) </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355</w:t>
            </w:r>
          </w:p>
        </w:tc>
      </w:tr>
      <w:tr w:rsidR="00130A6D">
        <w:trPr>
          <w:trHeight w:val="210"/>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Additional information</w:t>
            </w: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Return on equity</w:t>
            </w:r>
            <w:r>
              <w:rPr>
                <w:rStyle w:val="font7"/>
              </w:rPr>
              <w:t> (2)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0.8%</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proofErr w:type="spellStart"/>
            <w:r>
              <w:rPr>
                <w:rStyle w:val="font60"/>
              </w:rPr>
              <w:t>Cost:income</w:t>
            </w:r>
            <w:proofErr w:type="spellEnd"/>
            <w:r>
              <w:rPr>
                <w:rStyle w:val="font60"/>
              </w:rPr>
              <w:t xml:space="preserve"> ratio </w:t>
            </w:r>
            <w:r>
              <w:rPr>
                <w:rStyle w:val="font7"/>
              </w:rPr>
              <w:t>(2)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97.7%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59.9%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129.1%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74.5%</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189.5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186.9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283.2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791.6</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189.5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186.9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627.3</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166.7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12.8</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353.7</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 xml:space="preserve">Loan impairment rate </w:t>
            </w:r>
            <w:r>
              <w:rPr>
                <w:rStyle w:val="font7"/>
              </w:rPr>
              <w:t>(2)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17bps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17bps</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45bps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43bps</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105bps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28bps</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164.9</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161.3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30.4</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418.4</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173.9</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RWA equivalent (</w:t>
            </w:r>
            <w:proofErr w:type="spellStart"/>
            <w:r>
              <w:rPr>
                <w:rFonts w:eastAsia="Arial" w:cs="Arial"/>
                <w:color w:val="000000"/>
                <w:sz w:val="16"/>
                <w:szCs w:val="16"/>
              </w:rPr>
              <w:t>RWAe</w:t>
            </w:r>
            <w:proofErr w:type="spellEnd"/>
            <w:r>
              <w:rPr>
                <w:rFonts w:eastAsia="Arial" w:cs="Arial"/>
                <w:color w:val="000000"/>
                <w:sz w:val="16"/>
                <w:szCs w:val="16"/>
              </w:rPr>
              <w:t>)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76.6</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7.1</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176.1</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16.6</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61.6</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182.2</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27.3</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169.3</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24.0</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39.2</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507.3</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1.46%</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1.99%</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1.07%</w:t>
            </w:r>
          </w:p>
        </w:tc>
        <w:tc>
          <w:tcPr>
            <w:tcW w:w="111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(0.21%)</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1.51%</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 xml:space="preserve">Third party customer asset rate </w:t>
            </w:r>
            <w:r>
              <w:rPr>
                <w:rStyle w:val="font7"/>
              </w:rPr>
              <w:t>(3)</w:t>
            </w:r>
          </w:p>
        </w:tc>
        <w:tc>
          <w:tcPr>
            <w:tcW w:w="111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2.82%</w:t>
            </w:r>
          </w:p>
        </w:tc>
        <w:tc>
          <w:tcPr>
            <w:tcW w:w="111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2.32%</w:t>
            </w:r>
          </w:p>
        </w:tc>
        <w:tc>
          <w:tcPr>
            <w:tcW w:w="118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2.73%</w:t>
            </w:r>
          </w:p>
        </w:tc>
        <w:tc>
          <w:tcPr>
            <w:tcW w:w="111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2.43%</w:t>
            </w:r>
          </w:p>
        </w:tc>
        <w:tc>
          <w:tcPr>
            <w:tcW w:w="118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2.41%</w:t>
            </w:r>
          </w:p>
        </w:tc>
        <w:tc>
          <w:tcPr>
            <w:tcW w:w="1110"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r>
      <w:tr w:rsidR="00130A6D">
        <w:trPr>
          <w:trHeight w:val="210"/>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 xml:space="preserve">Third party customer funding rate </w:t>
            </w:r>
            <w:r>
              <w:rPr>
                <w:rStyle w:val="font7"/>
              </w:rPr>
              <w:t>(3)</w:t>
            </w:r>
          </w:p>
        </w:tc>
        <w:tc>
          <w:tcPr>
            <w:tcW w:w="1110"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(0.13%)</w:t>
            </w:r>
          </w:p>
        </w:tc>
        <w:tc>
          <w:tcPr>
            <w:tcW w:w="1110"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(0.11%)</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(0.03%)</w:t>
            </w:r>
          </w:p>
        </w:tc>
        <w:tc>
          <w:tcPr>
            <w:tcW w:w="1110"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(0.02%)</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0.03%</w:t>
            </w:r>
          </w:p>
        </w:tc>
        <w:tc>
          <w:tcPr>
            <w:tcW w:w="1110"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r>
    </w:tbl>
    <w:p w:rsidR="00DC202D" w:rsidRDefault="00DC202D">
      <w:pPr>
        <w:spacing w:after="200"/>
        <w:rPr>
          <w:szCs w:val="18"/>
          <w:lang w:eastAsia="ja-JP"/>
        </w:rPr>
      </w:pPr>
    </w:p>
    <w:p w:rsidR="008B121D" w:rsidRPr="00CF7CC2" w:rsidRDefault="004160AB" w:rsidP="00F9728C">
      <w:pPr>
        <w:spacing w:after="200"/>
        <w:rPr>
          <w:sz w:val="20"/>
          <w:szCs w:val="20"/>
          <w:lang w:eastAsia="ja-JP"/>
        </w:rPr>
      </w:pPr>
      <w:r w:rsidRPr="000C2D29">
        <w:rPr>
          <w:szCs w:val="20"/>
          <w:lang w:eastAsia="ja-JP"/>
        </w:rPr>
        <w:t>Refer to page 14 for the notes to this table. nm = not meaningful.</w:t>
      </w:r>
      <w:r w:rsidRPr="002F0036">
        <w:rPr>
          <w:color w:val="003366"/>
          <w:szCs w:val="18"/>
          <w:lang w:eastAsia="ja-JP"/>
        </w:rPr>
        <w:br w:type="page"/>
      </w:r>
      <w:r w:rsidRPr="000C2D29">
        <w:rPr>
          <w:b/>
          <w:color w:val="42145F"/>
          <w:szCs w:val="20"/>
          <w:lang w:eastAsia="ja-JP"/>
        </w:rPr>
        <w:lastRenderedPageBreak/>
        <w:t xml:space="preserve">Segment performance </w:t>
      </w:r>
    </w:p>
    <w:tbl>
      <w:tblPr>
        <w:tblStyle w:val="table"/>
        <w:tblW w:w="15240" w:type="dxa"/>
        <w:tblInd w:w="5" w:type="dxa"/>
        <w:tblCellMar>
          <w:left w:w="0" w:type="dxa"/>
          <w:right w:w="0" w:type="dxa"/>
        </w:tblCellMar>
        <w:tblLook w:val="05E0" w:firstRow="1" w:lastRow="1" w:firstColumn="1" w:lastColumn="1" w:noHBand="0" w:noVBand="1"/>
      </w:tblPr>
      <w:tblGrid>
        <w:gridCol w:w="6300"/>
        <w:gridCol w:w="1110"/>
        <w:gridCol w:w="1110"/>
        <w:gridCol w:w="1185"/>
        <w:gridCol w:w="1110"/>
        <w:gridCol w:w="1185"/>
        <w:gridCol w:w="1110"/>
        <w:gridCol w:w="1185"/>
        <w:gridCol w:w="1185"/>
      </w:tblGrid>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9180" w:type="dxa"/>
            <w:gridSpan w:val="8"/>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color w:val="5E10B1"/>
                <w:sz w:val="16"/>
                <w:szCs w:val="16"/>
              </w:rPr>
            </w:pPr>
            <w:r>
              <w:rPr>
                <w:rFonts w:eastAsia="Arial" w:cs="Arial"/>
                <w:color w:val="5E10B1"/>
                <w:sz w:val="16"/>
                <w:szCs w:val="16"/>
              </w:rPr>
              <w:t>Quarter ended 30 June 2020</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Retail</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Ulster</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Commercial</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Private</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RBS</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NatWest</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Central items</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Total NatWest</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 xml:space="preserve">Bank </w:t>
            </w:r>
            <w:proofErr w:type="spellStart"/>
            <w:r>
              <w:rPr>
                <w:rFonts w:eastAsia="Arial" w:cs="Arial"/>
                <w:color w:val="000000"/>
                <w:sz w:val="16"/>
                <w:szCs w:val="16"/>
              </w:rPr>
              <w:t>RoI</w:t>
            </w:r>
            <w:proofErr w:type="spellEnd"/>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Banking</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International</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Markets</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Style w:val="font60"/>
              </w:rPr>
              <w:t> &amp; other</w:t>
            </w:r>
            <w:r>
              <w:rPr>
                <w:rStyle w:val="font7"/>
              </w:rPr>
              <w:t> (1)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Group</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Income statement</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975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696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1,910</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868</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(102)</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(102)</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income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1,035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995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2,676</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(877)</w:t>
            </w: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(581)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(784)</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(399)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926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(333)</w:t>
            </w:r>
          </w:p>
        </w:tc>
      </w:tr>
      <w:tr w:rsidR="00130A6D">
        <w:trPr>
          <w:trHeight w:val="195"/>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101</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85</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expenses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(546)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(611)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(1,909)</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Operating profit/(loss) before impairment (losses)/releases</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489</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384</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(92)</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(124)</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767</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(360)</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(216)</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(1,355)</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(45)</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(2,056)</w:t>
            </w:r>
          </w:p>
        </w:tc>
      </w:tr>
      <w:tr w:rsidR="00130A6D">
        <w:trPr>
          <w:trHeight w:val="195"/>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Operating profit/(loss) </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(971)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(1,289)</w:t>
            </w:r>
          </w:p>
        </w:tc>
      </w:tr>
      <w:tr w:rsidR="00130A6D">
        <w:trPr>
          <w:trHeight w:val="195"/>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Additional information</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Style w:val="font60"/>
              </w:rPr>
              <w:t>Return on equity</w:t>
            </w:r>
            <w:r>
              <w:rPr>
                <w:rStyle w:val="font7"/>
              </w:rPr>
              <w:t> (2)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(12.4%)</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proofErr w:type="spellStart"/>
            <w:r>
              <w:rPr>
                <w:rStyle w:val="font60"/>
              </w:rPr>
              <w:t>Cost:income</w:t>
            </w:r>
            <w:proofErr w:type="spellEnd"/>
            <w:r>
              <w:rPr>
                <w:rStyle w:val="font60"/>
              </w:rPr>
              <w:t xml:space="preserve"> ratio</w:t>
            </w:r>
            <w:r>
              <w:rPr>
                <w:rStyle w:val="font7"/>
              </w:rPr>
              <w:t> (2)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52.8%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101.7%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59.9%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56.5%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133.7%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70.9%</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187.1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186.0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303.8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47.0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806.9</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187.1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186.0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122.9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623.5</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164.5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112.0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352.3</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Style w:val="font60"/>
              </w:rPr>
              <w:t>Loan impairment rate</w:t>
            </w:r>
            <w:r>
              <w:rPr>
                <w:rStyle w:val="font7"/>
              </w:rPr>
              <w:t> (2)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87bps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441bps</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472bps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67bps</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97bps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229bps</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(6.1)</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161.0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159.6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408.3</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78.3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181.5</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RWA equivalent (</w:t>
            </w:r>
            <w:proofErr w:type="spellStart"/>
            <w:r>
              <w:rPr>
                <w:rFonts w:eastAsia="Arial" w:cs="Arial"/>
                <w:color w:val="000000"/>
                <w:sz w:val="16"/>
                <w:szCs w:val="16"/>
              </w:rPr>
              <w:t>RWAe</w:t>
            </w:r>
            <w:proofErr w:type="spellEnd"/>
            <w:r>
              <w:rPr>
                <w:rFonts w:eastAsia="Arial" w:cs="Arial"/>
                <w:color w:val="000000"/>
                <w:sz w:val="16"/>
                <w:szCs w:val="16"/>
              </w:rPr>
              <w:t>)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78.4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183.9</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62.7</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179.8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164.6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39.9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497.4</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0.06%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1.54%</w:t>
            </w:r>
          </w:p>
        </w:tc>
      </w:tr>
      <w:tr w:rsidR="00130A6D">
        <w:trPr>
          <w:trHeight w:val="195"/>
        </w:trPr>
        <w:tc>
          <w:tcPr>
            <w:tcW w:w="606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Style w:val="font60"/>
              </w:rPr>
              <w:t xml:space="preserve">Third party customer asset rate </w:t>
            </w:r>
            <w:r>
              <w:rPr>
                <w:rStyle w:val="font7"/>
              </w:rPr>
              <w:t>(3)</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2.88%</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2.27%</w:t>
            </w:r>
          </w:p>
        </w:tc>
        <w:tc>
          <w:tcPr>
            <w:tcW w:w="118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2.88%</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2.53%</w:t>
            </w:r>
          </w:p>
        </w:tc>
        <w:tc>
          <w:tcPr>
            <w:tcW w:w="118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2.58%</w:t>
            </w:r>
          </w:p>
        </w:tc>
        <w:tc>
          <w:tcPr>
            <w:tcW w:w="1110"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r>
      <w:tr w:rsidR="00130A6D">
        <w:trPr>
          <w:trHeight w:val="195"/>
        </w:trPr>
        <w:tc>
          <w:tcPr>
            <w:tcW w:w="606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rPr>
                <w:rFonts w:eastAsia="Arial" w:cs="Arial"/>
                <w:color w:val="000000"/>
                <w:sz w:val="16"/>
                <w:szCs w:val="16"/>
              </w:rPr>
            </w:pPr>
            <w:r>
              <w:rPr>
                <w:rStyle w:val="font60"/>
              </w:rPr>
              <w:t xml:space="preserve">Third party customer funding rate </w:t>
            </w:r>
            <w:r>
              <w:rPr>
                <w:rStyle w:val="font7"/>
              </w:rPr>
              <w:t>(3)</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(0.20%)</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(0.12%)</w:t>
            </w:r>
          </w:p>
        </w:tc>
        <w:tc>
          <w:tcPr>
            <w:tcW w:w="118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(0.25%)</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(0.14%)</w:t>
            </w:r>
          </w:p>
        </w:tc>
        <w:tc>
          <w:tcPr>
            <w:tcW w:w="118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(0.01%)</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tcBorders>
              <w:bottom w:val="single" w:sz="6" w:space="0" w:color="000000"/>
            </w:tcBorders>
            <w:shd w:val="clear" w:color="auto" w:fill="FFFFFF"/>
            <w:noWrap/>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r>
    </w:tbl>
    <w:p w:rsidR="008B121D" w:rsidRPr="000C2D29" w:rsidRDefault="008B121D">
      <w:pPr>
        <w:spacing w:after="200"/>
        <w:rPr>
          <w:color w:val="003366"/>
          <w:sz w:val="16"/>
          <w:szCs w:val="18"/>
          <w:lang w:eastAsia="ja-JP"/>
        </w:rPr>
      </w:pPr>
    </w:p>
    <w:p w:rsidR="008B121D" w:rsidRPr="000C2D29" w:rsidRDefault="004160AB" w:rsidP="008B121D">
      <w:pPr>
        <w:spacing w:after="200"/>
        <w:rPr>
          <w:szCs w:val="20"/>
          <w:lang w:eastAsia="ja-JP"/>
        </w:rPr>
      </w:pPr>
      <w:r w:rsidRPr="000C2D29">
        <w:rPr>
          <w:szCs w:val="20"/>
          <w:lang w:eastAsia="ja-JP"/>
        </w:rPr>
        <w:t>Refer to page 14 for the notes to this table. nm = not meaningful.</w:t>
      </w:r>
    </w:p>
    <w:p w:rsidR="008B121D" w:rsidRPr="000C2D29" w:rsidRDefault="004160AB">
      <w:pPr>
        <w:spacing w:after="200"/>
        <w:rPr>
          <w:color w:val="003366"/>
          <w:sz w:val="16"/>
          <w:szCs w:val="18"/>
          <w:lang w:eastAsia="ja-JP"/>
        </w:rPr>
      </w:pPr>
      <w:r w:rsidRPr="000C2D29">
        <w:rPr>
          <w:color w:val="003366"/>
          <w:sz w:val="16"/>
          <w:szCs w:val="18"/>
          <w:lang w:eastAsia="ja-JP"/>
        </w:rPr>
        <w:br w:type="page"/>
      </w:r>
    </w:p>
    <w:p w:rsidR="00133D7F" w:rsidRPr="000C2D29" w:rsidRDefault="004160AB" w:rsidP="00133D7F">
      <w:pPr>
        <w:pStyle w:val="Normal00"/>
        <w:rPr>
          <w:rFonts w:ascii="Arial" w:hAnsi="Arial"/>
          <w:b/>
          <w:color w:val="42145F"/>
          <w:sz w:val="18"/>
          <w:szCs w:val="20"/>
          <w:lang w:eastAsia="ja-JP"/>
        </w:rPr>
      </w:pPr>
      <w:r w:rsidRPr="000C2D29">
        <w:rPr>
          <w:rFonts w:ascii="Arial" w:hAnsi="Arial"/>
          <w:b/>
          <w:color w:val="42145F"/>
          <w:sz w:val="18"/>
          <w:szCs w:val="20"/>
          <w:lang w:eastAsia="ja-JP"/>
        </w:rPr>
        <w:lastRenderedPageBreak/>
        <w:t xml:space="preserve">Segment performance </w:t>
      </w:r>
    </w:p>
    <w:tbl>
      <w:tblPr>
        <w:tblStyle w:val="table"/>
        <w:tblW w:w="15240" w:type="dxa"/>
        <w:tblInd w:w="5" w:type="dxa"/>
        <w:tblCellMar>
          <w:left w:w="0" w:type="dxa"/>
          <w:right w:w="0" w:type="dxa"/>
        </w:tblCellMar>
        <w:tblLook w:val="05E0" w:firstRow="1" w:lastRow="1" w:firstColumn="1" w:lastColumn="1" w:noHBand="0" w:noVBand="1"/>
      </w:tblPr>
      <w:tblGrid>
        <w:gridCol w:w="6300"/>
        <w:gridCol w:w="1110"/>
        <w:gridCol w:w="1110"/>
        <w:gridCol w:w="1185"/>
        <w:gridCol w:w="1110"/>
        <w:gridCol w:w="1185"/>
        <w:gridCol w:w="1110"/>
        <w:gridCol w:w="1185"/>
        <w:gridCol w:w="1185"/>
      </w:tblGrid>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9180" w:type="dxa"/>
            <w:gridSpan w:val="8"/>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color w:val="5E10B1"/>
                <w:sz w:val="16"/>
                <w:szCs w:val="16"/>
              </w:rPr>
            </w:pPr>
            <w:r>
              <w:rPr>
                <w:rFonts w:eastAsia="Arial" w:cs="Arial"/>
                <w:color w:val="5E10B1"/>
                <w:sz w:val="16"/>
                <w:szCs w:val="16"/>
              </w:rPr>
              <w:t>Quarter ended 30 September 2019</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Retail</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Ulster</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Commercial</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Private</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RBS</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NatWest</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Central items</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Total NatWest</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 xml:space="preserve">Bank </w:t>
            </w:r>
            <w:proofErr w:type="spellStart"/>
            <w:r>
              <w:rPr>
                <w:rFonts w:eastAsia="Arial" w:cs="Arial"/>
                <w:color w:val="000000"/>
                <w:sz w:val="16"/>
                <w:szCs w:val="16"/>
              </w:rPr>
              <w:t>RoI</w:t>
            </w:r>
            <w:proofErr w:type="spellEnd"/>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Banking</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Banking</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International</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Markets</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Style w:val="font60"/>
              </w:rPr>
              <w:t xml:space="preserve">&amp; other </w:t>
            </w:r>
            <w:r>
              <w:rPr>
                <w:rStyle w:val="font7"/>
              </w:rPr>
              <w:t>(1)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Group</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r>
      <w:tr w:rsidR="00130A6D">
        <w:trPr>
          <w:trHeight w:val="210"/>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Income statement</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1,034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703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2,006</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909</w:t>
            </w:r>
          </w:p>
        </w:tc>
      </w:tr>
      <w:tr w:rsidR="00130A6D">
        <w:trPr>
          <w:trHeight w:val="210"/>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income</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1,224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1,077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2,903</w:t>
            </w:r>
          </w:p>
        </w:tc>
      </w:tr>
      <w:tr w:rsidR="00130A6D">
        <w:trPr>
          <w:trHeight w:val="210"/>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210"/>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(891)</w:t>
            </w:r>
          </w:p>
        </w:tc>
      </w:tr>
      <w:tr w:rsidR="00130A6D">
        <w:trPr>
          <w:trHeight w:val="210"/>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(594)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(842)</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889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210"/>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(215)</w:t>
            </w:r>
          </w:p>
        </w:tc>
      </w:tr>
      <w:tr w:rsidR="00130A6D">
        <w:trPr>
          <w:trHeight w:val="210"/>
        </w:trPr>
        <w:tc>
          <w:tcPr>
            <w:tcW w:w="6300" w:type="dxa"/>
            <w:shd w:val="clear" w:color="auto" w:fill="FFFFFF"/>
            <w:noWrap/>
            <w:tcMar>
              <w:top w:w="0" w:type="dxa"/>
              <w:left w:w="24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210"/>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(912)</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171</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(750)</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expenses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(1,601)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(638)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(348)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(2,698)</w:t>
            </w:r>
          </w:p>
        </w:tc>
      </w:tr>
      <w:tr w:rsidR="00130A6D">
        <w:trPr>
          <w:trHeight w:val="210"/>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Operating profit/(loss) before impairment (losses)/releases</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(377)</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439</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79</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88</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(198)</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205</w:t>
            </w:r>
          </w:p>
        </w:tc>
      </w:tr>
      <w:tr w:rsidR="00130A6D">
        <w:trPr>
          <w:trHeight w:val="210"/>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(131)</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(108)</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(213)</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profit/(loss)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(508)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r>
      <w:tr w:rsidR="00130A6D">
        <w:trPr>
          <w:trHeight w:val="210"/>
        </w:trPr>
        <w:tc>
          <w:tcPr>
            <w:tcW w:w="60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Additional information</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Return on equity</w:t>
            </w:r>
            <w:r>
              <w:rPr>
                <w:rStyle w:val="font7"/>
              </w:rPr>
              <w:t> (2)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proofErr w:type="spellStart"/>
            <w:r>
              <w:rPr>
                <w:rStyle w:val="font60"/>
              </w:rPr>
              <w:t>Cost:income</w:t>
            </w:r>
            <w:proofErr w:type="spellEnd"/>
            <w:r>
              <w:rPr>
                <w:rStyle w:val="font60"/>
              </w:rPr>
              <w:t xml:space="preserve"> ratio</w:t>
            </w:r>
            <w:r>
              <w:rPr>
                <w:rStyle w:val="font7"/>
              </w:rPr>
              <w:t> (2)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130.8%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90.3%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57.9%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60.1%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41.3%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232.0%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92.9%</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166.6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318.3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776.5</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166.6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142.7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34.9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600.7</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154.6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101.5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319.5</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Loan impairment rate</w:t>
            </w:r>
            <w:r>
              <w:rPr>
                <w:rStyle w:val="font7"/>
              </w:rPr>
              <w:t> (2)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34bps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roofErr w:type="gramStart"/>
            <w:r>
              <w:rPr>
                <w:rFonts w:eastAsia="Arial" w:cs="Arial"/>
                <w:color w:val="000000"/>
                <w:sz w:val="16"/>
                <w:szCs w:val="16"/>
              </w:rPr>
              <w:t>34)bps</w:t>
            </w:r>
            <w:proofErr w:type="gramEnd"/>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42bps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roofErr w:type="gramStart"/>
            <w:r>
              <w:rPr>
                <w:rFonts w:eastAsia="Arial" w:cs="Arial"/>
                <w:color w:val="000000"/>
                <w:sz w:val="16"/>
                <w:szCs w:val="16"/>
              </w:rPr>
              <w:t>5)bps</w:t>
            </w:r>
            <w:proofErr w:type="gramEnd"/>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26bps</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147.9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135.7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369.7</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13.3</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77.0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43.8</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189.5</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RWA equivalent (</w:t>
            </w:r>
            <w:proofErr w:type="spellStart"/>
            <w:r>
              <w:rPr>
                <w:rFonts w:eastAsia="Arial" w:cs="Arial"/>
                <w:color w:val="000000"/>
                <w:sz w:val="16"/>
                <w:szCs w:val="16"/>
              </w:rPr>
              <w:t>RWAes</w:t>
            </w:r>
            <w:proofErr w:type="spellEnd"/>
            <w:r>
              <w:rPr>
                <w:rFonts w:eastAsia="Arial" w:cs="Arial"/>
                <w:color w:val="000000"/>
                <w:sz w:val="16"/>
                <w:szCs w:val="16"/>
              </w:rPr>
              <w:t>)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78.1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48.9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197.3</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9.9</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5.1</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65.7</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168.1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146.7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22.0</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454.4</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2.35%</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(0.64%)</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1.75%</w:t>
            </w:r>
          </w:p>
        </w:tc>
      </w:tr>
      <w:tr w:rsidR="00130A6D">
        <w:trPr>
          <w:trHeight w:val="210"/>
        </w:trPr>
        <w:tc>
          <w:tcPr>
            <w:tcW w:w="60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 xml:space="preserve">Third party customer asset rate </w:t>
            </w:r>
            <w:r>
              <w:rPr>
                <w:rStyle w:val="font7"/>
              </w:rPr>
              <w:t>(3)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2.26%</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2.92%</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r>
      <w:tr w:rsidR="00130A6D">
        <w:trPr>
          <w:trHeight w:val="210"/>
        </w:trPr>
        <w:tc>
          <w:tcPr>
            <w:tcW w:w="60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 xml:space="preserve">Third party customer funding rate </w:t>
            </w:r>
            <w:r>
              <w:rPr>
                <w:rStyle w:val="font7"/>
              </w:rPr>
              <w:t>(3)</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(0.37%)</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(0.14%)</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(0.36%)</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(0.44%)</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(0.14%)</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r>
    </w:tbl>
    <w:p w:rsidR="00963786" w:rsidRDefault="00963786" w:rsidP="00963786">
      <w:pPr>
        <w:rPr>
          <w:rFonts w:cs="Arial"/>
          <w:sz w:val="14"/>
          <w:szCs w:val="14"/>
          <w:lang w:eastAsia="ja-JP"/>
        </w:rPr>
      </w:pPr>
    </w:p>
    <w:p w:rsidR="00963786" w:rsidRPr="008B121D" w:rsidRDefault="004160AB" w:rsidP="00963786">
      <w:r w:rsidRPr="00676C88">
        <w:rPr>
          <w:rFonts w:cs="Arial"/>
          <w:sz w:val="14"/>
          <w:szCs w:val="14"/>
          <w:lang w:eastAsia="ja-JP"/>
        </w:rPr>
        <w:t>Notes:</w:t>
      </w:r>
    </w:p>
    <w:p w:rsidR="00963786" w:rsidRPr="00B427E4" w:rsidRDefault="004160AB" w:rsidP="00963786">
      <w:pPr>
        <w:pStyle w:val="Normal00"/>
        <w:numPr>
          <w:ilvl w:val="0"/>
          <w:numId w:val="9"/>
        </w:numPr>
        <w:spacing w:line="276" w:lineRule="auto"/>
        <w:rPr>
          <w:rFonts w:ascii="Arial" w:hAnsi="Arial" w:cs="Arial"/>
          <w:sz w:val="4"/>
          <w:szCs w:val="4"/>
        </w:rPr>
      </w:pPr>
      <w:r>
        <w:rPr>
          <w:rFonts w:ascii="Arial" w:hAnsi="Arial" w:cs="Arial"/>
          <w:sz w:val="14"/>
          <w:szCs w:val="14"/>
          <w:lang w:eastAsia="ja-JP"/>
        </w:rPr>
        <w:t xml:space="preserve">Central items &amp; other includes unallocated transactions, including volatile items under IFRS, items related to </w:t>
      </w:r>
      <w:proofErr w:type="spellStart"/>
      <w:r>
        <w:rPr>
          <w:rFonts w:ascii="Arial" w:hAnsi="Arial" w:cs="Arial"/>
          <w:sz w:val="14"/>
          <w:szCs w:val="14"/>
          <w:lang w:eastAsia="ja-JP"/>
        </w:rPr>
        <w:t>Alawwal</w:t>
      </w:r>
      <w:proofErr w:type="spellEnd"/>
      <w:r>
        <w:rPr>
          <w:rFonts w:ascii="Arial" w:hAnsi="Arial" w:cs="Arial"/>
          <w:sz w:val="14"/>
          <w:szCs w:val="14"/>
          <w:lang w:eastAsia="ja-JP"/>
        </w:rPr>
        <w:t xml:space="preserve"> bank merger and RMBS related charges.</w:t>
      </w:r>
    </w:p>
    <w:p w:rsidR="00963786" w:rsidRPr="00963786" w:rsidRDefault="004160AB" w:rsidP="00963786">
      <w:pPr>
        <w:pStyle w:val="Normal00"/>
        <w:numPr>
          <w:ilvl w:val="0"/>
          <w:numId w:val="9"/>
        </w:numPr>
        <w:spacing w:line="276" w:lineRule="auto"/>
        <w:rPr>
          <w:rFonts w:ascii="Arial" w:hAnsi="Arial" w:cs="Arial"/>
        </w:rPr>
      </w:pPr>
      <w:r w:rsidRPr="004B6DC5">
        <w:rPr>
          <w:rFonts w:ascii="Arial" w:hAnsi="Arial" w:cs="Arial"/>
          <w:sz w:val="14"/>
          <w:szCs w:val="14"/>
          <w:lang w:eastAsia="ja-JP"/>
        </w:rPr>
        <w:t xml:space="preserve">Refer to the Appendix for details of basis of preparation and reconciliation of non-IFRS performance measures where relevant. </w:t>
      </w:r>
    </w:p>
    <w:p w:rsidR="00176986" w:rsidRPr="00A16569" w:rsidRDefault="004160AB" w:rsidP="00A16569">
      <w:pPr>
        <w:pStyle w:val="ListParagraph0"/>
        <w:numPr>
          <w:ilvl w:val="0"/>
          <w:numId w:val="9"/>
        </w:numPr>
        <w:rPr>
          <w:rFonts w:eastAsia="Times New Roman" w:cs="Arial"/>
          <w:sz w:val="14"/>
          <w:szCs w:val="14"/>
          <w:lang w:eastAsia="ja-JP"/>
        </w:rPr>
        <w:sectPr w:rsidR="00176986" w:rsidRPr="00A16569" w:rsidSect="005C79F4">
          <w:headerReference w:type="even" r:id="rId34"/>
          <w:headerReference w:type="default" r:id="rId35"/>
          <w:footerReference w:type="even" r:id="rId36"/>
          <w:footerReference w:type="default" r:id="rId37"/>
          <w:headerReference w:type="first" r:id="rId38"/>
          <w:footerReference w:type="first" r:id="rId39"/>
          <w:type w:val="continuous"/>
          <w:pgSz w:w="16838" w:h="11906" w:orient="landscape"/>
          <w:pgMar w:top="1134" w:right="851" w:bottom="680" w:left="851" w:header="708" w:footer="708" w:gutter="0"/>
          <w:cols w:space="708"/>
          <w:docGrid w:linePitch="360"/>
        </w:sectPr>
      </w:pPr>
      <w:r w:rsidRPr="00A16569">
        <w:rPr>
          <w:rFonts w:eastAsia="Times New Roman" w:cs="Arial"/>
          <w:sz w:val="14"/>
          <w:szCs w:val="14"/>
          <w:lang w:eastAsia="ja-JP"/>
        </w:rPr>
        <w:t>Third party customer asset rate is calculated as annualised interest receivable on third-party loans to customers as a percentage of third-party loans to customers only. Third party customer funding rate reflects interest payable on third-party customer deposits. This excludes intragroup items, loans to banks and liquid asset portfolios. Intragroup items, bank deposits and debt securities in issue are excluded for customer funding rate calculation. Net interest margin is calculated as net interest income as a percentage of the average interest-earning assets without these exclusions.</w:t>
      </w:r>
    </w:p>
    <w:p w:rsidR="00666F8E" w:rsidRPr="000D481F" w:rsidRDefault="004160AB" w:rsidP="006D648E">
      <w:pPr>
        <w:pStyle w:val="Heading2"/>
        <w:rPr>
          <w:rFonts w:eastAsia="Times New Roman" w:cs="Arial"/>
          <w:b/>
          <w:bCs w:val="0"/>
          <w:color w:val="42145F"/>
          <w:szCs w:val="20"/>
          <w:lang w:eastAsia="ja-JP"/>
        </w:rPr>
      </w:pPr>
      <w:r w:rsidRPr="000D481F">
        <w:rPr>
          <w:rFonts w:eastAsia="Times New Roman" w:cs="Arial"/>
          <w:b/>
          <w:bCs w:val="0"/>
          <w:color w:val="42145F"/>
          <w:szCs w:val="20"/>
          <w:lang w:eastAsia="ja-JP"/>
        </w:rPr>
        <w:lastRenderedPageBreak/>
        <w:t>Capital and risk management</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shd w:val="clear" w:color="auto" w:fill="F4F0E8"/>
        <w:tblLook w:val="04A0" w:firstRow="1" w:lastRow="0" w:firstColumn="1" w:lastColumn="0" w:noHBand="0" w:noVBand="1"/>
      </w:tblPr>
      <w:tblGrid>
        <w:gridCol w:w="8931"/>
        <w:gridCol w:w="1134"/>
      </w:tblGrid>
      <w:tr w:rsidR="00130A6D" w:rsidTr="00666F8E">
        <w:trPr>
          <w:trHeight w:hRule="exact" w:val="170"/>
        </w:trPr>
        <w:tc>
          <w:tcPr>
            <w:tcW w:w="8931" w:type="dxa"/>
            <w:shd w:val="clear" w:color="auto" w:fill="F4F0E8"/>
          </w:tcPr>
          <w:p w:rsidR="00666F8E" w:rsidRPr="00FB6978" w:rsidRDefault="00666F8E" w:rsidP="00666F8E">
            <w:pPr>
              <w:pStyle w:val="Normal00"/>
              <w:spacing w:line="288" w:lineRule="auto"/>
              <w:rPr>
                <w:rFonts w:ascii="Arial" w:hAnsi="Arial" w:cs="Arial"/>
                <w:color w:val="5E10B1"/>
                <w:sz w:val="18"/>
                <w:szCs w:val="14"/>
                <w:lang w:eastAsia="en-US"/>
              </w:rPr>
            </w:pPr>
          </w:p>
        </w:tc>
        <w:tc>
          <w:tcPr>
            <w:tcW w:w="1134" w:type="dxa"/>
            <w:shd w:val="clear" w:color="auto" w:fill="F4F0E8"/>
          </w:tcPr>
          <w:p w:rsidR="00666F8E" w:rsidRPr="00F06F94" w:rsidRDefault="004160AB" w:rsidP="00666F8E">
            <w:pPr>
              <w:pStyle w:val="Normal00"/>
              <w:spacing w:line="288" w:lineRule="auto"/>
              <w:jc w:val="right"/>
              <w:rPr>
                <w:rFonts w:ascii="Arial" w:hAnsi="Arial" w:cs="Arial"/>
                <w:color w:val="5E10B1"/>
                <w:sz w:val="14"/>
                <w:szCs w:val="14"/>
                <w:lang w:eastAsia="en-US"/>
              </w:rPr>
            </w:pPr>
            <w:r w:rsidRPr="00F06F94">
              <w:rPr>
                <w:rFonts w:ascii="Arial" w:hAnsi="Arial" w:cs="Arial"/>
                <w:color w:val="5E10B1"/>
                <w:sz w:val="14"/>
                <w:szCs w:val="14"/>
                <w:lang w:eastAsia="en-US"/>
              </w:rPr>
              <w:t>Page</w:t>
            </w:r>
          </w:p>
        </w:tc>
      </w:tr>
      <w:tr w:rsidR="00130A6D" w:rsidTr="00666F8E">
        <w:trPr>
          <w:trHeight w:hRule="exact" w:val="198"/>
        </w:trPr>
        <w:tc>
          <w:tcPr>
            <w:tcW w:w="8931" w:type="dxa"/>
            <w:shd w:val="clear" w:color="auto" w:fill="F4F0E8"/>
          </w:tcPr>
          <w:p w:rsidR="00666F8E" w:rsidRPr="005D5BD0" w:rsidRDefault="004160AB" w:rsidP="00666F8E">
            <w:pPr>
              <w:pStyle w:val="Normal00"/>
              <w:spacing w:line="288" w:lineRule="auto"/>
              <w:rPr>
                <w:rFonts w:ascii="Arial" w:hAnsi="Arial" w:cs="Arial"/>
                <w:b/>
                <w:bCs/>
                <w:color w:val="5E10B1"/>
                <w:sz w:val="18"/>
                <w:szCs w:val="14"/>
                <w:lang w:eastAsia="en-US"/>
              </w:rPr>
            </w:pPr>
            <w:r w:rsidRPr="005D5BD0">
              <w:rPr>
                <w:rFonts w:ascii="Arial" w:hAnsi="Arial" w:cs="Arial"/>
                <w:b/>
                <w:bCs/>
                <w:color w:val="5E10B1"/>
                <w:sz w:val="18"/>
                <w:szCs w:val="14"/>
                <w:lang w:eastAsia="en-US"/>
              </w:rPr>
              <w:t>Capital, liquidity and funding risk</w:t>
            </w:r>
          </w:p>
        </w:tc>
        <w:tc>
          <w:tcPr>
            <w:tcW w:w="1134" w:type="dxa"/>
            <w:shd w:val="clear" w:color="auto" w:fill="F4F0E8"/>
          </w:tcPr>
          <w:p w:rsidR="00666F8E" w:rsidRPr="00011FA6" w:rsidRDefault="004160AB" w:rsidP="00666F8E">
            <w:pPr>
              <w:pStyle w:val="Normal00"/>
              <w:spacing w:line="288" w:lineRule="auto"/>
              <w:jc w:val="right"/>
              <w:rPr>
                <w:rFonts w:ascii="Arial" w:hAnsi="Arial" w:cs="Arial"/>
                <w:sz w:val="18"/>
                <w:szCs w:val="14"/>
                <w:lang w:eastAsia="en-US"/>
              </w:rPr>
            </w:pPr>
            <w:r>
              <w:rPr>
                <w:rFonts w:ascii="Arial" w:hAnsi="Arial" w:cs="Arial"/>
                <w:sz w:val="18"/>
                <w:szCs w:val="14"/>
                <w:lang w:eastAsia="en-US"/>
              </w:rPr>
              <w:fldChar w:fldCharType="begin"/>
            </w:r>
            <w:r>
              <w:rPr>
                <w:rFonts w:ascii="Arial" w:hAnsi="Arial" w:cs="Arial"/>
                <w:sz w:val="18"/>
                <w:szCs w:val="14"/>
                <w:lang w:eastAsia="en-US"/>
              </w:rPr>
              <w:instrText xml:space="preserve"> pageref NWG_CLF </w:instrText>
            </w:r>
            <w:r>
              <w:rPr>
                <w:rFonts w:ascii="Arial" w:hAnsi="Arial" w:cs="Arial"/>
                <w:sz w:val="18"/>
                <w:szCs w:val="14"/>
                <w:lang w:eastAsia="en-US"/>
              </w:rPr>
              <w:fldChar w:fldCharType="separate"/>
            </w:r>
            <w:r>
              <w:rPr>
                <w:rFonts w:ascii="Arial" w:hAnsi="Arial" w:cs="Arial"/>
                <w:sz w:val="18"/>
                <w:szCs w:val="14"/>
                <w:lang w:eastAsia="en-US"/>
              </w:rPr>
              <w:t>15</w:t>
            </w:r>
            <w:r>
              <w:rPr>
                <w:rFonts w:ascii="Arial" w:hAnsi="Arial" w:cs="Arial"/>
                <w:sz w:val="18"/>
                <w:szCs w:val="14"/>
                <w:lang w:eastAsia="en-US"/>
              </w:rPr>
              <w:fldChar w:fldCharType="end"/>
            </w:r>
          </w:p>
        </w:tc>
      </w:tr>
      <w:tr w:rsidR="00130A6D" w:rsidTr="00666F8E">
        <w:trPr>
          <w:trHeight w:hRule="exact" w:val="198"/>
        </w:trPr>
        <w:tc>
          <w:tcPr>
            <w:tcW w:w="8931" w:type="dxa"/>
            <w:shd w:val="clear" w:color="auto" w:fill="F4F0E8"/>
          </w:tcPr>
          <w:p w:rsidR="00666F8E" w:rsidRPr="005D5BD0" w:rsidRDefault="004160AB" w:rsidP="00E26697">
            <w:pPr>
              <w:pStyle w:val="Normal00"/>
              <w:spacing w:line="288" w:lineRule="auto"/>
              <w:rPr>
                <w:rFonts w:ascii="Arial" w:hAnsi="Arial" w:cs="Arial"/>
                <w:b/>
                <w:bCs/>
                <w:color w:val="5E10B1"/>
                <w:sz w:val="18"/>
                <w:szCs w:val="14"/>
                <w:lang w:eastAsia="en-US"/>
              </w:rPr>
            </w:pPr>
            <w:r w:rsidRPr="005D5BD0">
              <w:rPr>
                <w:rFonts w:ascii="Arial" w:hAnsi="Arial" w:cs="Arial"/>
                <w:b/>
                <w:bCs/>
                <w:color w:val="5E10B1"/>
                <w:sz w:val="18"/>
                <w:szCs w:val="14"/>
                <w:lang w:eastAsia="en-US"/>
              </w:rPr>
              <w:t>Credit risk</w:t>
            </w:r>
          </w:p>
        </w:tc>
        <w:tc>
          <w:tcPr>
            <w:tcW w:w="1134" w:type="dxa"/>
            <w:shd w:val="clear" w:color="auto" w:fill="F4F0E8"/>
          </w:tcPr>
          <w:p w:rsidR="00666F8E" w:rsidRPr="00011FA6" w:rsidRDefault="00666F8E" w:rsidP="00666F8E">
            <w:pPr>
              <w:pStyle w:val="Normal00"/>
              <w:spacing w:line="288" w:lineRule="auto"/>
              <w:jc w:val="right"/>
              <w:rPr>
                <w:rFonts w:ascii="Arial" w:hAnsi="Arial" w:cs="Arial"/>
                <w:sz w:val="18"/>
                <w:szCs w:val="14"/>
                <w:lang w:eastAsia="en-US"/>
              </w:rPr>
            </w:pPr>
          </w:p>
        </w:tc>
      </w:tr>
      <w:tr w:rsidR="00130A6D" w:rsidTr="00666F8E">
        <w:trPr>
          <w:trHeight w:hRule="exact" w:val="198"/>
        </w:trPr>
        <w:tc>
          <w:tcPr>
            <w:tcW w:w="8931" w:type="dxa"/>
            <w:shd w:val="clear" w:color="auto" w:fill="F4F0E8"/>
          </w:tcPr>
          <w:p w:rsidR="00666F8E" w:rsidRPr="00FB6978" w:rsidRDefault="004160AB" w:rsidP="00666F8E">
            <w:pPr>
              <w:pStyle w:val="Normal00"/>
              <w:spacing w:line="288" w:lineRule="auto"/>
              <w:rPr>
                <w:rFonts w:ascii="Arial" w:hAnsi="Arial" w:cs="Arial"/>
                <w:sz w:val="18"/>
                <w:szCs w:val="14"/>
                <w:lang w:eastAsia="en-US"/>
              </w:rPr>
            </w:pPr>
            <w:r w:rsidRPr="00FB6978">
              <w:rPr>
                <w:rFonts w:ascii="Arial" w:hAnsi="Arial" w:cs="Arial"/>
                <w:sz w:val="18"/>
                <w:szCs w:val="14"/>
                <w:lang w:eastAsia="en-US"/>
              </w:rPr>
              <w:t xml:space="preserve">     Segmental exposure</w:t>
            </w:r>
          </w:p>
        </w:tc>
        <w:tc>
          <w:tcPr>
            <w:tcW w:w="1134" w:type="dxa"/>
            <w:shd w:val="clear" w:color="auto" w:fill="F4F0E8"/>
          </w:tcPr>
          <w:p w:rsidR="00666F8E" w:rsidRPr="00011FA6" w:rsidRDefault="004160AB" w:rsidP="00666F8E">
            <w:pPr>
              <w:pStyle w:val="Normal00"/>
              <w:spacing w:line="288" w:lineRule="auto"/>
              <w:jc w:val="right"/>
              <w:rPr>
                <w:rFonts w:ascii="Arial" w:hAnsi="Arial" w:cs="Arial"/>
                <w:sz w:val="18"/>
                <w:szCs w:val="14"/>
                <w:lang w:eastAsia="en-US"/>
              </w:rPr>
            </w:pPr>
            <w:r>
              <w:rPr>
                <w:rFonts w:ascii="Arial" w:hAnsi="Arial" w:cs="Arial"/>
                <w:sz w:val="18"/>
                <w:szCs w:val="14"/>
                <w:lang w:eastAsia="en-US"/>
              </w:rPr>
              <w:fldChar w:fldCharType="begin"/>
            </w:r>
            <w:r>
              <w:rPr>
                <w:rFonts w:ascii="Arial" w:hAnsi="Arial" w:cs="Arial"/>
                <w:sz w:val="18"/>
                <w:szCs w:val="14"/>
                <w:lang w:eastAsia="en-US"/>
              </w:rPr>
              <w:instrText xml:space="preserve"> pageref NWG_CR </w:instrText>
            </w:r>
            <w:r>
              <w:rPr>
                <w:rFonts w:ascii="Arial" w:hAnsi="Arial" w:cs="Arial"/>
                <w:sz w:val="18"/>
                <w:szCs w:val="14"/>
                <w:lang w:eastAsia="en-US"/>
              </w:rPr>
              <w:fldChar w:fldCharType="separate"/>
            </w:r>
            <w:r>
              <w:rPr>
                <w:rFonts w:ascii="Arial" w:hAnsi="Arial" w:cs="Arial"/>
                <w:sz w:val="18"/>
                <w:szCs w:val="14"/>
                <w:lang w:eastAsia="en-US"/>
              </w:rPr>
              <w:t>21</w:t>
            </w:r>
            <w:r>
              <w:rPr>
                <w:rFonts w:ascii="Arial" w:hAnsi="Arial" w:cs="Arial"/>
                <w:sz w:val="18"/>
                <w:szCs w:val="14"/>
                <w:lang w:eastAsia="en-US"/>
              </w:rPr>
              <w:fldChar w:fldCharType="end"/>
            </w:r>
          </w:p>
        </w:tc>
      </w:tr>
      <w:tr w:rsidR="00130A6D" w:rsidTr="00E26697">
        <w:trPr>
          <w:trHeight w:hRule="exact" w:val="198"/>
        </w:trPr>
        <w:tc>
          <w:tcPr>
            <w:tcW w:w="8931" w:type="dxa"/>
            <w:tcBorders>
              <w:bottom w:val="single" w:sz="4" w:space="0" w:color="auto"/>
            </w:tcBorders>
            <w:shd w:val="clear" w:color="auto" w:fill="F4F0E8"/>
          </w:tcPr>
          <w:p w:rsidR="00666F8E" w:rsidRPr="00FB6978" w:rsidRDefault="004160AB" w:rsidP="00666F8E">
            <w:pPr>
              <w:pStyle w:val="Normal00"/>
              <w:spacing w:line="288" w:lineRule="auto"/>
              <w:rPr>
                <w:rFonts w:ascii="Arial" w:hAnsi="Arial" w:cs="Arial"/>
                <w:sz w:val="18"/>
                <w:szCs w:val="14"/>
                <w:lang w:eastAsia="en-US"/>
              </w:rPr>
            </w:pPr>
            <w:r w:rsidRPr="00FB6978">
              <w:rPr>
                <w:rFonts w:ascii="Arial" w:hAnsi="Arial" w:cs="Arial"/>
                <w:sz w:val="18"/>
                <w:szCs w:val="14"/>
                <w:lang w:eastAsia="en-US"/>
              </w:rPr>
              <w:t xml:space="preserve">     Sector analysis</w:t>
            </w:r>
          </w:p>
        </w:tc>
        <w:tc>
          <w:tcPr>
            <w:tcW w:w="1134" w:type="dxa"/>
            <w:tcBorders>
              <w:bottom w:val="single" w:sz="4" w:space="0" w:color="auto"/>
            </w:tcBorders>
            <w:shd w:val="clear" w:color="auto" w:fill="F4F0E8"/>
          </w:tcPr>
          <w:p w:rsidR="00666F8E" w:rsidRPr="00011FA6" w:rsidRDefault="004160AB" w:rsidP="00666F8E">
            <w:pPr>
              <w:pStyle w:val="Normal00"/>
              <w:spacing w:line="288" w:lineRule="auto"/>
              <w:jc w:val="right"/>
              <w:rPr>
                <w:rFonts w:ascii="Arial" w:hAnsi="Arial" w:cs="Arial"/>
                <w:sz w:val="18"/>
                <w:szCs w:val="14"/>
                <w:lang w:eastAsia="en-US"/>
              </w:rPr>
            </w:pPr>
            <w:r>
              <w:rPr>
                <w:rFonts w:ascii="Arial" w:hAnsi="Arial" w:cs="Arial"/>
                <w:sz w:val="18"/>
                <w:szCs w:val="14"/>
                <w:lang w:eastAsia="en-US"/>
              </w:rPr>
              <w:fldChar w:fldCharType="begin"/>
            </w:r>
            <w:r>
              <w:rPr>
                <w:rFonts w:ascii="Arial" w:hAnsi="Arial" w:cs="Arial"/>
                <w:sz w:val="18"/>
                <w:szCs w:val="14"/>
                <w:lang w:eastAsia="en-US"/>
              </w:rPr>
              <w:instrText xml:space="preserve"> pageref NWG_SEC </w:instrText>
            </w:r>
            <w:r>
              <w:rPr>
                <w:rFonts w:ascii="Arial" w:hAnsi="Arial" w:cs="Arial"/>
                <w:sz w:val="18"/>
                <w:szCs w:val="14"/>
                <w:lang w:eastAsia="en-US"/>
              </w:rPr>
              <w:fldChar w:fldCharType="separate"/>
            </w:r>
            <w:r>
              <w:rPr>
                <w:rFonts w:ascii="Arial" w:hAnsi="Arial" w:cs="Arial"/>
                <w:sz w:val="18"/>
                <w:szCs w:val="14"/>
                <w:lang w:eastAsia="en-US"/>
              </w:rPr>
              <w:t>25</w:t>
            </w:r>
            <w:r>
              <w:rPr>
                <w:rFonts w:ascii="Arial" w:hAnsi="Arial" w:cs="Arial"/>
                <w:sz w:val="18"/>
                <w:szCs w:val="14"/>
                <w:lang w:eastAsia="en-US"/>
              </w:rPr>
              <w:fldChar w:fldCharType="end"/>
            </w:r>
          </w:p>
        </w:tc>
      </w:tr>
      <w:tr w:rsidR="00130A6D" w:rsidTr="00E26697">
        <w:trPr>
          <w:trHeight w:hRule="exact" w:val="198"/>
        </w:trPr>
        <w:tc>
          <w:tcPr>
            <w:tcW w:w="8931" w:type="dxa"/>
            <w:tcBorders>
              <w:top w:val="single" w:sz="4" w:space="0" w:color="auto"/>
              <w:bottom w:val="single" w:sz="4" w:space="0" w:color="auto"/>
            </w:tcBorders>
            <w:shd w:val="clear" w:color="auto" w:fill="F4F0E8"/>
          </w:tcPr>
          <w:p w:rsidR="00666F8E" w:rsidRPr="00FB6978" w:rsidRDefault="004160AB" w:rsidP="00666F8E">
            <w:pPr>
              <w:pStyle w:val="Normal00"/>
              <w:spacing w:line="288" w:lineRule="auto"/>
              <w:rPr>
                <w:rFonts w:ascii="Arial" w:hAnsi="Arial" w:cs="Arial"/>
                <w:sz w:val="18"/>
                <w:szCs w:val="14"/>
                <w:lang w:eastAsia="en-US"/>
              </w:rPr>
            </w:pPr>
            <w:r>
              <w:rPr>
                <w:rFonts w:ascii="Arial" w:hAnsi="Arial" w:cs="Arial"/>
                <w:sz w:val="18"/>
                <w:szCs w:val="14"/>
                <w:lang w:eastAsia="en-US"/>
              </w:rPr>
              <w:t xml:space="preserve">     Wholesale support schemes</w:t>
            </w:r>
          </w:p>
        </w:tc>
        <w:tc>
          <w:tcPr>
            <w:tcW w:w="1134" w:type="dxa"/>
            <w:tcBorders>
              <w:top w:val="single" w:sz="4" w:space="0" w:color="auto"/>
              <w:bottom w:val="single" w:sz="4" w:space="0" w:color="auto"/>
            </w:tcBorders>
            <w:shd w:val="clear" w:color="auto" w:fill="F4F0E8"/>
          </w:tcPr>
          <w:p w:rsidR="00666F8E" w:rsidRPr="00011FA6" w:rsidRDefault="004160AB" w:rsidP="001348ED">
            <w:pPr>
              <w:pStyle w:val="Normal00"/>
              <w:spacing w:line="288" w:lineRule="auto"/>
              <w:jc w:val="right"/>
              <w:rPr>
                <w:rFonts w:ascii="Arial" w:hAnsi="Arial" w:cs="Arial"/>
                <w:sz w:val="18"/>
                <w:szCs w:val="14"/>
                <w:lang w:eastAsia="en-US"/>
              </w:rPr>
            </w:pPr>
            <w:r>
              <w:rPr>
                <w:rFonts w:ascii="Arial" w:hAnsi="Arial" w:cs="Arial"/>
                <w:sz w:val="18"/>
                <w:szCs w:val="14"/>
                <w:lang w:eastAsia="en-US"/>
              </w:rPr>
              <w:fldChar w:fldCharType="begin"/>
            </w:r>
            <w:r>
              <w:rPr>
                <w:rFonts w:ascii="Arial" w:hAnsi="Arial" w:cs="Arial"/>
                <w:sz w:val="18"/>
                <w:szCs w:val="14"/>
                <w:lang w:eastAsia="en-US"/>
              </w:rPr>
              <w:instrText xml:space="preserve"> pageref NWG_WHOLE </w:instrText>
            </w:r>
            <w:r>
              <w:rPr>
                <w:rFonts w:ascii="Arial" w:hAnsi="Arial" w:cs="Arial"/>
                <w:sz w:val="18"/>
                <w:szCs w:val="14"/>
                <w:lang w:eastAsia="en-US"/>
              </w:rPr>
              <w:fldChar w:fldCharType="separate"/>
            </w:r>
            <w:r>
              <w:rPr>
                <w:rFonts w:ascii="Arial" w:hAnsi="Arial" w:cs="Arial"/>
                <w:sz w:val="18"/>
                <w:szCs w:val="14"/>
                <w:lang w:eastAsia="en-US"/>
              </w:rPr>
              <w:t>27</w:t>
            </w:r>
            <w:r>
              <w:rPr>
                <w:rFonts w:ascii="Arial" w:hAnsi="Arial" w:cs="Arial"/>
                <w:sz w:val="18"/>
                <w:szCs w:val="14"/>
                <w:lang w:eastAsia="en-US"/>
              </w:rPr>
              <w:fldChar w:fldCharType="end"/>
            </w:r>
          </w:p>
        </w:tc>
      </w:tr>
    </w:tbl>
    <w:p w:rsidR="00666F8E" w:rsidRPr="0029601C" w:rsidRDefault="00666F8E" w:rsidP="00666F8E">
      <w:pPr>
        <w:rPr>
          <w:sz w:val="6"/>
          <w:szCs w:val="6"/>
          <w:lang w:eastAsia="ja-JP"/>
        </w:rPr>
      </w:pPr>
    </w:p>
    <w:p w:rsidR="006D648E" w:rsidRPr="000D481F" w:rsidRDefault="00DF45B2" w:rsidP="00AC63B5">
      <w:pPr>
        <w:pStyle w:val="Heading2"/>
        <w:spacing w:line="264" w:lineRule="auto"/>
        <w:rPr>
          <w:rFonts w:eastAsia="Times New Roman" w:cs="Arial"/>
          <w:b/>
          <w:bCs w:val="0"/>
          <w:color w:val="5E10B1"/>
          <w:szCs w:val="18"/>
          <w:lang w:eastAsia="ja-JP"/>
        </w:rPr>
      </w:pPr>
      <w:bookmarkStart w:id="16" w:name="NWG_CLF"/>
      <w:r w:rsidRPr="000D481F">
        <w:rPr>
          <w:rFonts w:eastAsia="Times New Roman" w:cs="Arial"/>
          <w:b/>
          <w:bCs w:val="0"/>
          <w:color w:val="5E10B1"/>
          <w:szCs w:val="18"/>
          <w:lang w:eastAsia="ja-JP"/>
        </w:rPr>
        <w:t>Capital, liquidity and funding risk</w:t>
      </w:r>
    </w:p>
    <w:bookmarkEnd w:id="16"/>
    <w:p w:rsidR="006D648E" w:rsidRPr="000D481F" w:rsidRDefault="004160AB" w:rsidP="00AC63B5">
      <w:pPr>
        <w:spacing w:line="264" w:lineRule="auto"/>
        <w:rPr>
          <w:rFonts w:eastAsia="Times New Roman" w:cs="Arial"/>
          <w:color w:val="5E10B1"/>
          <w:szCs w:val="18"/>
        </w:rPr>
      </w:pPr>
      <w:r w:rsidRPr="000D481F">
        <w:rPr>
          <w:rFonts w:eastAsia="Times New Roman" w:cs="Arial"/>
          <w:color w:val="5E10B1"/>
          <w:szCs w:val="18"/>
        </w:rPr>
        <w:t xml:space="preserve">Introduction </w:t>
      </w:r>
    </w:p>
    <w:p w:rsidR="00DF45B2" w:rsidRPr="000D481F" w:rsidRDefault="004160AB" w:rsidP="00AC63B5">
      <w:pPr>
        <w:autoSpaceDE w:val="0"/>
        <w:autoSpaceDN w:val="0"/>
        <w:adjustRightInd w:val="0"/>
        <w:spacing w:line="264" w:lineRule="auto"/>
        <w:rPr>
          <w:rFonts w:cs="Arial"/>
          <w:szCs w:val="18"/>
        </w:rPr>
      </w:pPr>
      <w:r w:rsidRPr="000D481F">
        <w:rPr>
          <w:rFonts w:cs="Arial"/>
          <w:szCs w:val="18"/>
        </w:rPr>
        <w:t>The economic impact of the Covid-19 pandemic was significant. While liquidity, capital and funding were closely monitored</w:t>
      </w:r>
    </w:p>
    <w:p w:rsidR="00DF45B2" w:rsidRPr="000D481F" w:rsidRDefault="004160AB" w:rsidP="00AC63B5">
      <w:pPr>
        <w:autoSpaceDE w:val="0"/>
        <w:autoSpaceDN w:val="0"/>
        <w:adjustRightInd w:val="0"/>
        <w:spacing w:line="264" w:lineRule="auto"/>
        <w:rPr>
          <w:rFonts w:cs="Arial"/>
          <w:szCs w:val="18"/>
        </w:rPr>
      </w:pPr>
      <w:r w:rsidRPr="000D481F">
        <w:rPr>
          <w:rFonts w:cs="Arial"/>
          <w:szCs w:val="18"/>
        </w:rPr>
        <w:t>throughout, NatWest Group benefited from its strong positions, particularly in relation to CET1, going into the crisis. Prudent</w:t>
      </w:r>
    </w:p>
    <w:p w:rsidR="00DF45B2" w:rsidRPr="000D481F" w:rsidRDefault="004160AB" w:rsidP="00AC63B5">
      <w:pPr>
        <w:spacing w:line="264" w:lineRule="auto"/>
        <w:rPr>
          <w:rFonts w:eastAsia="Times New Roman" w:cs="Arial"/>
          <w:szCs w:val="18"/>
        </w:rPr>
      </w:pPr>
      <w:r w:rsidRPr="000D481F">
        <w:rPr>
          <w:rFonts w:cs="Arial"/>
          <w:szCs w:val="18"/>
        </w:rPr>
        <w:t>risk management continues to be important as the full economic effects of the global pandemic unfold.</w:t>
      </w:r>
      <w:r w:rsidRPr="000D481F">
        <w:rPr>
          <w:rFonts w:eastAsia="Times New Roman" w:cs="Arial"/>
          <w:szCs w:val="18"/>
        </w:rPr>
        <w:t xml:space="preserve"> </w:t>
      </w:r>
    </w:p>
    <w:p w:rsidR="00DF45B2" w:rsidRPr="000D481F" w:rsidRDefault="00DF45B2" w:rsidP="00AC63B5">
      <w:pPr>
        <w:spacing w:line="264" w:lineRule="auto"/>
        <w:rPr>
          <w:rFonts w:eastAsia="Times New Roman" w:cs="Arial"/>
          <w:sz w:val="8"/>
          <w:szCs w:val="18"/>
        </w:rPr>
      </w:pPr>
    </w:p>
    <w:p w:rsidR="00DF45B2" w:rsidRPr="000D481F" w:rsidRDefault="004160AB" w:rsidP="00AC63B5">
      <w:pPr>
        <w:pStyle w:val="Normal00"/>
        <w:spacing w:line="264" w:lineRule="auto"/>
        <w:rPr>
          <w:rFonts w:ascii="Arial" w:hAnsi="Arial" w:cs="Arial"/>
          <w:color w:val="5E10B1"/>
          <w:sz w:val="18"/>
          <w:szCs w:val="18"/>
        </w:rPr>
      </w:pPr>
      <w:r w:rsidRPr="000D481F">
        <w:rPr>
          <w:rFonts w:ascii="Arial" w:hAnsi="Arial" w:cs="Arial"/>
          <w:color w:val="5E10B1"/>
          <w:sz w:val="18"/>
          <w:szCs w:val="18"/>
        </w:rPr>
        <w:t xml:space="preserve">Key developments </w:t>
      </w:r>
    </w:p>
    <w:tbl>
      <w:tblPr>
        <w:tblpPr w:leftFromText="180" w:rightFromText="180" w:vertAnchor="text" w:tblpY="1"/>
        <w:tblOverlap w:val="never"/>
        <w:tblW w:w="10206" w:type="dxa"/>
        <w:tblLayout w:type="fixed"/>
        <w:tblLook w:val="01E0" w:firstRow="1" w:lastRow="1" w:firstColumn="1" w:lastColumn="1" w:noHBand="0" w:noVBand="0"/>
      </w:tblPr>
      <w:tblGrid>
        <w:gridCol w:w="250"/>
        <w:gridCol w:w="9956"/>
      </w:tblGrid>
      <w:tr w:rsidR="00130A6D" w:rsidTr="00DF45B2">
        <w:trPr>
          <w:trHeight w:val="142"/>
        </w:trPr>
        <w:tc>
          <w:tcPr>
            <w:tcW w:w="250" w:type="dxa"/>
            <w:shd w:val="clear" w:color="auto" w:fill="auto"/>
          </w:tcPr>
          <w:p w:rsidR="00DF45B2" w:rsidRPr="000D481F" w:rsidRDefault="004160AB" w:rsidP="00AC63B5">
            <w:pPr>
              <w:pStyle w:val="Normal00"/>
              <w:spacing w:line="264" w:lineRule="auto"/>
              <w:jc w:val="both"/>
              <w:rPr>
                <w:rFonts w:ascii="Arial" w:hAnsi="Arial" w:cs="Arial"/>
                <w:sz w:val="18"/>
                <w:szCs w:val="18"/>
              </w:rPr>
            </w:pPr>
            <w:r w:rsidRPr="000D481F">
              <w:rPr>
                <w:rFonts w:ascii="Arial" w:eastAsia="MS Mincho" w:hAnsi="Arial" w:cs="Arial"/>
                <w:sz w:val="18"/>
                <w:szCs w:val="18"/>
              </w:rPr>
              <w:t>●</w:t>
            </w:r>
          </w:p>
        </w:tc>
        <w:tc>
          <w:tcPr>
            <w:tcW w:w="9956" w:type="dxa"/>
            <w:shd w:val="clear" w:color="auto" w:fill="auto"/>
          </w:tcPr>
          <w:p w:rsidR="00DF45B2" w:rsidRPr="000D481F" w:rsidRDefault="004160AB" w:rsidP="00AC63B5">
            <w:pPr>
              <w:spacing w:line="264" w:lineRule="auto"/>
              <w:rPr>
                <w:rFonts w:eastAsia="SimSun" w:cs="Arial"/>
                <w:szCs w:val="18"/>
                <w:lang w:eastAsia="zh-CN"/>
              </w:rPr>
            </w:pPr>
            <w:r w:rsidRPr="000D481F">
              <w:rPr>
                <w:rFonts w:eastAsia="SimSun" w:cs="Arial"/>
                <w:szCs w:val="18"/>
                <w:lang w:eastAsia="zh-CN"/>
              </w:rPr>
              <w:t>The CET1 ratio increased by 200 basis points to 18.2%. There was a release of £1.3 billion following the cancellation of the proposed 2019 dividend payments and associated pension contribution in Q1 2020, as announced by the Board in response to Covid-19. The attributable loss in the period was £644 million however the IFRS 9 transitional arrangements on expected credit losses provided relief of £1,719 million.</w:t>
            </w:r>
          </w:p>
        </w:tc>
      </w:tr>
      <w:tr w:rsidR="00130A6D" w:rsidTr="00DF45B2">
        <w:trPr>
          <w:trHeight w:val="175"/>
        </w:trPr>
        <w:tc>
          <w:tcPr>
            <w:tcW w:w="250" w:type="dxa"/>
            <w:shd w:val="clear" w:color="auto" w:fill="auto"/>
          </w:tcPr>
          <w:p w:rsidR="00DF45B2" w:rsidRPr="000D481F" w:rsidRDefault="004160AB" w:rsidP="00AC63B5">
            <w:pPr>
              <w:pStyle w:val="Normal00"/>
              <w:spacing w:line="264" w:lineRule="auto"/>
              <w:jc w:val="both"/>
              <w:rPr>
                <w:rFonts w:ascii="Arial" w:eastAsia="MS Mincho" w:hAnsi="Arial" w:cs="Arial"/>
                <w:sz w:val="18"/>
                <w:szCs w:val="18"/>
              </w:rPr>
            </w:pPr>
            <w:r w:rsidRPr="000D481F">
              <w:rPr>
                <w:rFonts w:ascii="Arial" w:eastAsia="MS Mincho" w:hAnsi="Arial" w:cs="Arial"/>
                <w:sz w:val="18"/>
                <w:szCs w:val="18"/>
              </w:rPr>
              <w:t>●</w:t>
            </w:r>
          </w:p>
        </w:tc>
        <w:tc>
          <w:tcPr>
            <w:tcW w:w="9956" w:type="dxa"/>
            <w:shd w:val="clear" w:color="auto" w:fill="auto"/>
          </w:tcPr>
          <w:p w:rsidR="00DF45B2" w:rsidRPr="000D481F" w:rsidRDefault="004160AB" w:rsidP="00AC63B5">
            <w:pPr>
              <w:pStyle w:val="Normal00"/>
              <w:spacing w:line="264" w:lineRule="auto"/>
              <w:rPr>
                <w:rFonts w:ascii="Arial" w:eastAsia="SimSun" w:hAnsi="Arial" w:cs="Arial"/>
                <w:sz w:val="18"/>
                <w:szCs w:val="18"/>
              </w:rPr>
            </w:pPr>
            <w:r>
              <w:rPr>
                <w:rFonts w:ascii="Arial" w:eastAsia="SimSun" w:hAnsi="Arial" w:cs="Arial"/>
                <w:sz w:val="18"/>
                <w:szCs w:val="18"/>
              </w:rPr>
              <w:t>Total RWAs decreased by £5.3 billion during the period, mainly reflecting reductions in Market Risk RWAs of £3.6 billion and Counterparty Credit Risk RWAs of £2.4 billion. Operational Risk RWAs reduced by £0.7 billion following the annual recalculation in Q1 2020.  The reduction in Market Risk RWAs was due to movements in Risks-not-in-</w:t>
            </w:r>
            <w:proofErr w:type="spellStart"/>
            <w:r>
              <w:rPr>
                <w:rFonts w:ascii="Arial" w:eastAsia="SimSun" w:hAnsi="Arial" w:cs="Arial"/>
                <w:sz w:val="18"/>
                <w:szCs w:val="18"/>
              </w:rPr>
              <w:t>VaR</w:t>
            </w:r>
            <w:proofErr w:type="spellEnd"/>
            <w:r>
              <w:rPr>
                <w:rFonts w:ascii="Arial" w:eastAsia="SimSun" w:hAnsi="Arial" w:cs="Arial"/>
                <w:sz w:val="18"/>
                <w:szCs w:val="18"/>
              </w:rPr>
              <w:t xml:space="preserve"> (RNIV) and Incremental Risk Charge (IRC) as well as a reduction in non-modelled market risk.  There were offsetting increases in Credit Risk RWAs of £1.4 billion. </w:t>
            </w:r>
          </w:p>
        </w:tc>
      </w:tr>
      <w:tr w:rsidR="00130A6D" w:rsidTr="00AD2B45">
        <w:trPr>
          <w:trHeight w:val="92"/>
        </w:trPr>
        <w:tc>
          <w:tcPr>
            <w:tcW w:w="250" w:type="dxa"/>
            <w:shd w:val="clear" w:color="auto" w:fill="auto"/>
          </w:tcPr>
          <w:p w:rsidR="00DF45B2" w:rsidRPr="000D481F" w:rsidRDefault="004160AB" w:rsidP="00AC63B5">
            <w:pPr>
              <w:pStyle w:val="Normal00"/>
              <w:spacing w:line="264" w:lineRule="auto"/>
              <w:jc w:val="both"/>
              <w:rPr>
                <w:rFonts w:ascii="Arial" w:eastAsia="MS Mincho" w:hAnsi="Arial" w:cs="Arial"/>
                <w:sz w:val="18"/>
                <w:szCs w:val="18"/>
              </w:rPr>
            </w:pPr>
            <w:r w:rsidRPr="000D481F">
              <w:rPr>
                <w:rFonts w:ascii="Arial" w:eastAsia="MS Mincho" w:hAnsi="Arial" w:cs="Arial"/>
                <w:sz w:val="18"/>
                <w:szCs w:val="18"/>
              </w:rPr>
              <w:t>●</w:t>
            </w:r>
          </w:p>
        </w:tc>
        <w:tc>
          <w:tcPr>
            <w:tcW w:w="9956" w:type="dxa"/>
            <w:shd w:val="clear" w:color="auto" w:fill="auto"/>
          </w:tcPr>
          <w:p w:rsidR="00DF45B2" w:rsidRPr="000D481F" w:rsidRDefault="004160AB" w:rsidP="00AC63B5">
            <w:pPr>
              <w:pStyle w:val="Normal00"/>
              <w:spacing w:line="264" w:lineRule="auto"/>
              <w:rPr>
                <w:rFonts w:ascii="Arial" w:eastAsia="SimSun" w:hAnsi="Arial" w:cs="Arial"/>
                <w:sz w:val="18"/>
                <w:szCs w:val="18"/>
              </w:rPr>
            </w:pPr>
            <w:r>
              <w:rPr>
                <w:rFonts w:ascii="Arial" w:eastAsia="SimSun" w:hAnsi="Arial" w:cs="Arial"/>
                <w:sz w:val="18"/>
                <w:szCs w:val="18"/>
              </w:rPr>
              <w:t>The CRR leverage ratio increased to 5.2% due to a £2.5 billion increase in Tier 1 capital which is partially offset by a £44.4 billion increase in the leverage exposure driven by balance sheet exposures.</w:t>
            </w:r>
          </w:p>
        </w:tc>
      </w:tr>
    </w:tbl>
    <w:p w:rsidR="00DF45B2" w:rsidRPr="000D481F" w:rsidRDefault="00DF45B2" w:rsidP="00AC63B5">
      <w:pPr>
        <w:spacing w:line="264" w:lineRule="auto"/>
        <w:rPr>
          <w:rFonts w:eastAsia="Times New Roman" w:cs="Arial"/>
          <w:sz w:val="4"/>
          <w:szCs w:val="18"/>
        </w:rPr>
      </w:pPr>
    </w:p>
    <w:p w:rsidR="00100547" w:rsidRPr="000D481F" w:rsidRDefault="004160AB" w:rsidP="00AC63B5">
      <w:pPr>
        <w:spacing w:line="264" w:lineRule="auto"/>
        <w:rPr>
          <w:rFonts w:eastAsia="Times New Roman" w:cs="Arial"/>
          <w:szCs w:val="18"/>
        </w:rPr>
      </w:pPr>
      <w:r w:rsidRPr="000D481F">
        <w:rPr>
          <w:rFonts w:eastAsia="Times New Roman" w:cs="Arial"/>
          <w:szCs w:val="18"/>
        </w:rPr>
        <w:t xml:space="preserve">In response to the Covid-19 pandemic, </w:t>
      </w:r>
      <w:proofErr w:type="gramStart"/>
      <w:r w:rsidRPr="000D481F">
        <w:rPr>
          <w:rFonts w:eastAsia="Times New Roman" w:cs="Arial"/>
          <w:szCs w:val="18"/>
        </w:rPr>
        <w:t>a number of</w:t>
      </w:r>
      <w:proofErr w:type="gramEnd"/>
      <w:r w:rsidRPr="000D481F">
        <w:rPr>
          <w:rFonts w:eastAsia="Times New Roman" w:cs="Arial"/>
          <w:szCs w:val="18"/>
        </w:rPr>
        <w:t xml:space="preserve"> relief measures to alleviate the financial stability impact have been announced and recommended by regulatory and supervisory bodies. One significant announcement was on 26 June when the European Parliament passed an amended regulation to the CRR in response to the Covid-19 pandemic (“the CRR Covid-19 amendment”); NatWest Group has applied </w:t>
      </w:r>
      <w:proofErr w:type="gramStart"/>
      <w:r w:rsidRPr="000D481F">
        <w:rPr>
          <w:rFonts w:eastAsia="Times New Roman" w:cs="Arial"/>
          <w:szCs w:val="18"/>
        </w:rPr>
        <w:t>a number of</w:t>
      </w:r>
      <w:proofErr w:type="gramEnd"/>
      <w:r w:rsidRPr="000D481F">
        <w:rPr>
          <w:rFonts w:eastAsia="Times New Roman" w:cs="Arial"/>
          <w:szCs w:val="18"/>
        </w:rPr>
        <w:t xml:space="preserve"> the CRR amendments for Q3 2020 reporting. The impact on capital and leverage of the CRR amendment and other relief measures are set out below.</w:t>
      </w:r>
    </w:p>
    <w:p w:rsidR="006D648E" w:rsidRPr="000D481F" w:rsidRDefault="006D648E" w:rsidP="00AC63B5">
      <w:pPr>
        <w:spacing w:line="264" w:lineRule="auto"/>
        <w:rPr>
          <w:rFonts w:eastAsia="Times New Roman" w:cs="Arial"/>
          <w:sz w:val="2"/>
          <w:szCs w:val="1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56"/>
      </w:tblGrid>
      <w:tr w:rsidR="00130A6D" w:rsidTr="00AD2B45">
        <w:tc>
          <w:tcPr>
            <w:tcW w:w="250" w:type="dxa"/>
          </w:tcPr>
          <w:p w:rsidR="00DF45B2" w:rsidRPr="000D481F" w:rsidRDefault="004160AB" w:rsidP="00AC63B5">
            <w:pPr>
              <w:spacing w:line="264" w:lineRule="auto"/>
              <w:rPr>
                <w:rFonts w:cs="Arial"/>
                <w:szCs w:val="18"/>
              </w:rPr>
            </w:pPr>
            <w:r w:rsidRPr="000D481F">
              <w:rPr>
                <w:rFonts w:eastAsia="SimSun"/>
                <w:szCs w:val="18"/>
                <w:lang w:eastAsia="ja-JP"/>
              </w:rPr>
              <w:t>●</w:t>
            </w:r>
          </w:p>
        </w:tc>
        <w:tc>
          <w:tcPr>
            <w:tcW w:w="9956" w:type="dxa"/>
          </w:tcPr>
          <w:p w:rsidR="00DF45B2" w:rsidRPr="000D481F" w:rsidRDefault="004160AB" w:rsidP="00AC63B5">
            <w:pPr>
              <w:spacing w:line="264" w:lineRule="auto"/>
              <w:rPr>
                <w:rFonts w:cs="Arial"/>
                <w:szCs w:val="18"/>
              </w:rPr>
            </w:pPr>
            <w:r w:rsidRPr="000D481F">
              <w:rPr>
                <w:rFonts w:cs="Arial"/>
                <w:color w:val="5E10B1"/>
                <w:szCs w:val="18"/>
              </w:rPr>
              <w:t>IFRS 9 Transition –</w:t>
            </w:r>
            <w:r>
              <w:rPr>
                <w:rFonts w:cs="Arial"/>
                <w:szCs w:val="18"/>
              </w:rPr>
              <w:t xml:space="preserve"> NatWest Group has elected to take advantage of the transitional regulatory capital rules in respect of expected credit losses following the adoption of IFRS 9; it had previously had a negligible impact up to Q4 2019. The CRR Covid-19 amendment now requires a full CET1 addback for the movement in stage 1 and stage 2 ECL from 1 January 2020 for the next two years. The IFRS 9 transitional arrangement impact on NatWest Group CET1 regulatory capital at 30 September 2020 is £1,719 million.  Excluding this adjustment, the CET1 ratio would be 17.2%.</w:t>
            </w:r>
          </w:p>
        </w:tc>
      </w:tr>
      <w:tr w:rsidR="00130A6D" w:rsidTr="00AD2B45">
        <w:tc>
          <w:tcPr>
            <w:tcW w:w="250" w:type="dxa"/>
          </w:tcPr>
          <w:p w:rsidR="00DF45B2" w:rsidRPr="000D481F" w:rsidRDefault="004160AB" w:rsidP="00AC63B5">
            <w:pPr>
              <w:spacing w:line="264" w:lineRule="auto"/>
              <w:rPr>
                <w:rFonts w:eastAsia="SimSun"/>
                <w:szCs w:val="18"/>
                <w:lang w:eastAsia="ja-JP"/>
              </w:rPr>
            </w:pPr>
            <w:r w:rsidRPr="000D481F">
              <w:rPr>
                <w:rFonts w:eastAsia="SimSun"/>
                <w:szCs w:val="18"/>
                <w:lang w:eastAsia="ja-JP"/>
              </w:rPr>
              <w:t>●</w:t>
            </w:r>
          </w:p>
        </w:tc>
        <w:tc>
          <w:tcPr>
            <w:tcW w:w="9956" w:type="dxa"/>
          </w:tcPr>
          <w:p w:rsidR="00DF45B2" w:rsidRPr="000D481F" w:rsidRDefault="004160AB" w:rsidP="00AC63B5">
            <w:pPr>
              <w:spacing w:line="264" w:lineRule="auto"/>
              <w:rPr>
                <w:rFonts w:cs="Arial"/>
                <w:color w:val="5E10B1"/>
                <w:szCs w:val="18"/>
              </w:rPr>
            </w:pPr>
            <w:r w:rsidRPr="000D481F">
              <w:rPr>
                <w:rFonts w:cs="Arial"/>
                <w:color w:val="5E10B1"/>
                <w:szCs w:val="18"/>
              </w:rPr>
              <w:t xml:space="preserve">UK Leverage exposure – </w:t>
            </w:r>
            <w:r w:rsidRPr="000D481F">
              <w:rPr>
                <w:rFonts w:cs="Arial"/>
                <w:szCs w:val="18"/>
              </w:rPr>
              <w:t>The Prudential Regulation Authority (PRA) announced the ability for firms to apply for a modification by consent to permit the netting of regular-way purchase and sales settlement balances. The PRA also offered a further modification that gave an exclusion from the UK Leverage Exposure for BBLS and other 100% guaranteed government Covid-19 lending schemes. NatWest Group has received permission to apply these and it has reduced the UK leverage exposure by c.£9.8 billion and £7.5 billion respectively.</w:t>
            </w:r>
          </w:p>
        </w:tc>
      </w:tr>
      <w:tr w:rsidR="00130A6D" w:rsidTr="00AD2B45">
        <w:tc>
          <w:tcPr>
            <w:tcW w:w="250" w:type="dxa"/>
          </w:tcPr>
          <w:p w:rsidR="00DF45B2" w:rsidRPr="000D481F" w:rsidRDefault="004160AB" w:rsidP="00AC63B5">
            <w:pPr>
              <w:spacing w:line="264" w:lineRule="auto"/>
              <w:rPr>
                <w:rFonts w:eastAsia="SimSun"/>
                <w:szCs w:val="18"/>
                <w:lang w:eastAsia="ja-JP"/>
              </w:rPr>
            </w:pPr>
            <w:r w:rsidRPr="000D481F">
              <w:rPr>
                <w:rFonts w:eastAsia="SimSun"/>
                <w:szCs w:val="18"/>
                <w:lang w:eastAsia="ja-JP"/>
              </w:rPr>
              <w:t>●</w:t>
            </w:r>
          </w:p>
        </w:tc>
        <w:tc>
          <w:tcPr>
            <w:tcW w:w="9956" w:type="dxa"/>
          </w:tcPr>
          <w:p w:rsidR="00DF45B2" w:rsidRPr="000D481F" w:rsidRDefault="004160AB" w:rsidP="00AC63B5">
            <w:pPr>
              <w:spacing w:line="264" w:lineRule="auto"/>
              <w:rPr>
                <w:rFonts w:cs="Arial"/>
                <w:szCs w:val="18"/>
              </w:rPr>
            </w:pPr>
            <w:r w:rsidRPr="000D481F">
              <w:rPr>
                <w:rFonts w:cs="Arial"/>
                <w:color w:val="5E10B1"/>
                <w:szCs w:val="18"/>
              </w:rPr>
              <w:t xml:space="preserve">CRR Leverage exposure – </w:t>
            </w:r>
            <w:r w:rsidRPr="000D481F">
              <w:rPr>
                <w:rFonts w:cs="Arial"/>
                <w:szCs w:val="18"/>
              </w:rPr>
              <w:t>The CRR Covid-19 amendment accelerated a change in CRR2 to allow the netting of regular-way purchase and sales settlement balances. NatWest Group has applied this, and it has reduced the CRR leverage exposure by c.£9.8 billion.</w:t>
            </w:r>
          </w:p>
        </w:tc>
      </w:tr>
      <w:tr w:rsidR="00130A6D" w:rsidTr="00AD2B45">
        <w:tc>
          <w:tcPr>
            <w:tcW w:w="250" w:type="dxa"/>
          </w:tcPr>
          <w:p w:rsidR="00DF45B2" w:rsidRPr="000D481F" w:rsidRDefault="004160AB" w:rsidP="00AC63B5">
            <w:pPr>
              <w:spacing w:line="264" w:lineRule="auto"/>
              <w:rPr>
                <w:rFonts w:eastAsia="SimSun"/>
                <w:szCs w:val="18"/>
                <w:lang w:eastAsia="ja-JP"/>
              </w:rPr>
            </w:pPr>
            <w:r w:rsidRPr="000D481F">
              <w:rPr>
                <w:rFonts w:eastAsia="SimSun"/>
                <w:szCs w:val="18"/>
                <w:lang w:eastAsia="ja-JP"/>
              </w:rPr>
              <w:t>●</w:t>
            </w:r>
          </w:p>
        </w:tc>
        <w:tc>
          <w:tcPr>
            <w:tcW w:w="9956" w:type="dxa"/>
          </w:tcPr>
          <w:p w:rsidR="00DF45B2" w:rsidRPr="000D481F" w:rsidRDefault="004160AB" w:rsidP="00AC63B5">
            <w:pPr>
              <w:spacing w:line="264" w:lineRule="auto"/>
              <w:rPr>
                <w:rFonts w:cs="Arial"/>
                <w:szCs w:val="18"/>
              </w:rPr>
            </w:pPr>
            <w:r w:rsidRPr="000D481F">
              <w:rPr>
                <w:rFonts w:cs="Arial"/>
                <w:color w:val="5E10B1"/>
                <w:szCs w:val="18"/>
              </w:rPr>
              <w:t xml:space="preserve">Infrastructure and SME RWA supporting factors – </w:t>
            </w:r>
            <w:r w:rsidRPr="00DF5402">
              <w:rPr>
                <w:rFonts w:cs="Arial"/>
                <w:szCs w:val="18"/>
              </w:rPr>
              <w:t>The CRR Covid-19 amendment allowed an acceleration of the planned changes to the SME supporting factor and the introduction of an Infrastructure supporting factor. NatWest Group has implemented these beneficial changes to supporting factors which have reduced RWAs by c.£1.0 billion for SMEs and £0.8 billion for Infrastructure.</w:t>
            </w:r>
          </w:p>
        </w:tc>
      </w:tr>
      <w:tr w:rsidR="00130A6D" w:rsidTr="00AD2B45">
        <w:tc>
          <w:tcPr>
            <w:tcW w:w="250" w:type="dxa"/>
          </w:tcPr>
          <w:p w:rsidR="00DF45B2" w:rsidRPr="000D481F" w:rsidRDefault="004160AB" w:rsidP="00AC63B5">
            <w:pPr>
              <w:spacing w:line="264" w:lineRule="auto"/>
              <w:rPr>
                <w:rFonts w:eastAsia="SimSun"/>
                <w:szCs w:val="18"/>
                <w:lang w:eastAsia="ja-JP"/>
              </w:rPr>
            </w:pPr>
            <w:r w:rsidRPr="000D481F">
              <w:rPr>
                <w:rFonts w:eastAsia="SimSun"/>
                <w:szCs w:val="18"/>
                <w:lang w:eastAsia="ja-JP"/>
              </w:rPr>
              <w:t>●</w:t>
            </w:r>
          </w:p>
        </w:tc>
        <w:tc>
          <w:tcPr>
            <w:tcW w:w="9956" w:type="dxa"/>
          </w:tcPr>
          <w:p w:rsidR="00DF45B2" w:rsidRPr="000D481F" w:rsidRDefault="004160AB" w:rsidP="00AC63B5">
            <w:pPr>
              <w:spacing w:line="264" w:lineRule="auto"/>
              <w:rPr>
                <w:rFonts w:cs="Arial"/>
                <w:szCs w:val="18"/>
              </w:rPr>
            </w:pPr>
            <w:r w:rsidRPr="000D481F">
              <w:rPr>
                <w:rFonts w:cs="Arial"/>
                <w:color w:val="5E10B1"/>
                <w:szCs w:val="18"/>
              </w:rPr>
              <w:t>Prudential Valuation Adjustment (PVA) –</w:t>
            </w:r>
            <w:r w:rsidRPr="000D481F">
              <w:rPr>
                <w:rFonts w:cs="Arial"/>
                <w:szCs w:val="18"/>
              </w:rPr>
              <w:t xml:space="preserve"> The European Commission amended the prudent valuation Regulatory Technical Standard such that, due to the exceptional levels of market volatility, the aggregation factor was increased from 50% to 66% until 31 December 2020 inclusive. This has reduced NatWest Group’s PVA deduction by c.£100 million.</w:t>
            </w:r>
          </w:p>
        </w:tc>
      </w:tr>
      <w:tr w:rsidR="00130A6D" w:rsidTr="00AD2B45">
        <w:tc>
          <w:tcPr>
            <w:tcW w:w="250" w:type="dxa"/>
          </w:tcPr>
          <w:p w:rsidR="00DF45B2" w:rsidRPr="000D481F" w:rsidRDefault="004160AB" w:rsidP="00AC63B5">
            <w:pPr>
              <w:spacing w:line="264" w:lineRule="auto"/>
              <w:rPr>
                <w:rFonts w:eastAsia="SimSun"/>
                <w:szCs w:val="18"/>
                <w:lang w:eastAsia="ja-JP"/>
              </w:rPr>
            </w:pPr>
            <w:r w:rsidRPr="000D481F">
              <w:rPr>
                <w:rFonts w:eastAsia="SimSun"/>
                <w:szCs w:val="18"/>
                <w:lang w:eastAsia="ja-JP"/>
              </w:rPr>
              <w:t>●</w:t>
            </w:r>
          </w:p>
        </w:tc>
        <w:tc>
          <w:tcPr>
            <w:tcW w:w="9956" w:type="dxa"/>
          </w:tcPr>
          <w:p w:rsidR="00742C6E" w:rsidRPr="00845D1B" w:rsidRDefault="004160AB" w:rsidP="00AC63B5">
            <w:pPr>
              <w:spacing w:line="264" w:lineRule="auto"/>
              <w:rPr>
                <w:rFonts w:ascii="Calibri" w:hAnsi="Calibri"/>
                <w:sz w:val="22"/>
              </w:rPr>
            </w:pPr>
            <w:r w:rsidRPr="000D481F">
              <w:rPr>
                <w:rFonts w:cs="Arial"/>
                <w:color w:val="5E10B1"/>
                <w:szCs w:val="18"/>
              </w:rPr>
              <w:t>Market Risk Value-at-risk (</w:t>
            </w:r>
            <w:proofErr w:type="spellStart"/>
            <w:r w:rsidRPr="000D481F">
              <w:rPr>
                <w:rFonts w:cs="Arial"/>
                <w:color w:val="5E10B1"/>
                <w:szCs w:val="18"/>
              </w:rPr>
              <w:t>VaR</w:t>
            </w:r>
            <w:proofErr w:type="spellEnd"/>
            <w:r w:rsidRPr="000D481F">
              <w:rPr>
                <w:rFonts w:cs="Arial"/>
                <w:color w:val="5E10B1"/>
                <w:szCs w:val="18"/>
              </w:rPr>
              <w:t xml:space="preserve">) model capital multiplier – </w:t>
            </w:r>
            <w:r w:rsidRPr="00742C6E">
              <w:t xml:space="preserve">Earlier in the year, the PRA and De </w:t>
            </w:r>
            <w:proofErr w:type="spellStart"/>
            <w:r w:rsidRPr="00742C6E">
              <w:t>Nederlandsche</w:t>
            </w:r>
            <w:proofErr w:type="spellEnd"/>
            <w:r w:rsidRPr="00742C6E">
              <w:t xml:space="preserve"> Bank (DNB) announced temporary approaches in relation to the exceptional levels of market volatility which resulted in an increase in </w:t>
            </w:r>
            <w:proofErr w:type="spellStart"/>
            <w:r w:rsidRPr="00742C6E">
              <w:t>VaR</w:t>
            </w:r>
            <w:proofErr w:type="spellEnd"/>
            <w:r w:rsidRPr="00742C6E">
              <w:t xml:space="preserve"> model back-testing exceptions in NatWest Markets Plc and NatWest Markets N.V.. Under the PRA temporary approach, capital multiplier increases due to new back-testing exceptions which have resulted in an increase in capital requirements could be offset through a commensurate reduction in RNIV capital requirements. The PRA announced that this temporary approach will cease to apply from 1 October 2020, and be replaced by the measures announced in the CRR Covid-19 amendment where back-testing exceptions due to the exceptional levels of market volatility due to Covid-19 can be excluded from the capital multiplier. The application of this CRR Covid-19 measure is subject to approval by the PRA, which NatWest Markets Plc has applied for. The PRA approach resulted in c.£1.3 billion benefit.</w:t>
            </w:r>
          </w:p>
        </w:tc>
      </w:tr>
      <w:tr w:rsidR="00130A6D" w:rsidTr="003B3074">
        <w:tc>
          <w:tcPr>
            <w:tcW w:w="250" w:type="dxa"/>
          </w:tcPr>
          <w:p w:rsidR="00BB4EDE" w:rsidRPr="000D481F" w:rsidRDefault="004160AB" w:rsidP="00AC63B5">
            <w:pPr>
              <w:spacing w:line="264" w:lineRule="auto"/>
              <w:rPr>
                <w:rFonts w:eastAsia="SimSun"/>
                <w:szCs w:val="18"/>
                <w:lang w:eastAsia="ja-JP"/>
              </w:rPr>
            </w:pPr>
            <w:r w:rsidRPr="000D481F">
              <w:rPr>
                <w:rFonts w:eastAsia="SimSun"/>
                <w:szCs w:val="18"/>
                <w:lang w:eastAsia="ja-JP"/>
              </w:rPr>
              <w:t>●</w:t>
            </w:r>
          </w:p>
        </w:tc>
        <w:tc>
          <w:tcPr>
            <w:tcW w:w="9956" w:type="dxa"/>
          </w:tcPr>
          <w:p w:rsidR="00BB4EDE" w:rsidRPr="000D481F" w:rsidRDefault="004160AB" w:rsidP="00AC63B5">
            <w:pPr>
              <w:spacing w:line="264" w:lineRule="auto"/>
              <w:rPr>
                <w:rFonts w:cs="Arial"/>
                <w:szCs w:val="18"/>
              </w:rPr>
            </w:pPr>
            <w:r w:rsidRPr="000D481F">
              <w:rPr>
                <w:rFonts w:cs="Arial"/>
                <w:color w:val="5E10B1"/>
                <w:szCs w:val="18"/>
              </w:rPr>
              <w:t>Capital buffers –</w:t>
            </w:r>
            <w:r w:rsidRPr="000D481F">
              <w:rPr>
                <w:rFonts w:cs="Arial"/>
                <w:szCs w:val="18"/>
              </w:rPr>
              <w:t xml:space="preserve"> Many countries have announced reductions in their countercyclical capital buffer rates in response to Covid-19. Most notably for NatWest Group, the Financial Policy Committee reduced the UK rate from 1% to 0% effective from 11 March 2020. The CBI also announced a reduction of the Republic of Ireland rate from 1% to 0% effective from 1 April 2020.</w:t>
            </w:r>
          </w:p>
        </w:tc>
      </w:tr>
    </w:tbl>
    <w:p w:rsidR="00AC63B5" w:rsidRDefault="00AC63B5" w:rsidP="00845D1B">
      <w:pPr>
        <w:pStyle w:val="Normal200"/>
        <w:spacing w:line="276" w:lineRule="auto"/>
        <w:ind w:right="98"/>
        <w:rPr>
          <w:rFonts w:eastAsia="Calibri"/>
          <w:b/>
          <w:color w:val="42145F"/>
          <w:sz w:val="18"/>
          <w:szCs w:val="18"/>
        </w:rPr>
      </w:pPr>
    </w:p>
    <w:p w:rsidR="00AC63B5" w:rsidRDefault="004160AB" w:rsidP="00AC63B5">
      <w:pPr>
        <w:rPr>
          <w:rFonts w:cs="Arial"/>
          <w:lang w:eastAsia="en-GB"/>
        </w:rPr>
      </w:pPr>
      <w:r>
        <w:br w:type="page"/>
      </w:r>
    </w:p>
    <w:p w:rsidR="00845D1B" w:rsidRPr="000D481F" w:rsidRDefault="004160AB" w:rsidP="00845D1B">
      <w:pPr>
        <w:pStyle w:val="Normal200"/>
        <w:spacing w:line="276" w:lineRule="auto"/>
        <w:ind w:right="98"/>
        <w:rPr>
          <w:rFonts w:eastAsia="Calibri"/>
          <w:b/>
          <w:color w:val="42145F"/>
          <w:sz w:val="18"/>
          <w:szCs w:val="18"/>
        </w:rPr>
      </w:pPr>
      <w:r w:rsidRPr="000D481F">
        <w:rPr>
          <w:rFonts w:eastAsia="Calibri"/>
          <w:b/>
          <w:color w:val="42145F"/>
          <w:sz w:val="18"/>
          <w:szCs w:val="18"/>
        </w:rPr>
        <w:lastRenderedPageBreak/>
        <w:t>Capital and risk management</w:t>
      </w:r>
    </w:p>
    <w:p w:rsidR="00845D1B" w:rsidRPr="00BB4EDE" w:rsidRDefault="004160AB" w:rsidP="00845D1B">
      <w:pPr>
        <w:pStyle w:val="Heading2"/>
        <w:rPr>
          <w:rFonts w:eastAsia="Times New Roman" w:cs="Arial"/>
          <w:b/>
          <w:bCs w:val="0"/>
          <w:color w:val="5E10B1"/>
          <w:szCs w:val="18"/>
          <w:lang w:eastAsia="ja-JP"/>
        </w:rPr>
      </w:pPr>
      <w:r w:rsidRPr="000D481F">
        <w:rPr>
          <w:rFonts w:eastAsia="Times New Roman" w:cs="Arial"/>
          <w:b/>
          <w:bCs w:val="0"/>
          <w:color w:val="5E10B1"/>
          <w:szCs w:val="18"/>
          <w:lang w:eastAsia="ja-JP"/>
        </w:rPr>
        <w:t xml:space="preserve">Capital, liquidity and funding risk </w:t>
      </w:r>
      <w:r w:rsidRPr="000D481F">
        <w:rPr>
          <w:rFonts w:eastAsia="Times New Roman" w:cs="Arial"/>
          <w:bCs w:val="0"/>
          <w:color w:val="5E10B1"/>
          <w:szCs w:val="18"/>
          <w:lang w:eastAsia="ja-JP"/>
        </w:rPr>
        <w:t>continued</w:t>
      </w:r>
    </w:p>
    <w:p w:rsidR="006D648E" w:rsidRPr="000D481F" w:rsidRDefault="004160AB" w:rsidP="006D648E">
      <w:pPr>
        <w:rPr>
          <w:color w:val="5E10B1"/>
          <w:szCs w:val="18"/>
        </w:rPr>
      </w:pPr>
      <w:r w:rsidRPr="000D481F">
        <w:rPr>
          <w:bCs/>
          <w:color w:val="5E10B1"/>
          <w:szCs w:val="18"/>
        </w:rPr>
        <w:t xml:space="preserve">Maximum Distributable Amount (MDA) and Minimum Capital Requirements </w:t>
      </w:r>
    </w:p>
    <w:p w:rsidR="006D648E" w:rsidRPr="000D481F" w:rsidRDefault="00666F8E" w:rsidP="006D648E">
      <w:pPr>
        <w:rPr>
          <w:rFonts w:cs="Arial"/>
          <w:szCs w:val="18"/>
        </w:rPr>
      </w:pPr>
      <w:r w:rsidRPr="000D481F">
        <w:rPr>
          <w:rFonts w:cs="Arial"/>
          <w:szCs w:val="18"/>
        </w:rPr>
        <w:t xml:space="preserve">NatWest Group is subject to minimum capital requirements relative to RWAs. The table below summarises the minimum capital requirements (the sum of Pillar 1 and Pillar 2A), and the additional capital buffers which are held in excess of the regulatory minimum requirements and are usable in stress.   </w:t>
      </w:r>
    </w:p>
    <w:p w:rsidR="006D648E" w:rsidRPr="000D481F" w:rsidRDefault="004160AB" w:rsidP="006D648E">
      <w:pPr>
        <w:rPr>
          <w:rFonts w:cs="Arial"/>
          <w:szCs w:val="18"/>
        </w:rPr>
      </w:pPr>
      <w:r w:rsidRPr="000D481F">
        <w:rPr>
          <w:rFonts w:cs="Arial"/>
          <w:szCs w:val="18"/>
        </w:rPr>
        <w:t> </w:t>
      </w:r>
    </w:p>
    <w:p w:rsidR="006D648E" w:rsidRPr="000D481F" w:rsidRDefault="004160AB" w:rsidP="006D648E">
      <w:pPr>
        <w:rPr>
          <w:rFonts w:cs="Arial"/>
          <w:szCs w:val="18"/>
        </w:rPr>
      </w:pPr>
      <w:r w:rsidRPr="000D481F">
        <w:rPr>
          <w:rFonts w:cs="Arial"/>
          <w:szCs w:val="18"/>
        </w:rPr>
        <w:t>Where the CET1 ratio falls below the sum of the minimum capital and the combined buffer requirement, there is a subsequent automatic restriction on the amount available to service discretionary payments, known as the MDA. Note that different requirements apply to individual legal entities or sub-groups and that the table shown does not reflect any incremental PRA buffer requirements, which are not disclosable.</w:t>
      </w:r>
    </w:p>
    <w:p w:rsidR="006D648E" w:rsidRPr="000D481F" w:rsidRDefault="006D648E" w:rsidP="006D648E">
      <w:pPr>
        <w:rPr>
          <w:rFonts w:cs="Arial"/>
          <w:szCs w:val="18"/>
        </w:rPr>
      </w:pPr>
    </w:p>
    <w:p w:rsidR="006D648E" w:rsidRPr="000D481F" w:rsidRDefault="004160AB" w:rsidP="006D648E">
      <w:pPr>
        <w:rPr>
          <w:rFonts w:cs="Arial"/>
          <w:szCs w:val="18"/>
        </w:rPr>
      </w:pPr>
      <w:r w:rsidRPr="000D481F">
        <w:rPr>
          <w:rFonts w:cs="Arial"/>
          <w:szCs w:val="18"/>
        </w:rPr>
        <w:t>The current capital position provides significant headroom above both our minimum requirements and our MDA threshold requirements.</w:t>
      </w:r>
    </w:p>
    <w:p w:rsidR="006D648E" w:rsidRPr="00925DE4" w:rsidRDefault="006D648E" w:rsidP="006D648E">
      <w:pPr>
        <w:pStyle w:val="Normal00"/>
        <w:spacing w:line="276" w:lineRule="auto"/>
        <w:rPr>
          <w:rFonts w:ascii="Arial" w:hAnsi="Arial" w:cs="Arial"/>
          <w:sz w:val="20"/>
          <w:szCs w:val="20"/>
          <w:lang w:eastAsia="en-US"/>
        </w:rPr>
      </w:pPr>
    </w:p>
    <w:tbl>
      <w:tblPr>
        <w:tblW w:w="10206" w:type="dxa"/>
        <w:tblInd w:w="93" w:type="dxa"/>
        <w:tblCellMar>
          <w:left w:w="0" w:type="dxa"/>
          <w:right w:w="0" w:type="dxa"/>
        </w:tblCellMar>
        <w:tblLook w:val="04A0" w:firstRow="1" w:lastRow="0" w:firstColumn="1" w:lastColumn="0" w:noHBand="0" w:noVBand="1"/>
      </w:tblPr>
      <w:tblGrid>
        <w:gridCol w:w="1405"/>
        <w:gridCol w:w="3141"/>
        <w:gridCol w:w="381"/>
        <w:gridCol w:w="1406"/>
        <w:gridCol w:w="644"/>
        <w:gridCol w:w="1406"/>
        <w:gridCol w:w="417"/>
        <w:gridCol w:w="1406"/>
      </w:tblGrid>
      <w:tr w:rsidR="00130A6D" w:rsidTr="00F42E26">
        <w:trPr>
          <w:trHeight w:val="315"/>
        </w:trPr>
        <w:tc>
          <w:tcPr>
            <w:tcW w:w="4546" w:type="dxa"/>
            <w:gridSpan w:val="2"/>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rsidR="00A26EF7" w:rsidRPr="005D5BD0" w:rsidRDefault="004160AB" w:rsidP="00F42E26">
            <w:pPr>
              <w:rPr>
                <w:rFonts w:cs="Arial"/>
                <w:b/>
                <w:bCs/>
                <w:sz w:val="16"/>
                <w:szCs w:val="16"/>
              </w:rPr>
            </w:pPr>
            <w:r w:rsidRPr="005D5BD0">
              <w:rPr>
                <w:rFonts w:cs="Arial"/>
                <w:b/>
                <w:bCs/>
                <w:sz w:val="16"/>
                <w:szCs w:val="16"/>
              </w:rPr>
              <w:t>Type</w:t>
            </w:r>
          </w:p>
        </w:tc>
        <w:tc>
          <w:tcPr>
            <w:tcW w:w="1787" w:type="dxa"/>
            <w:gridSpan w:val="2"/>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rsidR="00A26EF7" w:rsidRPr="005D5BD0" w:rsidRDefault="004160AB" w:rsidP="00F42E26">
            <w:pPr>
              <w:jc w:val="right"/>
              <w:rPr>
                <w:rFonts w:cs="Arial"/>
                <w:b/>
                <w:bCs/>
                <w:sz w:val="16"/>
                <w:szCs w:val="16"/>
              </w:rPr>
            </w:pPr>
            <w:r w:rsidRPr="005D5BD0">
              <w:rPr>
                <w:rFonts w:cs="Arial"/>
                <w:b/>
                <w:bCs/>
                <w:sz w:val="16"/>
                <w:szCs w:val="16"/>
              </w:rPr>
              <w:t>CET1</w:t>
            </w:r>
          </w:p>
        </w:tc>
        <w:tc>
          <w:tcPr>
            <w:tcW w:w="2050" w:type="dxa"/>
            <w:gridSpan w:val="2"/>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rsidR="00A26EF7" w:rsidRPr="005D5BD0" w:rsidRDefault="004160AB" w:rsidP="00F42E26">
            <w:pPr>
              <w:jc w:val="right"/>
              <w:rPr>
                <w:rFonts w:cs="Arial"/>
                <w:b/>
                <w:bCs/>
                <w:sz w:val="16"/>
                <w:szCs w:val="16"/>
              </w:rPr>
            </w:pPr>
            <w:r w:rsidRPr="005D5BD0">
              <w:rPr>
                <w:rFonts w:cs="Arial"/>
                <w:b/>
                <w:bCs/>
                <w:sz w:val="16"/>
                <w:szCs w:val="16"/>
              </w:rPr>
              <w:t>Total Tier 1</w:t>
            </w:r>
          </w:p>
        </w:tc>
        <w:tc>
          <w:tcPr>
            <w:tcW w:w="1823" w:type="dxa"/>
            <w:gridSpan w:val="2"/>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rsidR="00A26EF7" w:rsidRPr="005D5BD0" w:rsidRDefault="004160AB" w:rsidP="00F42E26">
            <w:pPr>
              <w:jc w:val="right"/>
              <w:rPr>
                <w:rFonts w:cs="Arial"/>
                <w:b/>
                <w:bCs/>
                <w:sz w:val="16"/>
                <w:szCs w:val="16"/>
              </w:rPr>
            </w:pPr>
            <w:r w:rsidRPr="005D5BD0">
              <w:rPr>
                <w:rFonts w:cs="Arial"/>
                <w:b/>
                <w:bCs/>
                <w:sz w:val="16"/>
                <w:szCs w:val="16"/>
              </w:rPr>
              <w:t>Total capital</w:t>
            </w:r>
          </w:p>
        </w:tc>
      </w:tr>
      <w:tr w:rsidR="00130A6D" w:rsidTr="00A26EF7">
        <w:trPr>
          <w:trHeight w:val="193"/>
        </w:trPr>
        <w:tc>
          <w:tcPr>
            <w:tcW w:w="4546" w:type="dxa"/>
            <w:gridSpan w:val="2"/>
            <w:tcBorders>
              <w:top w:val="single" w:sz="4" w:space="0" w:color="auto"/>
            </w:tcBorders>
            <w:shd w:val="clear" w:color="auto" w:fill="FFFFFF"/>
            <w:tcMar>
              <w:top w:w="0" w:type="dxa"/>
              <w:left w:w="108" w:type="dxa"/>
              <w:bottom w:w="0" w:type="dxa"/>
              <w:right w:w="108" w:type="dxa"/>
            </w:tcMar>
            <w:vAlign w:val="center"/>
            <w:hideMark/>
          </w:tcPr>
          <w:p w:rsidR="00A26EF7" w:rsidRPr="00925DE4" w:rsidRDefault="004160AB" w:rsidP="00F42E26">
            <w:pPr>
              <w:rPr>
                <w:rFonts w:cs="Arial"/>
                <w:sz w:val="16"/>
                <w:szCs w:val="16"/>
              </w:rPr>
            </w:pPr>
            <w:r w:rsidRPr="00925DE4">
              <w:rPr>
                <w:rFonts w:cs="Arial"/>
                <w:sz w:val="16"/>
                <w:szCs w:val="16"/>
              </w:rPr>
              <w:t>Pillar 1 requirements</w:t>
            </w:r>
          </w:p>
        </w:tc>
        <w:tc>
          <w:tcPr>
            <w:tcW w:w="1787" w:type="dxa"/>
            <w:gridSpan w:val="2"/>
            <w:tcBorders>
              <w:top w:val="single" w:sz="4" w:space="0" w:color="auto"/>
            </w:tcBorders>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4.5%</w:t>
            </w:r>
          </w:p>
        </w:tc>
        <w:tc>
          <w:tcPr>
            <w:tcW w:w="2050" w:type="dxa"/>
            <w:gridSpan w:val="2"/>
            <w:tcBorders>
              <w:top w:val="single" w:sz="4" w:space="0" w:color="auto"/>
            </w:tcBorders>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6.0%</w:t>
            </w:r>
          </w:p>
        </w:tc>
        <w:tc>
          <w:tcPr>
            <w:tcW w:w="1823" w:type="dxa"/>
            <w:gridSpan w:val="2"/>
            <w:tcBorders>
              <w:top w:val="single" w:sz="4" w:space="0" w:color="auto"/>
            </w:tcBorders>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8.0%</w:t>
            </w:r>
          </w:p>
        </w:tc>
      </w:tr>
      <w:tr w:rsidR="00130A6D" w:rsidTr="00A26EF7">
        <w:trPr>
          <w:trHeight w:val="193"/>
        </w:trPr>
        <w:tc>
          <w:tcPr>
            <w:tcW w:w="4546" w:type="dxa"/>
            <w:gridSpan w:val="2"/>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rsidR="00A26EF7" w:rsidRPr="00925DE4" w:rsidRDefault="004160AB" w:rsidP="00F42E26">
            <w:pPr>
              <w:rPr>
                <w:rFonts w:cs="Arial"/>
                <w:sz w:val="16"/>
                <w:szCs w:val="16"/>
              </w:rPr>
            </w:pPr>
            <w:r w:rsidRPr="00925DE4">
              <w:rPr>
                <w:rFonts w:cs="Arial"/>
                <w:sz w:val="16"/>
                <w:szCs w:val="16"/>
              </w:rPr>
              <w:t>Pillar 2A requirements</w:t>
            </w:r>
          </w:p>
        </w:tc>
        <w:tc>
          <w:tcPr>
            <w:tcW w:w="1787" w:type="dxa"/>
            <w:gridSpan w:val="2"/>
            <w:tcBorders>
              <w:top w:val="nil"/>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1.9%</w:t>
            </w:r>
          </w:p>
        </w:tc>
        <w:tc>
          <w:tcPr>
            <w:tcW w:w="2050" w:type="dxa"/>
            <w:gridSpan w:val="2"/>
            <w:tcBorders>
              <w:top w:val="nil"/>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2.6%</w:t>
            </w:r>
          </w:p>
        </w:tc>
        <w:tc>
          <w:tcPr>
            <w:tcW w:w="1823" w:type="dxa"/>
            <w:gridSpan w:val="2"/>
            <w:tcBorders>
              <w:top w:val="nil"/>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3.4%</w:t>
            </w:r>
          </w:p>
        </w:tc>
      </w:tr>
      <w:tr w:rsidR="00130A6D" w:rsidTr="00A26EF7">
        <w:trPr>
          <w:trHeight w:val="193"/>
        </w:trPr>
        <w:tc>
          <w:tcPr>
            <w:tcW w:w="4546" w:type="dxa"/>
            <w:gridSpan w:val="2"/>
            <w:tcBorders>
              <w:top w:val="single" w:sz="4" w:space="0" w:color="auto"/>
            </w:tcBorders>
            <w:shd w:val="clear" w:color="auto" w:fill="FFFFFF"/>
            <w:tcMar>
              <w:top w:w="0" w:type="dxa"/>
              <w:left w:w="108" w:type="dxa"/>
              <w:bottom w:w="0" w:type="dxa"/>
              <w:right w:w="108" w:type="dxa"/>
            </w:tcMar>
            <w:vAlign w:val="center"/>
            <w:hideMark/>
          </w:tcPr>
          <w:p w:rsidR="00A26EF7" w:rsidRPr="00925DE4" w:rsidRDefault="004160AB" w:rsidP="00F42E26">
            <w:pPr>
              <w:rPr>
                <w:rFonts w:cs="Arial"/>
                <w:bCs/>
                <w:sz w:val="16"/>
                <w:szCs w:val="16"/>
              </w:rPr>
            </w:pPr>
            <w:r w:rsidRPr="00925DE4">
              <w:rPr>
                <w:rFonts w:cs="Arial"/>
                <w:bCs/>
                <w:sz w:val="16"/>
                <w:szCs w:val="16"/>
              </w:rPr>
              <w:t>Minimum Capital Requirements</w:t>
            </w:r>
          </w:p>
        </w:tc>
        <w:tc>
          <w:tcPr>
            <w:tcW w:w="1787" w:type="dxa"/>
            <w:gridSpan w:val="2"/>
            <w:tcBorders>
              <w:top w:val="single" w:sz="4" w:space="0" w:color="auto"/>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6.4%</w:t>
            </w:r>
          </w:p>
        </w:tc>
        <w:tc>
          <w:tcPr>
            <w:tcW w:w="2050" w:type="dxa"/>
            <w:gridSpan w:val="2"/>
            <w:tcBorders>
              <w:top w:val="single" w:sz="4" w:space="0" w:color="auto"/>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8.6%</w:t>
            </w:r>
          </w:p>
        </w:tc>
        <w:tc>
          <w:tcPr>
            <w:tcW w:w="1823" w:type="dxa"/>
            <w:gridSpan w:val="2"/>
            <w:tcBorders>
              <w:top w:val="single" w:sz="4" w:space="0" w:color="auto"/>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11.4%</w:t>
            </w:r>
          </w:p>
        </w:tc>
      </w:tr>
      <w:tr w:rsidR="00130A6D" w:rsidTr="00A26EF7">
        <w:trPr>
          <w:trHeight w:val="193"/>
        </w:trPr>
        <w:tc>
          <w:tcPr>
            <w:tcW w:w="4546" w:type="dxa"/>
            <w:gridSpan w:val="2"/>
            <w:shd w:val="clear" w:color="auto" w:fill="FFFFFF"/>
            <w:tcMar>
              <w:top w:w="0" w:type="dxa"/>
              <w:left w:w="108" w:type="dxa"/>
              <w:bottom w:w="0" w:type="dxa"/>
              <w:right w:w="108" w:type="dxa"/>
            </w:tcMar>
            <w:vAlign w:val="center"/>
            <w:hideMark/>
          </w:tcPr>
          <w:p w:rsidR="00A26EF7" w:rsidRPr="00925DE4" w:rsidRDefault="004160AB" w:rsidP="00F42E26">
            <w:pPr>
              <w:rPr>
                <w:rFonts w:cs="Arial"/>
                <w:sz w:val="16"/>
                <w:szCs w:val="16"/>
              </w:rPr>
            </w:pPr>
            <w:r w:rsidRPr="00925DE4">
              <w:rPr>
                <w:rFonts w:cs="Arial"/>
                <w:sz w:val="16"/>
                <w:szCs w:val="16"/>
              </w:rPr>
              <w:t>Capital conservation buffer</w:t>
            </w:r>
          </w:p>
        </w:tc>
        <w:tc>
          <w:tcPr>
            <w:tcW w:w="1787" w:type="dxa"/>
            <w:gridSpan w:val="2"/>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2.5%</w:t>
            </w:r>
          </w:p>
        </w:tc>
        <w:tc>
          <w:tcPr>
            <w:tcW w:w="2050" w:type="dxa"/>
            <w:gridSpan w:val="2"/>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2.5%</w:t>
            </w:r>
          </w:p>
        </w:tc>
        <w:tc>
          <w:tcPr>
            <w:tcW w:w="1823" w:type="dxa"/>
            <w:gridSpan w:val="2"/>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2.5%</w:t>
            </w:r>
          </w:p>
        </w:tc>
      </w:tr>
      <w:tr w:rsidR="00130A6D" w:rsidTr="00A26EF7">
        <w:trPr>
          <w:trHeight w:val="193"/>
        </w:trPr>
        <w:tc>
          <w:tcPr>
            <w:tcW w:w="4546" w:type="dxa"/>
            <w:gridSpan w:val="2"/>
            <w:shd w:val="clear" w:color="auto" w:fill="FFFFFF"/>
            <w:tcMar>
              <w:top w:w="0" w:type="dxa"/>
              <w:left w:w="108" w:type="dxa"/>
              <w:bottom w:w="0" w:type="dxa"/>
              <w:right w:w="108" w:type="dxa"/>
            </w:tcMar>
            <w:vAlign w:val="center"/>
            <w:hideMark/>
          </w:tcPr>
          <w:p w:rsidR="00A26EF7" w:rsidRPr="00925DE4" w:rsidRDefault="004160AB" w:rsidP="00F42E26">
            <w:pPr>
              <w:rPr>
                <w:rFonts w:cs="Arial"/>
                <w:sz w:val="16"/>
                <w:szCs w:val="16"/>
              </w:rPr>
            </w:pPr>
            <w:r w:rsidRPr="00925DE4">
              <w:rPr>
                <w:rFonts w:cs="Arial"/>
                <w:sz w:val="16"/>
                <w:szCs w:val="16"/>
              </w:rPr>
              <w:t xml:space="preserve">Countercyclical capital buffer </w:t>
            </w:r>
            <w:r w:rsidRPr="00905F29">
              <w:rPr>
                <w:rFonts w:cs="Arial"/>
                <w:sz w:val="12"/>
                <w:szCs w:val="12"/>
              </w:rPr>
              <w:t>(1)</w:t>
            </w:r>
            <w:r w:rsidRPr="00925DE4">
              <w:rPr>
                <w:rFonts w:cs="Arial"/>
                <w:sz w:val="16"/>
                <w:szCs w:val="16"/>
              </w:rPr>
              <w:t> </w:t>
            </w:r>
          </w:p>
        </w:tc>
        <w:tc>
          <w:tcPr>
            <w:tcW w:w="1787" w:type="dxa"/>
            <w:gridSpan w:val="2"/>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0.0%</w:t>
            </w:r>
          </w:p>
        </w:tc>
        <w:tc>
          <w:tcPr>
            <w:tcW w:w="2050" w:type="dxa"/>
            <w:gridSpan w:val="2"/>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0.0%</w:t>
            </w:r>
          </w:p>
        </w:tc>
        <w:tc>
          <w:tcPr>
            <w:tcW w:w="1823" w:type="dxa"/>
            <w:gridSpan w:val="2"/>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0.0%</w:t>
            </w:r>
          </w:p>
        </w:tc>
      </w:tr>
      <w:tr w:rsidR="00130A6D" w:rsidTr="00A26EF7">
        <w:trPr>
          <w:trHeight w:val="193"/>
        </w:trPr>
        <w:tc>
          <w:tcPr>
            <w:tcW w:w="4546" w:type="dxa"/>
            <w:gridSpan w:val="2"/>
            <w:tcBorders>
              <w:bottom w:val="single" w:sz="4" w:space="0" w:color="auto"/>
            </w:tcBorders>
            <w:shd w:val="clear" w:color="auto" w:fill="FFFFFF"/>
            <w:tcMar>
              <w:top w:w="0" w:type="dxa"/>
              <w:left w:w="108" w:type="dxa"/>
              <w:bottom w:w="0" w:type="dxa"/>
              <w:right w:w="108" w:type="dxa"/>
            </w:tcMar>
            <w:vAlign w:val="center"/>
            <w:hideMark/>
          </w:tcPr>
          <w:p w:rsidR="00A26EF7" w:rsidRPr="00925DE4" w:rsidRDefault="004160AB" w:rsidP="00F42E26">
            <w:pPr>
              <w:rPr>
                <w:rFonts w:cs="Arial"/>
                <w:sz w:val="16"/>
                <w:szCs w:val="16"/>
              </w:rPr>
            </w:pPr>
            <w:r>
              <w:rPr>
                <w:rFonts w:cs="Arial"/>
                <w:sz w:val="16"/>
                <w:szCs w:val="16"/>
              </w:rPr>
              <w:t xml:space="preserve">G-SIB buffer </w:t>
            </w:r>
            <w:r w:rsidRPr="00905F29">
              <w:rPr>
                <w:rFonts w:cs="Arial"/>
                <w:sz w:val="12"/>
                <w:szCs w:val="12"/>
              </w:rPr>
              <w:t>(2)</w:t>
            </w:r>
          </w:p>
        </w:tc>
        <w:tc>
          <w:tcPr>
            <w:tcW w:w="1787" w:type="dxa"/>
            <w:gridSpan w:val="2"/>
            <w:tcBorders>
              <w:bottom w:val="single" w:sz="4" w:space="0" w:color="auto"/>
            </w:tcBorders>
            <w:tcMar>
              <w:top w:w="0" w:type="dxa"/>
              <w:left w:w="108" w:type="dxa"/>
              <w:bottom w:w="0" w:type="dxa"/>
              <w:right w:w="108" w:type="dxa"/>
            </w:tcMar>
            <w:vAlign w:val="center"/>
          </w:tcPr>
          <w:p w:rsidR="00A26EF7" w:rsidRPr="00A26EF7" w:rsidRDefault="004160AB" w:rsidP="00A26EF7">
            <w:pPr>
              <w:ind w:left="1470"/>
              <w:rPr>
                <w:rFonts w:eastAsia="Times New Roman" w:cs="Arial"/>
                <w:b/>
                <w:sz w:val="16"/>
                <w:szCs w:val="16"/>
              </w:rPr>
            </w:pPr>
            <w:r>
              <w:rPr>
                <w:rFonts w:eastAsia="Times New Roman" w:cs="Arial"/>
                <w:b/>
                <w:sz w:val="16"/>
                <w:szCs w:val="16"/>
              </w:rPr>
              <w:t>-</w:t>
            </w:r>
          </w:p>
        </w:tc>
        <w:tc>
          <w:tcPr>
            <w:tcW w:w="644" w:type="dxa"/>
            <w:tcBorders>
              <w:bottom w:val="single" w:sz="4" w:space="0" w:color="auto"/>
            </w:tcBorders>
            <w:tcMar>
              <w:top w:w="0" w:type="dxa"/>
              <w:left w:w="108" w:type="dxa"/>
              <w:bottom w:w="0" w:type="dxa"/>
              <w:right w:w="108" w:type="dxa"/>
            </w:tcMar>
            <w:vAlign w:val="center"/>
          </w:tcPr>
          <w:p w:rsidR="00A26EF7" w:rsidRPr="008163DE" w:rsidRDefault="00A26EF7" w:rsidP="00F42E26">
            <w:pPr>
              <w:rPr>
                <w:rFonts w:eastAsia="Times New Roman" w:cs="Arial"/>
                <w:b/>
                <w:sz w:val="16"/>
                <w:szCs w:val="16"/>
              </w:rPr>
            </w:pPr>
          </w:p>
        </w:tc>
        <w:tc>
          <w:tcPr>
            <w:tcW w:w="1406" w:type="dxa"/>
            <w:tcBorders>
              <w:bottom w:val="single" w:sz="4" w:space="0" w:color="auto"/>
            </w:tcBorders>
            <w:tcMar>
              <w:top w:w="0" w:type="dxa"/>
              <w:left w:w="108" w:type="dxa"/>
              <w:bottom w:w="0" w:type="dxa"/>
              <w:right w:w="108" w:type="dxa"/>
            </w:tcMar>
            <w:vAlign w:val="center"/>
          </w:tcPr>
          <w:p w:rsidR="00A26EF7" w:rsidRPr="008163DE" w:rsidRDefault="004160AB" w:rsidP="00E71C73">
            <w:pPr>
              <w:jc w:val="right"/>
              <w:rPr>
                <w:rFonts w:eastAsia="Times New Roman" w:cs="Arial"/>
                <w:b/>
                <w:sz w:val="16"/>
                <w:szCs w:val="16"/>
              </w:rPr>
            </w:pPr>
            <w:r>
              <w:rPr>
                <w:rFonts w:eastAsia="Times New Roman" w:cs="Arial"/>
                <w:b/>
                <w:sz w:val="16"/>
                <w:szCs w:val="16"/>
              </w:rPr>
              <w:t>-</w:t>
            </w:r>
          </w:p>
        </w:tc>
        <w:tc>
          <w:tcPr>
            <w:tcW w:w="1823" w:type="dxa"/>
            <w:gridSpan w:val="2"/>
            <w:tcBorders>
              <w:bottom w:val="single" w:sz="4" w:space="0" w:color="auto"/>
            </w:tcBorders>
            <w:tcMar>
              <w:top w:w="0" w:type="dxa"/>
              <w:left w:w="108" w:type="dxa"/>
              <w:bottom w:w="0" w:type="dxa"/>
              <w:right w:w="108" w:type="dxa"/>
            </w:tcMar>
            <w:vAlign w:val="center"/>
          </w:tcPr>
          <w:p w:rsidR="00A26EF7" w:rsidRPr="008163DE" w:rsidRDefault="004160AB" w:rsidP="00E71C73">
            <w:pPr>
              <w:jc w:val="right"/>
              <w:rPr>
                <w:rFonts w:eastAsia="Times New Roman" w:cs="Arial"/>
                <w:b/>
                <w:sz w:val="16"/>
                <w:szCs w:val="16"/>
              </w:rPr>
            </w:pPr>
            <w:r>
              <w:rPr>
                <w:rFonts w:eastAsia="Times New Roman" w:cs="Arial"/>
                <w:b/>
                <w:sz w:val="16"/>
                <w:szCs w:val="16"/>
              </w:rPr>
              <w:t>-</w:t>
            </w:r>
          </w:p>
        </w:tc>
      </w:tr>
      <w:tr w:rsidR="00130A6D" w:rsidTr="00A26EF7">
        <w:trPr>
          <w:trHeight w:val="193"/>
        </w:trPr>
        <w:tc>
          <w:tcPr>
            <w:tcW w:w="4546" w:type="dxa"/>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A26EF7" w:rsidRPr="00925DE4" w:rsidRDefault="004160AB" w:rsidP="00F42E26">
            <w:pPr>
              <w:rPr>
                <w:rFonts w:cs="Arial"/>
                <w:bCs/>
                <w:sz w:val="16"/>
                <w:szCs w:val="16"/>
              </w:rPr>
            </w:pPr>
            <w:r>
              <w:rPr>
                <w:rFonts w:cs="Arial"/>
                <w:bCs/>
                <w:sz w:val="16"/>
                <w:szCs w:val="16"/>
              </w:rPr>
              <w:t xml:space="preserve">MDA Threshold </w:t>
            </w:r>
            <w:r w:rsidRPr="00D81729">
              <w:rPr>
                <w:rFonts w:cs="Arial"/>
                <w:bCs/>
                <w:sz w:val="12"/>
                <w:szCs w:val="12"/>
              </w:rPr>
              <w:t>(3)</w:t>
            </w:r>
          </w:p>
        </w:tc>
        <w:tc>
          <w:tcPr>
            <w:tcW w:w="1787" w:type="dxa"/>
            <w:gridSpan w:val="2"/>
            <w:tcBorders>
              <w:top w:val="single" w:sz="4" w:space="0" w:color="auto"/>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8.9%</w:t>
            </w:r>
          </w:p>
        </w:tc>
        <w:tc>
          <w:tcPr>
            <w:tcW w:w="644" w:type="dxa"/>
            <w:tcBorders>
              <w:top w:val="single" w:sz="4" w:space="0" w:color="auto"/>
              <w:bottom w:val="single" w:sz="4" w:space="0" w:color="auto"/>
            </w:tcBorders>
            <w:tcMar>
              <w:top w:w="0" w:type="dxa"/>
              <w:left w:w="108" w:type="dxa"/>
              <w:bottom w:w="0" w:type="dxa"/>
              <w:right w:w="108" w:type="dxa"/>
            </w:tcMar>
            <w:vAlign w:val="center"/>
          </w:tcPr>
          <w:p w:rsidR="00A26EF7" w:rsidRPr="008163DE" w:rsidRDefault="00A26EF7" w:rsidP="00F42E26">
            <w:pPr>
              <w:rPr>
                <w:rFonts w:eastAsia="Times New Roman" w:cs="Arial"/>
                <w:b/>
                <w:sz w:val="16"/>
                <w:szCs w:val="16"/>
              </w:rPr>
            </w:pPr>
          </w:p>
        </w:tc>
        <w:tc>
          <w:tcPr>
            <w:tcW w:w="1406" w:type="dxa"/>
            <w:tcBorders>
              <w:top w:val="single" w:sz="4" w:space="0" w:color="auto"/>
              <w:bottom w:val="single" w:sz="4" w:space="0" w:color="auto"/>
            </w:tcBorders>
            <w:tcMar>
              <w:top w:w="0" w:type="dxa"/>
              <w:left w:w="108" w:type="dxa"/>
              <w:bottom w:w="0" w:type="dxa"/>
              <w:right w:w="108" w:type="dxa"/>
            </w:tcMar>
            <w:vAlign w:val="center"/>
          </w:tcPr>
          <w:p w:rsidR="00A26EF7" w:rsidRPr="008163DE" w:rsidRDefault="004160AB" w:rsidP="00E71C73">
            <w:pPr>
              <w:jc w:val="right"/>
              <w:rPr>
                <w:rFonts w:eastAsia="Times New Roman" w:cs="Arial"/>
                <w:b/>
                <w:sz w:val="16"/>
                <w:szCs w:val="16"/>
              </w:rPr>
            </w:pPr>
            <w:proofErr w:type="spellStart"/>
            <w:r>
              <w:rPr>
                <w:rFonts w:eastAsia="Times New Roman" w:cs="Arial"/>
                <w:b/>
                <w:sz w:val="16"/>
                <w:szCs w:val="16"/>
              </w:rPr>
              <w:t>na</w:t>
            </w:r>
            <w:proofErr w:type="spellEnd"/>
          </w:p>
        </w:tc>
        <w:tc>
          <w:tcPr>
            <w:tcW w:w="417" w:type="dxa"/>
            <w:tcBorders>
              <w:top w:val="single" w:sz="4" w:space="0" w:color="auto"/>
              <w:bottom w:val="single" w:sz="4" w:space="0" w:color="auto"/>
            </w:tcBorders>
            <w:tcMar>
              <w:top w:w="0" w:type="dxa"/>
              <w:left w:w="108" w:type="dxa"/>
              <w:bottom w:w="0" w:type="dxa"/>
              <w:right w:w="108" w:type="dxa"/>
            </w:tcMar>
            <w:vAlign w:val="center"/>
          </w:tcPr>
          <w:p w:rsidR="00A26EF7" w:rsidRPr="008163DE" w:rsidRDefault="00A26EF7" w:rsidP="00F42E26">
            <w:pPr>
              <w:rPr>
                <w:rFonts w:eastAsia="Times New Roman" w:cs="Arial"/>
                <w:b/>
                <w:sz w:val="16"/>
                <w:szCs w:val="16"/>
              </w:rPr>
            </w:pPr>
          </w:p>
        </w:tc>
        <w:tc>
          <w:tcPr>
            <w:tcW w:w="1406" w:type="dxa"/>
            <w:tcBorders>
              <w:top w:val="single" w:sz="4" w:space="0" w:color="auto"/>
              <w:bottom w:val="single" w:sz="4" w:space="0" w:color="auto"/>
            </w:tcBorders>
            <w:tcMar>
              <w:top w:w="0" w:type="dxa"/>
              <w:left w:w="108" w:type="dxa"/>
              <w:bottom w:w="0" w:type="dxa"/>
              <w:right w:w="108" w:type="dxa"/>
            </w:tcMar>
            <w:vAlign w:val="center"/>
          </w:tcPr>
          <w:p w:rsidR="00A26EF7" w:rsidRPr="008163DE" w:rsidRDefault="004160AB" w:rsidP="00E71C73">
            <w:pPr>
              <w:jc w:val="right"/>
              <w:rPr>
                <w:rFonts w:eastAsia="Times New Roman" w:cs="Arial"/>
                <w:b/>
                <w:sz w:val="16"/>
                <w:szCs w:val="16"/>
              </w:rPr>
            </w:pPr>
            <w:proofErr w:type="spellStart"/>
            <w:r>
              <w:rPr>
                <w:rFonts w:eastAsia="Times New Roman" w:cs="Arial"/>
                <w:b/>
                <w:sz w:val="16"/>
                <w:szCs w:val="16"/>
              </w:rPr>
              <w:t>na</w:t>
            </w:r>
            <w:proofErr w:type="spellEnd"/>
          </w:p>
        </w:tc>
      </w:tr>
      <w:tr w:rsidR="00130A6D" w:rsidTr="00A26EF7">
        <w:trPr>
          <w:trHeight w:val="193"/>
        </w:trPr>
        <w:tc>
          <w:tcPr>
            <w:tcW w:w="4546" w:type="dxa"/>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A26EF7" w:rsidRPr="00925DE4" w:rsidRDefault="004160AB" w:rsidP="00F42E26">
            <w:pPr>
              <w:rPr>
                <w:rFonts w:cs="Arial"/>
                <w:bCs/>
                <w:sz w:val="16"/>
                <w:szCs w:val="16"/>
              </w:rPr>
            </w:pPr>
            <w:r w:rsidRPr="00925DE4">
              <w:rPr>
                <w:rFonts w:cs="Arial"/>
                <w:bCs/>
                <w:sz w:val="16"/>
                <w:szCs w:val="16"/>
              </w:rPr>
              <w:t>Subtotal</w:t>
            </w:r>
          </w:p>
        </w:tc>
        <w:tc>
          <w:tcPr>
            <w:tcW w:w="1787" w:type="dxa"/>
            <w:gridSpan w:val="2"/>
            <w:tcBorders>
              <w:top w:val="single" w:sz="4" w:space="0" w:color="auto"/>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8.9%</w:t>
            </w:r>
          </w:p>
        </w:tc>
        <w:tc>
          <w:tcPr>
            <w:tcW w:w="2050" w:type="dxa"/>
            <w:gridSpan w:val="2"/>
            <w:tcBorders>
              <w:top w:val="single" w:sz="4" w:space="0" w:color="auto"/>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11.1%</w:t>
            </w:r>
          </w:p>
        </w:tc>
        <w:tc>
          <w:tcPr>
            <w:tcW w:w="1823" w:type="dxa"/>
            <w:gridSpan w:val="2"/>
            <w:tcBorders>
              <w:top w:val="single" w:sz="4" w:space="0" w:color="auto"/>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13.9%</w:t>
            </w:r>
          </w:p>
        </w:tc>
      </w:tr>
      <w:tr w:rsidR="00130A6D" w:rsidTr="00F42E26">
        <w:trPr>
          <w:trHeight w:val="193"/>
        </w:trPr>
        <w:tc>
          <w:tcPr>
            <w:tcW w:w="4546" w:type="dxa"/>
            <w:gridSpan w:val="2"/>
            <w:tcBorders>
              <w:top w:val="single" w:sz="4" w:space="0" w:color="auto"/>
              <w:bottom w:val="single" w:sz="4" w:space="0" w:color="auto"/>
            </w:tcBorders>
            <w:shd w:val="clear" w:color="auto" w:fill="FFFFFF"/>
            <w:tcMar>
              <w:top w:w="0" w:type="dxa"/>
              <w:left w:w="108" w:type="dxa"/>
              <w:bottom w:w="0" w:type="dxa"/>
              <w:right w:w="108" w:type="dxa"/>
            </w:tcMar>
            <w:vAlign w:val="center"/>
            <w:hideMark/>
          </w:tcPr>
          <w:p w:rsidR="00A26EF7" w:rsidRPr="00925DE4" w:rsidRDefault="004160AB" w:rsidP="00F42E26">
            <w:pPr>
              <w:rPr>
                <w:rFonts w:cs="Arial"/>
                <w:sz w:val="16"/>
                <w:szCs w:val="16"/>
              </w:rPr>
            </w:pPr>
            <w:r>
              <w:rPr>
                <w:rFonts w:cs="Arial"/>
                <w:sz w:val="16"/>
                <w:szCs w:val="16"/>
              </w:rPr>
              <w:t>Capital ratios at 30 September 2020</w:t>
            </w:r>
          </w:p>
        </w:tc>
        <w:tc>
          <w:tcPr>
            <w:tcW w:w="1787" w:type="dxa"/>
            <w:gridSpan w:val="2"/>
            <w:tcBorders>
              <w:top w:val="single" w:sz="4" w:space="0" w:color="auto"/>
              <w:bottom w:val="single" w:sz="4" w:space="0" w:color="auto"/>
            </w:tcBorders>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18.2%</w:t>
            </w:r>
          </w:p>
        </w:tc>
        <w:tc>
          <w:tcPr>
            <w:tcW w:w="2050" w:type="dxa"/>
            <w:gridSpan w:val="2"/>
            <w:tcBorders>
              <w:top w:val="single" w:sz="4" w:space="0" w:color="auto"/>
              <w:bottom w:val="single" w:sz="4" w:space="0" w:color="auto"/>
            </w:tcBorders>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20.5%</w:t>
            </w:r>
          </w:p>
        </w:tc>
        <w:tc>
          <w:tcPr>
            <w:tcW w:w="1823" w:type="dxa"/>
            <w:gridSpan w:val="2"/>
            <w:tcBorders>
              <w:top w:val="single" w:sz="4" w:space="0" w:color="auto"/>
              <w:bottom w:val="single" w:sz="4" w:space="0" w:color="auto"/>
            </w:tcBorders>
            <w:tcMar>
              <w:top w:w="0" w:type="dxa"/>
              <w:left w:w="108" w:type="dxa"/>
              <w:bottom w:w="0" w:type="dxa"/>
              <w:right w:w="108" w:type="dxa"/>
            </w:tcMar>
            <w:vAlign w:val="center"/>
          </w:tcPr>
          <w:p w:rsidR="00A26EF7" w:rsidRPr="008163DE" w:rsidRDefault="004160AB" w:rsidP="00F42E26">
            <w:pPr>
              <w:jc w:val="right"/>
              <w:rPr>
                <w:rFonts w:cs="Arial"/>
                <w:b/>
                <w:sz w:val="16"/>
                <w:szCs w:val="16"/>
              </w:rPr>
            </w:pPr>
            <w:r>
              <w:rPr>
                <w:rFonts w:cs="Arial"/>
                <w:b/>
                <w:sz w:val="16"/>
                <w:szCs w:val="16"/>
              </w:rPr>
              <w:t>23.7%</w:t>
            </w:r>
          </w:p>
        </w:tc>
      </w:tr>
      <w:tr w:rsidR="00130A6D" w:rsidTr="00F42E26">
        <w:trPr>
          <w:trHeight w:val="193"/>
        </w:trPr>
        <w:tc>
          <w:tcPr>
            <w:tcW w:w="4546" w:type="dxa"/>
            <w:gridSpan w:val="2"/>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rsidR="00A26EF7" w:rsidRPr="00925DE4" w:rsidRDefault="004160AB" w:rsidP="00F42E26">
            <w:pPr>
              <w:rPr>
                <w:rFonts w:cs="Arial"/>
                <w:bCs/>
                <w:sz w:val="16"/>
                <w:szCs w:val="16"/>
              </w:rPr>
            </w:pPr>
            <w:r w:rsidRPr="00925DE4">
              <w:rPr>
                <w:rFonts w:cs="Arial"/>
                <w:bCs/>
                <w:sz w:val="16"/>
                <w:szCs w:val="16"/>
              </w:rPr>
              <w:t xml:space="preserve">Headroom </w:t>
            </w:r>
            <w:r w:rsidRPr="00905F29">
              <w:rPr>
                <w:rFonts w:cs="Arial"/>
                <w:sz w:val="12"/>
                <w:szCs w:val="12"/>
              </w:rPr>
              <w:t>(4)</w:t>
            </w:r>
            <w:r w:rsidRPr="00925DE4">
              <w:rPr>
                <w:rFonts w:cs="Arial"/>
                <w:bCs/>
                <w:sz w:val="16"/>
                <w:szCs w:val="16"/>
              </w:rPr>
              <w:t xml:space="preserve"> </w:t>
            </w:r>
          </w:p>
        </w:tc>
        <w:tc>
          <w:tcPr>
            <w:tcW w:w="1787" w:type="dxa"/>
            <w:gridSpan w:val="2"/>
            <w:tcBorders>
              <w:top w:val="single" w:sz="4" w:space="0" w:color="auto"/>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9.3%</w:t>
            </w:r>
          </w:p>
        </w:tc>
        <w:tc>
          <w:tcPr>
            <w:tcW w:w="2050" w:type="dxa"/>
            <w:gridSpan w:val="2"/>
            <w:tcBorders>
              <w:top w:val="single" w:sz="4" w:space="0" w:color="auto"/>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9.4%</w:t>
            </w:r>
          </w:p>
        </w:tc>
        <w:tc>
          <w:tcPr>
            <w:tcW w:w="1823" w:type="dxa"/>
            <w:gridSpan w:val="2"/>
            <w:tcBorders>
              <w:top w:val="single" w:sz="4" w:space="0" w:color="auto"/>
              <w:left w:val="nil"/>
              <w:bottom w:val="single" w:sz="4" w:space="0" w:color="auto"/>
              <w:right w:val="nil"/>
            </w:tcBorders>
            <w:tcMar>
              <w:top w:w="0" w:type="dxa"/>
              <w:left w:w="108" w:type="dxa"/>
              <w:bottom w:w="0" w:type="dxa"/>
              <w:right w:w="108" w:type="dxa"/>
            </w:tcMar>
            <w:vAlign w:val="center"/>
          </w:tcPr>
          <w:p w:rsidR="00A26EF7" w:rsidRPr="008163DE" w:rsidRDefault="004160AB" w:rsidP="00F42E26">
            <w:pPr>
              <w:jc w:val="right"/>
              <w:rPr>
                <w:rFonts w:cs="Arial"/>
                <w:b/>
                <w:bCs/>
                <w:sz w:val="16"/>
                <w:szCs w:val="16"/>
              </w:rPr>
            </w:pPr>
            <w:r>
              <w:rPr>
                <w:rFonts w:cs="Arial"/>
                <w:b/>
                <w:bCs/>
                <w:sz w:val="16"/>
                <w:szCs w:val="16"/>
              </w:rPr>
              <w:t>9.8%</w:t>
            </w:r>
          </w:p>
        </w:tc>
      </w:tr>
      <w:tr w:rsidR="00130A6D" w:rsidTr="00AD2B45">
        <w:trPr>
          <w:trHeight w:val="193"/>
        </w:trPr>
        <w:tc>
          <w:tcPr>
            <w:tcW w:w="1405" w:type="dxa"/>
            <w:tcBorders>
              <w:top w:val="single" w:sz="4" w:space="0" w:color="auto"/>
            </w:tcBorders>
            <w:vAlign w:val="center"/>
            <w:hideMark/>
          </w:tcPr>
          <w:p w:rsidR="00DF45B2" w:rsidRPr="00925DE4" w:rsidRDefault="00DF45B2" w:rsidP="00AD2B45">
            <w:pPr>
              <w:rPr>
                <w:rFonts w:eastAsia="Times New Roman" w:cs="Arial"/>
                <w:sz w:val="16"/>
                <w:szCs w:val="16"/>
              </w:rPr>
            </w:pPr>
          </w:p>
        </w:tc>
        <w:tc>
          <w:tcPr>
            <w:tcW w:w="3141" w:type="dxa"/>
            <w:tcBorders>
              <w:top w:val="single" w:sz="4" w:space="0" w:color="auto"/>
            </w:tcBorders>
            <w:vAlign w:val="center"/>
            <w:hideMark/>
          </w:tcPr>
          <w:p w:rsidR="00DF45B2" w:rsidRPr="00925DE4" w:rsidRDefault="00DF45B2" w:rsidP="00AD2B45">
            <w:pPr>
              <w:rPr>
                <w:rFonts w:eastAsia="Times New Roman" w:cs="Arial"/>
                <w:sz w:val="16"/>
                <w:szCs w:val="16"/>
              </w:rPr>
            </w:pPr>
          </w:p>
        </w:tc>
        <w:tc>
          <w:tcPr>
            <w:tcW w:w="381" w:type="dxa"/>
            <w:tcBorders>
              <w:top w:val="single" w:sz="4" w:space="0" w:color="auto"/>
            </w:tcBorders>
            <w:vAlign w:val="center"/>
            <w:hideMark/>
          </w:tcPr>
          <w:p w:rsidR="00DF45B2" w:rsidRPr="00925DE4" w:rsidRDefault="00DF45B2" w:rsidP="00AD2B45">
            <w:pPr>
              <w:rPr>
                <w:rFonts w:eastAsia="Times New Roman" w:cs="Arial"/>
                <w:sz w:val="16"/>
                <w:szCs w:val="16"/>
              </w:rPr>
            </w:pPr>
          </w:p>
        </w:tc>
        <w:tc>
          <w:tcPr>
            <w:tcW w:w="1406" w:type="dxa"/>
            <w:tcBorders>
              <w:top w:val="single" w:sz="4" w:space="0" w:color="auto"/>
            </w:tcBorders>
            <w:vAlign w:val="center"/>
            <w:hideMark/>
          </w:tcPr>
          <w:p w:rsidR="00DF45B2" w:rsidRPr="00925DE4" w:rsidRDefault="00DF45B2" w:rsidP="00AD2B45">
            <w:pPr>
              <w:rPr>
                <w:rFonts w:eastAsia="Times New Roman" w:cs="Arial"/>
                <w:sz w:val="16"/>
                <w:szCs w:val="16"/>
              </w:rPr>
            </w:pPr>
          </w:p>
        </w:tc>
        <w:tc>
          <w:tcPr>
            <w:tcW w:w="644" w:type="dxa"/>
            <w:tcBorders>
              <w:top w:val="single" w:sz="4" w:space="0" w:color="auto"/>
            </w:tcBorders>
            <w:vAlign w:val="center"/>
            <w:hideMark/>
          </w:tcPr>
          <w:p w:rsidR="00DF45B2" w:rsidRPr="00925DE4" w:rsidRDefault="00DF45B2" w:rsidP="00AD2B45">
            <w:pPr>
              <w:rPr>
                <w:rFonts w:eastAsia="Times New Roman" w:cs="Arial"/>
                <w:sz w:val="16"/>
                <w:szCs w:val="16"/>
              </w:rPr>
            </w:pPr>
          </w:p>
        </w:tc>
        <w:tc>
          <w:tcPr>
            <w:tcW w:w="1406" w:type="dxa"/>
            <w:tcBorders>
              <w:top w:val="single" w:sz="4" w:space="0" w:color="auto"/>
            </w:tcBorders>
            <w:vAlign w:val="center"/>
            <w:hideMark/>
          </w:tcPr>
          <w:p w:rsidR="00DF45B2" w:rsidRPr="00925DE4" w:rsidRDefault="00DF45B2" w:rsidP="00AD2B45">
            <w:pPr>
              <w:rPr>
                <w:rFonts w:eastAsia="Times New Roman" w:cs="Arial"/>
                <w:sz w:val="16"/>
                <w:szCs w:val="16"/>
              </w:rPr>
            </w:pPr>
          </w:p>
        </w:tc>
        <w:tc>
          <w:tcPr>
            <w:tcW w:w="417" w:type="dxa"/>
            <w:tcBorders>
              <w:top w:val="single" w:sz="4" w:space="0" w:color="auto"/>
            </w:tcBorders>
            <w:vAlign w:val="center"/>
            <w:hideMark/>
          </w:tcPr>
          <w:p w:rsidR="00DF45B2" w:rsidRPr="00925DE4" w:rsidRDefault="00DF45B2" w:rsidP="00AD2B45">
            <w:pPr>
              <w:rPr>
                <w:rFonts w:eastAsia="Times New Roman" w:cs="Arial"/>
                <w:sz w:val="16"/>
                <w:szCs w:val="16"/>
              </w:rPr>
            </w:pPr>
          </w:p>
        </w:tc>
        <w:tc>
          <w:tcPr>
            <w:tcW w:w="1406" w:type="dxa"/>
            <w:tcBorders>
              <w:top w:val="single" w:sz="4" w:space="0" w:color="auto"/>
            </w:tcBorders>
            <w:vAlign w:val="center"/>
            <w:hideMark/>
          </w:tcPr>
          <w:p w:rsidR="00DF45B2" w:rsidRPr="00925DE4" w:rsidRDefault="00DF45B2" w:rsidP="00AD2B45">
            <w:pPr>
              <w:rPr>
                <w:rFonts w:eastAsia="Times New Roman" w:cs="Arial"/>
                <w:sz w:val="16"/>
                <w:szCs w:val="16"/>
              </w:rPr>
            </w:pPr>
          </w:p>
        </w:tc>
      </w:tr>
    </w:tbl>
    <w:p w:rsidR="00DF45B2" w:rsidRDefault="004160AB" w:rsidP="00DF45B2">
      <w:pPr>
        <w:pStyle w:val="Normal00"/>
        <w:autoSpaceDE w:val="0"/>
        <w:autoSpaceDN w:val="0"/>
        <w:adjustRightInd w:val="0"/>
        <w:rPr>
          <w:rFonts w:ascii="Arial" w:eastAsia="Calibri" w:hAnsi="Arial" w:cs="Arial"/>
          <w:sz w:val="14"/>
          <w:szCs w:val="14"/>
        </w:rPr>
      </w:pPr>
      <w:r>
        <w:rPr>
          <w:rFonts w:ascii="Arial" w:eastAsia="Calibri" w:hAnsi="Arial" w:cs="Arial"/>
          <w:sz w:val="14"/>
          <w:szCs w:val="14"/>
        </w:rPr>
        <w:t>Notes:</w:t>
      </w:r>
    </w:p>
    <w:tbl>
      <w:tblPr>
        <w:tblW w:w="10597" w:type="dxa"/>
        <w:tblCellMar>
          <w:left w:w="0" w:type="dxa"/>
          <w:right w:w="0" w:type="dxa"/>
        </w:tblCellMar>
        <w:tblLook w:val="04A0" w:firstRow="1" w:lastRow="0" w:firstColumn="1" w:lastColumn="0" w:noHBand="0" w:noVBand="1"/>
      </w:tblPr>
      <w:tblGrid>
        <w:gridCol w:w="392"/>
        <w:gridCol w:w="10205"/>
      </w:tblGrid>
      <w:tr w:rsidR="00130A6D" w:rsidTr="00AD2B45">
        <w:tc>
          <w:tcPr>
            <w:tcW w:w="392" w:type="dxa"/>
            <w:tcMar>
              <w:top w:w="0" w:type="dxa"/>
              <w:left w:w="108" w:type="dxa"/>
              <w:bottom w:w="0" w:type="dxa"/>
              <w:right w:w="108" w:type="dxa"/>
            </w:tcMar>
            <w:hideMark/>
          </w:tcPr>
          <w:p w:rsidR="00DF45B2" w:rsidRPr="00925DE4" w:rsidRDefault="004160AB" w:rsidP="00AD2B45">
            <w:pPr>
              <w:spacing w:line="240" w:lineRule="auto"/>
              <w:rPr>
                <w:rFonts w:cs="Arial"/>
                <w:sz w:val="14"/>
                <w:szCs w:val="14"/>
              </w:rPr>
            </w:pPr>
            <w:r w:rsidRPr="00925DE4">
              <w:rPr>
                <w:rFonts w:cs="Arial"/>
                <w:sz w:val="14"/>
                <w:szCs w:val="14"/>
              </w:rPr>
              <w:t>(1)</w:t>
            </w:r>
          </w:p>
        </w:tc>
        <w:tc>
          <w:tcPr>
            <w:tcW w:w="10205" w:type="dxa"/>
            <w:tcMar>
              <w:top w:w="0" w:type="dxa"/>
              <w:left w:w="108" w:type="dxa"/>
              <w:bottom w:w="0" w:type="dxa"/>
              <w:right w:w="108" w:type="dxa"/>
            </w:tcMar>
            <w:hideMark/>
          </w:tcPr>
          <w:p w:rsidR="00DF45B2" w:rsidRPr="00ED12DA" w:rsidRDefault="004160AB" w:rsidP="00AD2B45">
            <w:pPr>
              <w:autoSpaceDE w:val="0"/>
              <w:autoSpaceDN w:val="0"/>
              <w:spacing w:line="240" w:lineRule="auto"/>
              <w:ind w:left="-113"/>
              <w:rPr>
                <w:color w:val="1F497D"/>
              </w:rPr>
            </w:pPr>
            <w:r w:rsidRPr="00ED12DA">
              <w:rPr>
                <w:rFonts w:cs="Arial"/>
                <w:sz w:val="14"/>
                <w:szCs w:val="14"/>
              </w:rPr>
              <w:t xml:space="preserve">Many countries have announced reductions in their countercyclical capital buffer rates in response to Covid-19. Most notably for NatWest Group, the Financial Policy Committee reduced the UK rate from 1% to 0% effective from 11 March 2020. The CBI also announced a reduction of the Republic of Ireland rate from 1% to 0% effective from 1 April 2020. </w:t>
            </w:r>
          </w:p>
        </w:tc>
      </w:tr>
      <w:tr w:rsidR="00130A6D" w:rsidTr="00AD2B45">
        <w:trPr>
          <w:trHeight w:val="755"/>
        </w:trPr>
        <w:tc>
          <w:tcPr>
            <w:tcW w:w="392" w:type="dxa"/>
            <w:tcMar>
              <w:top w:w="0" w:type="dxa"/>
              <w:left w:w="108" w:type="dxa"/>
              <w:bottom w:w="0" w:type="dxa"/>
              <w:right w:w="108" w:type="dxa"/>
            </w:tcMar>
          </w:tcPr>
          <w:p w:rsidR="00DF45B2" w:rsidRPr="00925DE4" w:rsidRDefault="004160AB" w:rsidP="00AD2B45">
            <w:pPr>
              <w:spacing w:line="240" w:lineRule="auto"/>
              <w:rPr>
                <w:rFonts w:cs="Arial"/>
                <w:sz w:val="14"/>
                <w:szCs w:val="14"/>
              </w:rPr>
            </w:pPr>
            <w:r w:rsidRPr="00925DE4">
              <w:rPr>
                <w:rFonts w:cs="Arial"/>
                <w:sz w:val="14"/>
                <w:szCs w:val="14"/>
              </w:rPr>
              <w:t>(2)</w:t>
            </w:r>
          </w:p>
          <w:p w:rsidR="00DF45B2" w:rsidRDefault="00DF45B2" w:rsidP="00AD2B45">
            <w:pPr>
              <w:spacing w:line="240" w:lineRule="auto"/>
              <w:rPr>
                <w:rFonts w:cs="Arial"/>
                <w:sz w:val="14"/>
                <w:szCs w:val="14"/>
              </w:rPr>
            </w:pPr>
          </w:p>
          <w:p w:rsidR="00DF45B2" w:rsidRPr="00925DE4" w:rsidRDefault="004160AB" w:rsidP="00AD2B45">
            <w:pPr>
              <w:spacing w:line="240" w:lineRule="auto"/>
              <w:rPr>
                <w:rFonts w:cs="Arial"/>
                <w:sz w:val="14"/>
                <w:szCs w:val="14"/>
              </w:rPr>
            </w:pPr>
            <w:r w:rsidRPr="00925DE4">
              <w:rPr>
                <w:rFonts w:cs="Arial"/>
                <w:sz w:val="14"/>
                <w:szCs w:val="14"/>
              </w:rPr>
              <w:t>(3)</w:t>
            </w:r>
          </w:p>
          <w:p w:rsidR="00DF45B2" w:rsidRPr="00925DE4" w:rsidRDefault="00DF45B2" w:rsidP="00AD2B45">
            <w:pPr>
              <w:spacing w:line="240" w:lineRule="auto"/>
              <w:rPr>
                <w:rFonts w:cs="Arial"/>
                <w:sz w:val="14"/>
                <w:szCs w:val="14"/>
              </w:rPr>
            </w:pPr>
          </w:p>
          <w:p w:rsidR="00DF45B2" w:rsidRPr="00925DE4" w:rsidRDefault="004160AB" w:rsidP="00AD2B45">
            <w:pPr>
              <w:spacing w:line="240" w:lineRule="auto"/>
              <w:rPr>
                <w:rFonts w:cs="Arial"/>
                <w:sz w:val="14"/>
                <w:szCs w:val="14"/>
              </w:rPr>
            </w:pPr>
            <w:r w:rsidRPr="00925DE4">
              <w:rPr>
                <w:rFonts w:cs="Arial"/>
                <w:sz w:val="14"/>
                <w:szCs w:val="14"/>
              </w:rPr>
              <w:t>(4)</w:t>
            </w:r>
          </w:p>
        </w:tc>
        <w:tc>
          <w:tcPr>
            <w:tcW w:w="10205" w:type="dxa"/>
            <w:tcMar>
              <w:top w:w="0" w:type="dxa"/>
              <w:left w:w="108" w:type="dxa"/>
              <w:bottom w:w="0" w:type="dxa"/>
              <w:right w:w="108" w:type="dxa"/>
            </w:tcMar>
            <w:hideMark/>
          </w:tcPr>
          <w:p w:rsidR="00DF45B2" w:rsidRPr="00925DE4" w:rsidRDefault="004160AB" w:rsidP="00AD2B45">
            <w:pPr>
              <w:autoSpaceDE w:val="0"/>
              <w:autoSpaceDN w:val="0"/>
              <w:spacing w:line="240" w:lineRule="auto"/>
              <w:ind w:left="-113"/>
              <w:rPr>
                <w:rFonts w:cs="Arial"/>
                <w:sz w:val="14"/>
                <w:szCs w:val="14"/>
              </w:rPr>
            </w:pPr>
            <w:r w:rsidRPr="00925DE4">
              <w:rPr>
                <w:rFonts w:cs="Arial"/>
                <w:sz w:val="14"/>
                <w:szCs w:val="14"/>
              </w:rPr>
              <w:t>In November 2018 the Financial Stability Board announced that NatWest Group is no longer a G-SIB. From 1 January 2020, NatWest Group was released from this global buffer requirement.</w:t>
            </w:r>
          </w:p>
          <w:p w:rsidR="00DF45B2" w:rsidRPr="00925DE4" w:rsidRDefault="004160AB" w:rsidP="00AD2B45">
            <w:pPr>
              <w:autoSpaceDE w:val="0"/>
              <w:autoSpaceDN w:val="0"/>
              <w:spacing w:line="240" w:lineRule="auto"/>
              <w:ind w:left="-113"/>
              <w:rPr>
                <w:rFonts w:cs="Arial"/>
                <w:sz w:val="14"/>
                <w:szCs w:val="14"/>
              </w:rPr>
            </w:pPr>
            <w:r>
              <w:rPr>
                <w:rFonts w:cs="Arial"/>
                <w:sz w:val="14"/>
                <w:szCs w:val="14"/>
              </w:rPr>
              <w:t>The prevailing combined buffer requirements for NatWest Group equate to the aggregate of the capital conservation buffer and countercyclical buffer. The PRA informed a revised Pillar 2A requirement on a nominal capital basis effective from 5 October 2020 which results in an implied 9.1% MDA.</w:t>
            </w:r>
          </w:p>
          <w:p w:rsidR="00DF45B2" w:rsidRPr="00925DE4" w:rsidRDefault="004160AB" w:rsidP="00AD2B45">
            <w:pPr>
              <w:autoSpaceDE w:val="0"/>
              <w:autoSpaceDN w:val="0"/>
              <w:spacing w:line="240" w:lineRule="auto"/>
              <w:ind w:left="-113"/>
              <w:rPr>
                <w:rFonts w:cs="Arial"/>
                <w:sz w:val="14"/>
                <w:szCs w:val="14"/>
              </w:rPr>
            </w:pPr>
            <w:r>
              <w:rPr>
                <w:rFonts w:cs="Arial"/>
                <w:sz w:val="14"/>
                <w:szCs w:val="14"/>
              </w:rPr>
              <w:t>The headroom does not reflect excess distributable capital and may vary over time.</w:t>
            </w:r>
          </w:p>
        </w:tc>
      </w:tr>
    </w:tbl>
    <w:p w:rsidR="006D648E" w:rsidRPr="00755E72" w:rsidRDefault="006D648E" w:rsidP="006D648E">
      <w:pPr>
        <w:rPr>
          <w:sz w:val="10"/>
          <w:szCs w:val="10"/>
        </w:rPr>
      </w:pPr>
    </w:p>
    <w:p w:rsidR="00132D6A" w:rsidRDefault="004160AB" w:rsidP="006D648E">
      <w:pPr>
        <w:rPr>
          <w:rFonts w:eastAsia="Times New Roman" w:cs="Arial"/>
          <w:sz w:val="20"/>
          <w:szCs w:val="20"/>
        </w:rPr>
      </w:pPr>
      <w:r>
        <w:rPr>
          <w:rFonts w:cs="Arial"/>
          <w:sz w:val="20"/>
          <w:szCs w:val="20"/>
        </w:rPr>
        <w:br w:type="page"/>
      </w:r>
    </w:p>
    <w:p w:rsidR="006D648E" w:rsidRPr="000D481F" w:rsidRDefault="004160AB" w:rsidP="006D648E">
      <w:pPr>
        <w:pStyle w:val="Normal200"/>
        <w:ind w:right="98"/>
        <w:rPr>
          <w:rFonts w:eastAsia="Calibri"/>
          <w:b/>
          <w:color w:val="42145F"/>
          <w:sz w:val="18"/>
          <w:szCs w:val="20"/>
        </w:rPr>
      </w:pPr>
      <w:r w:rsidRPr="000D481F">
        <w:rPr>
          <w:rFonts w:eastAsia="Calibri"/>
          <w:b/>
          <w:color w:val="42145F"/>
          <w:sz w:val="18"/>
          <w:szCs w:val="20"/>
        </w:rPr>
        <w:lastRenderedPageBreak/>
        <w:t>Capital and risk management</w:t>
      </w:r>
    </w:p>
    <w:p w:rsidR="00DF45B2" w:rsidRPr="000D481F" w:rsidRDefault="004160AB" w:rsidP="00DF45B2">
      <w:pPr>
        <w:pStyle w:val="Heading2"/>
        <w:rPr>
          <w:rFonts w:eastAsia="Times New Roman" w:cs="Arial"/>
          <w:b/>
          <w:bCs w:val="0"/>
          <w:color w:val="5E10B1"/>
          <w:szCs w:val="20"/>
          <w:lang w:eastAsia="ja-JP"/>
        </w:rPr>
      </w:pPr>
      <w:r w:rsidRPr="000D481F">
        <w:rPr>
          <w:rFonts w:eastAsia="Times New Roman" w:cs="Arial"/>
          <w:b/>
          <w:bCs w:val="0"/>
          <w:color w:val="5E10B1"/>
          <w:szCs w:val="20"/>
          <w:lang w:eastAsia="ja-JP"/>
        </w:rPr>
        <w:t xml:space="preserve">Capital, liquidity and funding risk </w:t>
      </w:r>
      <w:r w:rsidRPr="000D481F">
        <w:rPr>
          <w:rFonts w:eastAsia="Times New Roman" w:cs="Arial"/>
          <w:bCs w:val="0"/>
          <w:color w:val="5E10B1"/>
          <w:szCs w:val="20"/>
          <w:lang w:eastAsia="ja-JP"/>
        </w:rPr>
        <w:t>continued</w:t>
      </w:r>
    </w:p>
    <w:p w:rsidR="006D648E" w:rsidRPr="000D481F" w:rsidRDefault="004160AB" w:rsidP="006D648E">
      <w:pPr>
        <w:pStyle w:val="Heading2"/>
        <w:spacing w:line="240" w:lineRule="auto"/>
        <w:rPr>
          <w:rFonts w:eastAsia="Times New Roman" w:cs="Arial"/>
          <w:bCs w:val="0"/>
          <w:color w:val="5E10B1"/>
          <w:szCs w:val="20"/>
          <w:lang w:eastAsia="ja-JP"/>
        </w:rPr>
      </w:pPr>
      <w:r w:rsidRPr="000D481F">
        <w:rPr>
          <w:rFonts w:eastAsia="Times New Roman" w:cs="Arial"/>
          <w:bCs w:val="0"/>
          <w:color w:val="5E10B1"/>
          <w:szCs w:val="20"/>
          <w:lang w:eastAsia="ja-JP"/>
        </w:rPr>
        <w:t>Capital and leverage ratios</w:t>
      </w:r>
    </w:p>
    <w:p w:rsidR="00132D6A" w:rsidRPr="000D481F" w:rsidRDefault="004160AB" w:rsidP="003E2518">
      <w:pPr>
        <w:spacing w:line="240" w:lineRule="auto"/>
        <w:rPr>
          <w:lang w:eastAsia="ja-JP"/>
        </w:rPr>
      </w:pPr>
      <w:r w:rsidRPr="000D481F">
        <w:rPr>
          <w:lang w:eastAsia="ja-JP"/>
        </w:rPr>
        <w:t xml:space="preserve">The table below sets out the key capital and leverage ratios. </w:t>
      </w:r>
    </w:p>
    <w:tbl>
      <w:tblPr>
        <w:tblStyle w:val="table"/>
        <w:tblW w:w="10140" w:type="dxa"/>
        <w:tblInd w:w="5" w:type="dxa"/>
        <w:tblCellMar>
          <w:left w:w="0" w:type="dxa"/>
          <w:right w:w="0" w:type="dxa"/>
        </w:tblCellMar>
        <w:tblLook w:val="05E0" w:firstRow="1" w:lastRow="1" w:firstColumn="1" w:lastColumn="1" w:noHBand="0" w:noVBand="1"/>
      </w:tblPr>
      <w:tblGrid>
        <w:gridCol w:w="6660"/>
        <w:gridCol w:w="1260"/>
        <w:gridCol w:w="1110"/>
        <w:gridCol w:w="1118"/>
      </w:tblGrid>
      <w:tr w:rsidR="00130A6D">
        <w:trPr>
          <w:trHeight w:val="195"/>
        </w:trPr>
        <w:tc>
          <w:tcPr>
            <w:tcW w:w="666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c>
          <w:tcPr>
            <w:tcW w:w="3480" w:type="dxa"/>
            <w:gridSpan w:val="3"/>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center"/>
              <w:rPr>
                <w:rFonts w:eastAsia="Arial" w:cs="Arial"/>
                <w:b/>
                <w:bCs/>
                <w:color w:val="5E10B1"/>
                <w:sz w:val="16"/>
                <w:szCs w:val="16"/>
              </w:rPr>
            </w:pPr>
            <w:r>
              <w:rPr>
                <w:rStyle w:val="font8600"/>
              </w:rPr>
              <w:t xml:space="preserve">CRR basis </w:t>
            </w:r>
            <w:r>
              <w:rPr>
                <w:rStyle w:val="font87"/>
              </w:rPr>
              <w:t>(1)</w:t>
            </w:r>
          </w:p>
        </w:tc>
      </w:tr>
      <w:tr w:rsidR="00130A6D">
        <w:trPr>
          <w:trHeight w:val="195"/>
        </w:trPr>
        <w:tc>
          <w:tcPr>
            <w:tcW w:w="666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c>
          <w:tcPr>
            <w:tcW w:w="126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195"/>
        </w:trPr>
        <w:tc>
          <w:tcPr>
            <w:tcW w:w="666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rPr>
                <w:rFonts w:eastAsia="Arial" w:cs="Arial"/>
                <w:b/>
                <w:bCs/>
                <w:color w:val="5E10B1"/>
                <w:sz w:val="16"/>
                <w:szCs w:val="16"/>
              </w:rPr>
            </w:pPr>
            <w:r>
              <w:rPr>
                <w:rFonts w:eastAsia="Arial" w:cs="Arial"/>
                <w:b/>
                <w:bCs/>
                <w:color w:val="5E10B1"/>
                <w:sz w:val="16"/>
                <w:szCs w:val="16"/>
              </w:rPr>
              <w:t>Capital adequacy ratios</w:t>
            </w:r>
          </w:p>
        </w:tc>
        <w:tc>
          <w:tcPr>
            <w:tcW w:w="126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6660" w:type="dxa"/>
            <w:tcBorders>
              <w:top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CET1 (%)</w:t>
            </w:r>
          </w:p>
        </w:tc>
        <w:tc>
          <w:tcPr>
            <w:tcW w:w="1260" w:type="dxa"/>
            <w:tcBorders>
              <w:top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18.2</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17.2</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16.2</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Tier 1 (%)</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20.5</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19.4</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18.5</w:t>
            </w:r>
          </w:p>
        </w:tc>
      </w:tr>
      <w:tr w:rsidR="00130A6D">
        <w:trPr>
          <w:trHeight w:val="195"/>
        </w:trPr>
        <w:tc>
          <w:tcPr>
            <w:tcW w:w="6660" w:type="dxa"/>
            <w:tcBorders>
              <w:bottom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Total (%)</w:t>
            </w:r>
          </w:p>
        </w:tc>
        <w:tc>
          <w:tcPr>
            <w:tcW w:w="1260" w:type="dxa"/>
            <w:tcBorders>
              <w:bottom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23.7</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22.5</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21.2</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26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b/>
                <w:bCs/>
                <w:color w:val="5E10B1"/>
                <w:sz w:val="16"/>
                <w:szCs w:val="16"/>
              </w:rPr>
            </w:pPr>
            <w:r>
              <w:rPr>
                <w:rFonts w:eastAsia="Arial" w:cs="Arial"/>
                <w:b/>
                <w:bCs/>
                <w:color w:val="5E10B1"/>
                <w:sz w:val="16"/>
                <w:szCs w:val="16"/>
              </w:rPr>
              <w:t>Capital</w:t>
            </w:r>
          </w:p>
        </w:tc>
        <w:tc>
          <w:tcPr>
            <w:tcW w:w="126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r>
      <w:tr w:rsidR="00130A6D">
        <w:trPr>
          <w:trHeight w:val="195"/>
        </w:trPr>
        <w:tc>
          <w:tcPr>
            <w:tcW w:w="6660" w:type="dxa"/>
            <w:tcBorders>
              <w:top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Tangible equity</w:t>
            </w:r>
          </w:p>
        </w:tc>
        <w:tc>
          <w:tcPr>
            <w:tcW w:w="1260" w:type="dxa"/>
            <w:tcBorders>
              <w:top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32,093</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32,006</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32,371</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260" w:type="dxa"/>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Expected loss less impairment provisions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(167)</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Prudential valuation adjustment</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(341)</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(370)</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(431)</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Deferred tax assets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(835)</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(844)</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(757)</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(154)</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(244)</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(118)</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Pension fund assets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(590)</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(588)</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(474)</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Cash flow hedging reserve</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(341)</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(35)</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Foreseeable ordinary and special dividends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(968)</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Foreseeable charges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ascii="Times New Roman" w:eastAsia="Times New Roman" w:hAnsi="Times New Roman" w:cs="Times New Roman"/>
                <w:b/>
                <w:bCs/>
                <w:color w:val="000000"/>
                <w:sz w:val="16"/>
                <w:szCs w:val="16"/>
              </w:rPr>
              <w:t xml:space="preserve">                       </w:t>
            </w:r>
            <w:r>
              <w:rPr>
                <w:rFonts w:eastAsia="Arial" w:cs="Arial"/>
                <w:b/>
                <w:bCs/>
                <w:color w:val="000000"/>
                <w:sz w:val="16"/>
                <w:szCs w:val="16"/>
              </w:rPr>
              <w:t> -</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(365)</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Adjustments under IFRS 9 transitional arrangements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1,719</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1,578</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6660" w:type="dxa"/>
            <w:tcBorders>
              <w:bottom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Other deductions</w:t>
            </w:r>
          </w:p>
        </w:tc>
        <w:tc>
          <w:tcPr>
            <w:tcW w:w="1260" w:type="dxa"/>
            <w:tcBorders>
              <w:bottom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5E10B1"/>
                <w:sz w:val="16"/>
                <w:szCs w:val="16"/>
              </w:rPr>
            </w:pPr>
            <w:r>
              <w:rPr>
                <w:rFonts w:eastAsia="Arial" w:cs="Arial"/>
                <w:color w:val="5E10B1"/>
                <w:sz w:val="16"/>
                <w:szCs w:val="16"/>
              </w:rPr>
              <w:t>Total deductions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(501)</w:t>
            </w:r>
          </w:p>
        </w:tc>
        <w:tc>
          <w:tcPr>
            <w:tcW w:w="111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(809)</w:t>
            </w:r>
          </w:p>
        </w:tc>
        <w:tc>
          <w:tcPr>
            <w:tcW w:w="111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(3,317)</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260" w:type="dxa"/>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8" w:type="dxa"/>
            <w:tcBorders>
              <w:top w:val="single" w:sz="6" w:space="0" w:color="000000"/>
              <w:left w:val="single" w:sz="6" w:space="0" w:color="000000"/>
            </w:tcBorders>
            <w:shd w:val="clear" w:color="auto" w:fill="FFFFFF"/>
            <w:tcMar>
              <w:top w:w="0" w:type="dxa"/>
              <w:left w:w="8"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CET1 capital</w:t>
            </w:r>
          </w:p>
        </w:tc>
        <w:tc>
          <w:tcPr>
            <w:tcW w:w="1260" w:type="dxa"/>
            <w:tcBorders>
              <w:top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31,592</w:t>
            </w:r>
          </w:p>
        </w:tc>
        <w:tc>
          <w:tcPr>
            <w:tcW w:w="111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31,197</w:t>
            </w:r>
          </w:p>
        </w:tc>
        <w:tc>
          <w:tcPr>
            <w:tcW w:w="1118" w:type="dxa"/>
            <w:tcBorders>
              <w:top w:val="single" w:sz="6" w:space="0" w:color="000000"/>
              <w:right w:val="single" w:sz="6" w:space="0" w:color="000000"/>
            </w:tcBorders>
            <w:shd w:val="clear" w:color="auto" w:fill="FFFFFF"/>
            <w:noWrap/>
            <w:tcMar>
              <w:top w:w="0" w:type="dxa"/>
              <w:left w:w="5" w:type="dxa"/>
              <w:bottom w:w="0" w:type="dxa"/>
              <w:right w:w="8"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29,054</w:t>
            </w:r>
          </w:p>
        </w:tc>
      </w:tr>
      <w:tr w:rsidR="00130A6D">
        <w:trPr>
          <w:trHeight w:val="195"/>
        </w:trPr>
        <w:tc>
          <w:tcPr>
            <w:tcW w:w="6668" w:type="dxa"/>
            <w:tcBorders>
              <w:left w:val="single" w:sz="6" w:space="0" w:color="000000"/>
              <w:bottom w:val="single" w:sz="6" w:space="0" w:color="000000"/>
            </w:tcBorders>
            <w:shd w:val="clear" w:color="auto" w:fill="FFFFFF"/>
            <w:tcMar>
              <w:top w:w="0" w:type="dxa"/>
              <w:left w:w="8"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AT1 capital</w:t>
            </w:r>
          </w:p>
        </w:tc>
        <w:tc>
          <w:tcPr>
            <w:tcW w:w="1260" w:type="dxa"/>
            <w:tcBorders>
              <w:bottom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3,990</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3,990</w:t>
            </w:r>
          </w:p>
        </w:tc>
        <w:tc>
          <w:tcPr>
            <w:tcW w:w="1118" w:type="dxa"/>
            <w:tcBorders>
              <w:bottom w:val="single" w:sz="6" w:space="0" w:color="000000"/>
              <w:right w:val="single" w:sz="6" w:space="0" w:color="000000"/>
            </w:tcBorders>
            <w:shd w:val="clear" w:color="auto" w:fill="FFFFFF"/>
            <w:noWrap/>
            <w:tcMar>
              <w:top w:w="0" w:type="dxa"/>
              <w:left w:w="5" w:type="dxa"/>
              <w:bottom w:w="0" w:type="dxa"/>
              <w:right w:w="8"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4,051</w:t>
            </w:r>
          </w:p>
        </w:tc>
      </w:tr>
      <w:tr w:rsidR="00130A6D">
        <w:trPr>
          <w:trHeight w:val="195"/>
        </w:trPr>
        <w:tc>
          <w:tcPr>
            <w:tcW w:w="6660" w:type="dxa"/>
            <w:tcBorders>
              <w:top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Tier 1 capital</w:t>
            </w:r>
          </w:p>
        </w:tc>
        <w:tc>
          <w:tcPr>
            <w:tcW w:w="1260" w:type="dxa"/>
            <w:tcBorders>
              <w:top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35,582</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35,187</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33,105</w:t>
            </w:r>
          </w:p>
        </w:tc>
      </w:tr>
      <w:tr w:rsidR="00130A6D">
        <w:trPr>
          <w:trHeight w:val="195"/>
        </w:trPr>
        <w:tc>
          <w:tcPr>
            <w:tcW w:w="6660" w:type="dxa"/>
            <w:tcBorders>
              <w:bottom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Tier 2 capital</w:t>
            </w:r>
          </w:p>
        </w:tc>
        <w:tc>
          <w:tcPr>
            <w:tcW w:w="1260" w:type="dxa"/>
            <w:tcBorders>
              <w:bottom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5,710</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5,596</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4,900</w:t>
            </w:r>
          </w:p>
        </w:tc>
      </w:tr>
      <w:tr w:rsidR="00130A6D">
        <w:trPr>
          <w:trHeight w:val="45"/>
        </w:trPr>
        <w:tc>
          <w:tcPr>
            <w:tcW w:w="6660" w:type="dxa"/>
            <w:shd w:val="clear" w:color="auto" w:fill="FFFFFF"/>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260" w:type="dxa"/>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5E10B1"/>
                <w:sz w:val="16"/>
                <w:szCs w:val="16"/>
              </w:rPr>
            </w:pPr>
            <w:r>
              <w:rPr>
                <w:rFonts w:eastAsia="Arial" w:cs="Arial"/>
                <w:color w:val="5E10B1"/>
                <w:sz w:val="16"/>
                <w:szCs w:val="16"/>
              </w:rPr>
              <w:t>Total regulatory capital</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41,292</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40,783</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38,005</w:t>
            </w:r>
          </w:p>
        </w:tc>
      </w:tr>
      <w:tr w:rsidR="00130A6D">
        <w:trPr>
          <w:trHeight w:val="195"/>
        </w:trPr>
        <w:tc>
          <w:tcPr>
            <w:tcW w:w="6660" w:type="dxa"/>
            <w:tcBorders>
              <w:top w:val="single" w:sz="6" w:space="0" w:color="000000"/>
            </w:tcBorders>
            <w:shd w:val="clear" w:color="auto" w:fill="FFFFFF"/>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260" w:type="dxa"/>
            <w:tcBorders>
              <w:top w:val="single" w:sz="6" w:space="0" w:color="000000"/>
            </w:tcBorders>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tcBorders>
              <w:bottom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b/>
                <w:bCs/>
                <w:color w:val="5E10B1"/>
                <w:sz w:val="16"/>
                <w:szCs w:val="16"/>
              </w:rPr>
            </w:pPr>
            <w:r>
              <w:rPr>
                <w:rFonts w:eastAsia="Arial" w:cs="Arial"/>
                <w:b/>
                <w:bCs/>
                <w:color w:val="5E10B1"/>
                <w:sz w:val="16"/>
                <w:szCs w:val="16"/>
              </w:rPr>
              <w:t>Risk-weighted assets</w:t>
            </w:r>
          </w:p>
        </w:tc>
        <w:tc>
          <w:tcPr>
            <w:tcW w:w="1260" w:type="dxa"/>
            <w:tcBorders>
              <w:bottom w:val="single" w:sz="6" w:space="0" w:color="000000"/>
            </w:tcBorders>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Credit risk</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132,387</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135,657</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131,012</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Counterparty credit risk</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10,170</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12,354</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12,631</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Market risk</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9,399</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11,517</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12,930</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Operational risk</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21,930</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21,930</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22,599</w:t>
            </w:r>
          </w:p>
        </w:tc>
      </w:tr>
      <w:tr w:rsidR="00130A6D">
        <w:trPr>
          <w:trHeight w:val="195"/>
        </w:trPr>
        <w:tc>
          <w:tcPr>
            <w:tcW w:w="66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5E10B1"/>
                <w:sz w:val="16"/>
                <w:szCs w:val="16"/>
              </w:rPr>
            </w:pPr>
            <w:r>
              <w:rPr>
                <w:rFonts w:eastAsia="Arial" w:cs="Arial"/>
                <w:color w:val="5E10B1"/>
                <w:sz w:val="16"/>
                <w:szCs w:val="16"/>
              </w:rPr>
              <w:t>Total RWAs</w:t>
            </w: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173,886</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181,458</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179,172</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260" w:type="dxa"/>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b/>
                <w:bCs/>
                <w:color w:val="5E10B1"/>
                <w:sz w:val="16"/>
                <w:szCs w:val="16"/>
              </w:rPr>
            </w:pPr>
            <w:r>
              <w:rPr>
                <w:rFonts w:eastAsia="Arial" w:cs="Arial"/>
                <w:b/>
                <w:bCs/>
                <w:color w:val="5E10B1"/>
                <w:sz w:val="16"/>
                <w:szCs w:val="16"/>
              </w:rPr>
              <w:t>Leverage</w:t>
            </w:r>
          </w:p>
        </w:tc>
        <w:tc>
          <w:tcPr>
            <w:tcW w:w="1260" w:type="dxa"/>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tcBorders>
              <w:top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Cash and balances at central banks</w:t>
            </w:r>
          </w:p>
        </w:tc>
        <w:tc>
          <w:tcPr>
            <w:tcW w:w="1260" w:type="dxa"/>
            <w:tcBorders>
              <w:top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106,388</w:t>
            </w:r>
          </w:p>
        </w:tc>
        <w:tc>
          <w:tcPr>
            <w:tcW w:w="111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100,281</w:t>
            </w:r>
          </w:p>
        </w:tc>
        <w:tc>
          <w:tcPr>
            <w:tcW w:w="111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77,858</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Trading assets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70,820</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72,402</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76,745</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Derivatives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164,311</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183,419</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150,029</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Financial assets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424,291</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428,040</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399,088</w:t>
            </w:r>
          </w:p>
        </w:tc>
      </w:tr>
      <w:tr w:rsidR="00130A6D">
        <w:trPr>
          <w:trHeight w:val="195"/>
        </w:trPr>
        <w:tc>
          <w:tcPr>
            <w:tcW w:w="6660" w:type="dxa"/>
            <w:tcBorders>
              <w:bottom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Other assets</w:t>
            </w:r>
          </w:p>
        </w:tc>
        <w:tc>
          <w:tcPr>
            <w:tcW w:w="1260" w:type="dxa"/>
            <w:tcBorders>
              <w:bottom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25,751</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22,745</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19,319</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5E10B1"/>
                <w:sz w:val="16"/>
                <w:szCs w:val="16"/>
              </w:rPr>
            </w:pPr>
            <w:r>
              <w:rPr>
                <w:rFonts w:eastAsia="Arial" w:cs="Arial"/>
                <w:color w:val="5E10B1"/>
                <w:sz w:val="16"/>
                <w:szCs w:val="16"/>
              </w:rPr>
              <w:t>Total assets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791,561</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806,887</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723,039</w:t>
            </w:r>
          </w:p>
        </w:tc>
      </w:tr>
      <w:tr w:rsidR="00130A6D">
        <w:trPr>
          <w:trHeight w:val="90"/>
        </w:trPr>
        <w:tc>
          <w:tcPr>
            <w:tcW w:w="6660" w:type="dxa"/>
            <w:shd w:val="clear" w:color="auto" w:fill="FFFFFF"/>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260" w:type="dxa"/>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Derivatives</w:t>
            </w:r>
          </w:p>
        </w:tc>
        <w:tc>
          <w:tcPr>
            <w:tcW w:w="1260" w:type="dxa"/>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  - netting and variation margin</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(172,389)</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(194,387)</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(157,778)</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  - potential future exposures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40,439</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44,019</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43,004</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Securities financing transactions gross up</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1,193</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1,312</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2,224</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 xml:space="preserve">Other </w:t>
            </w:r>
            <w:proofErr w:type="gramStart"/>
            <w:r>
              <w:rPr>
                <w:rFonts w:eastAsia="Arial" w:cs="Arial"/>
                <w:color w:val="000000"/>
                <w:sz w:val="16"/>
                <w:szCs w:val="16"/>
              </w:rPr>
              <w:t>off balance</w:t>
            </w:r>
            <w:proofErr w:type="gramEnd"/>
            <w:r>
              <w:rPr>
                <w:rFonts w:eastAsia="Arial" w:cs="Arial"/>
                <w:color w:val="000000"/>
                <w:sz w:val="16"/>
                <w:szCs w:val="16"/>
              </w:rPr>
              <w:t xml:space="preserve"> sheet items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44,650</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43,484</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42,363</w:t>
            </w: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Regulatory deductions and other adjustments</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(17,167)</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(14,579)</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(8,978)</w:t>
            </w:r>
          </w:p>
        </w:tc>
      </w:tr>
      <w:tr w:rsidR="00130A6D">
        <w:trPr>
          <w:trHeight w:val="195"/>
        </w:trPr>
        <w:tc>
          <w:tcPr>
            <w:tcW w:w="66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 xml:space="preserve">CRR leverage exposure </w:t>
            </w: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688,287</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686,736</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643,874</w:t>
            </w:r>
          </w:p>
        </w:tc>
      </w:tr>
      <w:tr w:rsidR="00130A6D">
        <w:trPr>
          <w:trHeight w:val="60"/>
        </w:trPr>
        <w:tc>
          <w:tcPr>
            <w:tcW w:w="6660" w:type="dxa"/>
            <w:shd w:val="clear" w:color="auto" w:fill="FFFFFF"/>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260" w:type="dxa"/>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Style w:val="font40"/>
              </w:rPr>
              <w:t>CRR leverage ratio %</w:t>
            </w:r>
            <w:r>
              <w:rPr>
                <w:rStyle w:val="font69"/>
              </w:rPr>
              <w:t> (2)</w:t>
            </w:r>
          </w:p>
        </w:tc>
        <w:tc>
          <w:tcPr>
            <w:tcW w:w="1260" w:type="dxa"/>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5.2</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5.1</w:t>
            </w:r>
          </w:p>
        </w:tc>
        <w:tc>
          <w:tcPr>
            <w:tcW w:w="1110" w:type="dxa"/>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5.1</w:t>
            </w:r>
          </w:p>
        </w:tc>
      </w:tr>
      <w:tr w:rsidR="00130A6D">
        <w:trPr>
          <w:trHeight w:val="195"/>
        </w:trPr>
        <w:tc>
          <w:tcPr>
            <w:tcW w:w="6660" w:type="dxa"/>
            <w:tcBorders>
              <w:top w:val="single" w:sz="6" w:space="0" w:color="000000"/>
            </w:tcBorders>
            <w:shd w:val="clear" w:color="auto" w:fill="FFFFFF"/>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260" w:type="dxa"/>
            <w:tcBorders>
              <w:top w:val="single" w:sz="6" w:space="0" w:color="000000"/>
            </w:tcBorders>
            <w:shd w:val="clear" w:color="auto" w:fill="F4F0E8"/>
            <w:noWrap/>
            <w:tcMar>
              <w:top w:w="0" w:type="dxa"/>
              <w:left w:w="5" w:type="dxa"/>
              <w:bottom w:w="0" w:type="dxa"/>
              <w:right w:w="5" w:type="dxa"/>
            </w:tcMar>
            <w:vAlign w:val="center"/>
            <w:hideMark/>
          </w:tcPr>
          <w:p w:rsidR="00F04E15" w:rsidRDefault="00F04E15">
            <w:pPr>
              <w:spacing w:line="240" w:lineRule="auto"/>
              <w:contextualSpacing/>
              <w:rPr>
                <w:rFonts w:eastAsia="Arial" w:cs="Arial"/>
                <w:b/>
                <w:bCs/>
                <w:color w:val="000000"/>
                <w:sz w:val="16"/>
                <w:szCs w:val="16"/>
              </w:rPr>
            </w:pPr>
          </w:p>
        </w:tc>
        <w:tc>
          <w:tcPr>
            <w:tcW w:w="1110" w:type="dxa"/>
            <w:tcBorders>
              <w:top w:val="single" w:sz="6" w:space="0" w:color="000000"/>
            </w:tcBorders>
            <w:shd w:val="clear" w:color="auto" w:fill="FFFFFF"/>
            <w:noWrap/>
            <w:tcMar>
              <w:top w:w="0" w:type="dxa"/>
              <w:left w:w="5" w:type="dxa"/>
              <w:bottom w:w="0" w:type="dxa"/>
              <w:right w:w="5" w:type="dxa"/>
            </w:tcMar>
            <w:vAlign w:val="center"/>
            <w:hideMark/>
          </w:tcPr>
          <w:p w:rsidR="00F04E15" w:rsidRDefault="00F04E15">
            <w:pPr>
              <w:spacing w:line="240" w:lineRule="auto"/>
              <w:contextualSpacing/>
              <w:rPr>
                <w:rFonts w:eastAsia="Arial" w:cs="Arial"/>
                <w:color w:val="000000"/>
                <w:sz w:val="22"/>
              </w:rPr>
            </w:pP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F04E15" w:rsidRDefault="00F04E15">
            <w:pPr>
              <w:spacing w:line="240" w:lineRule="auto"/>
              <w:contextualSpacing/>
              <w:rPr>
                <w:rFonts w:eastAsia="Arial" w:cs="Arial"/>
                <w:color w:val="000000"/>
                <w:sz w:val="22"/>
              </w:rPr>
            </w:pPr>
          </w:p>
        </w:tc>
      </w:tr>
      <w:tr w:rsidR="00130A6D">
        <w:trPr>
          <w:trHeight w:val="195"/>
        </w:trPr>
        <w:tc>
          <w:tcPr>
            <w:tcW w:w="6660" w:type="dxa"/>
            <w:tcBorders>
              <w:bottom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Fonts w:eastAsia="Arial" w:cs="Arial"/>
                <w:color w:val="000000"/>
                <w:sz w:val="16"/>
                <w:szCs w:val="16"/>
              </w:rPr>
              <w:t>UK leverage exposure</w:t>
            </w:r>
          </w:p>
        </w:tc>
        <w:tc>
          <w:tcPr>
            <w:tcW w:w="1260" w:type="dxa"/>
            <w:tcBorders>
              <w:bottom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576,889</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585,115</w:t>
            </w:r>
          </w:p>
        </w:tc>
        <w:tc>
          <w:tcPr>
            <w:tcW w:w="1110" w:type="dxa"/>
            <w:tcBorders>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570,330</w:t>
            </w:r>
          </w:p>
        </w:tc>
      </w:tr>
      <w:tr w:rsidR="00130A6D">
        <w:trPr>
          <w:trHeight w:val="195"/>
        </w:trPr>
        <w:tc>
          <w:tcPr>
            <w:tcW w:w="66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F04E15" w:rsidRDefault="004160AB">
            <w:pPr>
              <w:spacing w:line="240" w:lineRule="auto"/>
              <w:contextualSpacing/>
              <w:rPr>
                <w:rFonts w:eastAsia="Arial" w:cs="Arial"/>
                <w:color w:val="000000"/>
                <w:sz w:val="16"/>
                <w:szCs w:val="16"/>
              </w:rPr>
            </w:pPr>
            <w:r>
              <w:rPr>
                <w:rStyle w:val="font40"/>
              </w:rPr>
              <w:t>UK leverage ratio %</w:t>
            </w:r>
            <w:r>
              <w:rPr>
                <w:rStyle w:val="font69"/>
              </w:rPr>
              <w:t> (3)</w:t>
            </w: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F04E15" w:rsidRDefault="004160AB">
            <w:pPr>
              <w:spacing w:line="240" w:lineRule="auto"/>
              <w:contextualSpacing/>
              <w:jc w:val="right"/>
              <w:rPr>
                <w:rFonts w:eastAsia="Arial" w:cs="Arial"/>
                <w:color w:val="000000"/>
                <w:sz w:val="16"/>
                <w:szCs w:val="16"/>
              </w:rPr>
            </w:pPr>
            <w:r>
              <w:rPr>
                <w:rFonts w:eastAsia="Arial" w:cs="Arial"/>
                <w:color w:val="000000"/>
                <w:sz w:val="16"/>
                <w:szCs w:val="16"/>
              </w:rPr>
              <w:t>5.8</w:t>
            </w:r>
          </w:p>
        </w:tc>
      </w:tr>
    </w:tbl>
    <w:p w:rsidR="00132D6A" w:rsidRPr="003E2518" w:rsidRDefault="004160AB" w:rsidP="003E2518">
      <w:pPr>
        <w:pStyle w:val="Normal00"/>
        <w:tabs>
          <w:tab w:val="left" w:pos="2505"/>
        </w:tabs>
        <w:jc w:val="both"/>
        <w:rPr>
          <w:rFonts w:ascii="Arial" w:eastAsiaTheme="minorHAnsi" w:hAnsi="Arial" w:cstheme="minorBidi"/>
          <w:sz w:val="2"/>
          <w:szCs w:val="22"/>
          <w:lang w:eastAsia="ja-JP"/>
        </w:rPr>
      </w:pPr>
      <w:r>
        <w:rPr>
          <w:rFonts w:ascii="Arial" w:eastAsiaTheme="minorHAnsi" w:hAnsi="Arial" w:cstheme="minorBidi"/>
          <w:sz w:val="18"/>
          <w:szCs w:val="22"/>
          <w:lang w:eastAsia="ja-JP"/>
        </w:rPr>
        <w:tab/>
      </w:r>
    </w:p>
    <w:p w:rsidR="00290F8F" w:rsidRPr="00572DEB" w:rsidRDefault="004160AB" w:rsidP="00290F8F">
      <w:pPr>
        <w:pStyle w:val="Normal00"/>
        <w:spacing w:line="288" w:lineRule="auto"/>
        <w:jc w:val="both"/>
        <w:rPr>
          <w:rFonts w:ascii="Arial" w:hAnsi="Arial" w:cs="Arial"/>
          <w:sz w:val="14"/>
          <w:szCs w:val="14"/>
          <w:lang w:eastAsia="ja-JP"/>
        </w:rPr>
      </w:pPr>
      <w:r w:rsidRPr="00572DEB">
        <w:rPr>
          <w:rFonts w:ascii="Arial" w:hAnsi="Arial" w:cs="Arial"/>
          <w:sz w:val="14"/>
          <w:szCs w:val="14"/>
          <w:lang w:eastAsia="ja-JP"/>
        </w:rPr>
        <w:t>Notes:</w:t>
      </w:r>
    </w:p>
    <w:p w:rsidR="00290F8F" w:rsidRPr="009714DF" w:rsidRDefault="004160AB" w:rsidP="00290F8F">
      <w:pPr>
        <w:pStyle w:val="Normal00"/>
        <w:numPr>
          <w:ilvl w:val="0"/>
          <w:numId w:val="10"/>
        </w:numPr>
        <w:rPr>
          <w:rFonts w:ascii="Arial" w:hAnsi="Arial" w:cs="Arial"/>
          <w:b/>
          <w:color w:val="003366"/>
          <w:sz w:val="20"/>
          <w:szCs w:val="20"/>
        </w:rPr>
      </w:pPr>
      <w:r>
        <w:rPr>
          <w:rFonts w:ascii="Arial" w:hAnsi="Arial" w:cs="Arial"/>
          <w:sz w:val="14"/>
          <w:szCs w:val="14"/>
        </w:rPr>
        <w:t>Based on CRR end point including the IFRS 9 transitional adjustment of £1,719 million. Excluding this adjustment, the CET1 ratio would be 17.2%.</w:t>
      </w:r>
    </w:p>
    <w:p w:rsidR="00290F8F" w:rsidRPr="00BB1ED4" w:rsidRDefault="004160AB" w:rsidP="00290F8F">
      <w:pPr>
        <w:pStyle w:val="Normal00"/>
        <w:numPr>
          <w:ilvl w:val="0"/>
          <w:numId w:val="10"/>
        </w:numPr>
        <w:rPr>
          <w:rFonts w:ascii="Arial" w:hAnsi="Arial" w:cs="Arial"/>
          <w:b/>
          <w:color w:val="003366"/>
          <w:sz w:val="20"/>
          <w:szCs w:val="20"/>
        </w:rPr>
      </w:pPr>
      <w:r>
        <w:rPr>
          <w:rFonts w:ascii="Arial" w:hAnsi="Arial" w:cs="Arial"/>
          <w:sz w:val="14"/>
          <w:szCs w:val="14"/>
        </w:rPr>
        <w:t>Presented on CRR end point Tier 1 capital (including IFRS 9 transitional adjustment) and leverage exposure under the CRR Delegated Act. Excluding the IFRS 9 transitional adjustment, the leverage ratio would be 4.9%.</w:t>
      </w:r>
    </w:p>
    <w:p w:rsidR="00290F8F" w:rsidRPr="005C23F0" w:rsidRDefault="004160AB" w:rsidP="00290F8F">
      <w:pPr>
        <w:pStyle w:val="Normal00"/>
        <w:numPr>
          <w:ilvl w:val="0"/>
          <w:numId w:val="10"/>
        </w:numPr>
        <w:spacing w:after="200"/>
      </w:pPr>
      <w:r w:rsidRPr="00096085">
        <w:rPr>
          <w:rFonts w:ascii="Arial" w:hAnsi="Arial" w:cs="Arial"/>
          <w:sz w:val="14"/>
          <w:szCs w:val="14"/>
        </w:rPr>
        <w:t>Presented on CRR end point Tier 1 capital (including IFRS 9 transitional adjustment). The UK leverage ratio excludes central bank claims from the leverage exposure where deposits held are denominated in the same currency and of contractual maturity that is equal or longer than that of the central bank claims. Excluding the IFRS 9 transitional adjustment, the UK leverage ratio would be 5.9%.</w:t>
      </w:r>
    </w:p>
    <w:p w:rsidR="0029601C" w:rsidRPr="000D481F" w:rsidRDefault="004160AB">
      <w:pPr>
        <w:spacing w:after="200"/>
        <w:rPr>
          <w:rFonts w:eastAsia="Calibri" w:cs="Arial"/>
          <w:b/>
          <w:color w:val="42145F"/>
          <w:szCs w:val="20"/>
          <w:lang w:eastAsia="en-GB"/>
        </w:rPr>
      </w:pPr>
      <w:r>
        <w:rPr>
          <w:rFonts w:eastAsia="Calibri"/>
          <w:b/>
          <w:color w:val="42145F"/>
          <w:sz w:val="20"/>
          <w:szCs w:val="20"/>
        </w:rPr>
        <w:br w:type="page"/>
      </w:r>
    </w:p>
    <w:p w:rsidR="006D648E" w:rsidRPr="000D481F" w:rsidRDefault="004160AB" w:rsidP="006D648E">
      <w:pPr>
        <w:pStyle w:val="Normal200"/>
        <w:spacing w:line="276" w:lineRule="auto"/>
        <w:ind w:right="98"/>
        <w:rPr>
          <w:rFonts w:eastAsia="Calibri"/>
          <w:b/>
          <w:color w:val="42145F"/>
          <w:sz w:val="18"/>
          <w:szCs w:val="20"/>
        </w:rPr>
      </w:pPr>
      <w:r w:rsidRPr="000D481F">
        <w:rPr>
          <w:rFonts w:eastAsia="Calibri"/>
          <w:b/>
          <w:color w:val="42145F"/>
          <w:sz w:val="18"/>
          <w:szCs w:val="20"/>
        </w:rPr>
        <w:lastRenderedPageBreak/>
        <w:t>Capital and risk management</w:t>
      </w:r>
    </w:p>
    <w:p w:rsidR="00290F8F" w:rsidRPr="000D481F" w:rsidRDefault="004160AB" w:rsidP="00290F8F">
      <w:pPr>
        <w:pStyle w:val="Heading2"/>
        <w:rPr>
          <w:rFonts w:eastAsia="Times New Roman" w:cs="Arial"/>
          <w:b/>
          <w:bCs w:val="0"/>
          <w:color w:val="5E10B1"/>
          <w:szCs w:val="20"/>
          <w:lang w:eastAsia="ja-JP"/>
        </w:rPr>
      </w:pPr>
      <w:r w:rsidRPr="000D481F">
        <w:rPr>
          <w:rFonts w:eastAsia="Times New Roman" w:cs="Arial"/>
          <w:b/>
          <w:bCs w:val="0"/>
          <w:color w:val="5E10B1"/>
          <w:szCs w:val="20"/>
          <w:lang w:eastAsia="ja-JP"/>
        </w:rPr>
        <w:t xml:space="preserve">Capital, liquidity and funding risk </w:t>
      </w:r>
      <w:r w:rsidRPr="000D481F">
        <w:rPr>
          <w:rFonts w:eastAsia="Times New Roman" w:cs="Arial"/>
          <w:bCs w:val="0"/>
          <w:color w:val="5E10B1"/>
          <w:szCs w:val="20"/>
          <w:lang w:eastAsia="ja-JP"/>
        </w:rPr>
        <w:t>continued</w:t>
      </w:r>
    </w:p>
    <w:p w:rsidR="00290F8F" w:rsidRPr="000D481F" w:rsidRDefault="004160AB" w:rsidP="00290F8F">
      <w:pPr>
        <w:pStyle w:val="Heading30100000"/>
        <w:spacing w:line="276" w:lineRule="auto"/>
        <w:jc w:val="both"/>
        <w:rPr>
          <w:rFonts w:ascii="Arial" w:hAnsi="Arial" w:cs="Arial"/>
          <w:b w:val="0"/>
          <w:bCs w:val="0"/>
          <w:color w:val="5E10B1"/>
          <w:sz w:val="18"/>
          <w:szCs w:val="20"/>
          <w:lang w:eastAsia="en-US"/>
        </w:rPr>
      </w:pPr>
      <w:r w:rsidRPr="000D481F">
        <w:rPr>
          <w:rFonts w:ascii="Arial" w:hAnsi="Arial" w:cs="Arial"/>
          <w:b w:val="0"/>
          <w:bCs w:val="0"/>
          <w:color w:val="5E10B1"/>
          <w:sz w:val="18"/>
          <w:szCs w:val="20"/>
          <w:lang w:eastAsia="en-US"/>
        </w:rPr>
        <w:t xml:space="preserve">Capital flow statement </w:t>
      </w:r>
    </w:p>
    <w:p w:rsidR="00B92218" w:rsidRPr="000D481F" w:rsidRDefault="004160AB" w:rsidP="00290F8F">
      <w:pPr>
        <w:pStyle w:val="Normal00"/>
        <w:spacing w:line="252" w:lineRule="auto"/>
        <w:jc w:val="both"/>
        <w:rPr>
          <w:rFonts w:ascii="Arial" w:hAnsi="Arial" w:cs="Arial"/>
          <w:sz w:val="18"/>
          <w:szCs w:val="20"/>
          <w:lang w:eastAsia="en-US"/>
        </w:rPr>
      </w:pPr>
      <w:r w:rsidRPr="000D481F">
        <w:rPr>
          <w:rFonts w:ascii="Arial" w:hAnsi="Arial" w:cs="Arial"/>
          <w:sz w:val="18"/>
          <w:szCs w:val="20"/>
          <w:lang w:eastAsia="en-US"/>
        </w:rPr>
        <w:t>The table below analyses the movement in CET1, AT1 and Tier 2 capital for the nine months ended 30 September 2020.</w:t>
      </w:r>
    </w:p>
    <w:tbl>
      <w:tblPr>
        <w:tblStyle w:val="table"/>
        <w:tblW w:w="10120" w:type="dxa"/>
        <w:tblInd w:w="5" w:type="dxa"/>
        <w:tblCellMar>
          <w:left w:w="0" w:type="dxa"/>
          <w:right w:w="0" w:type="dxa"/>
        </w:tblCellMar>
        <w:tblLook w:val="05E0" w:firstRow="1" w:lastRow="1" w:firstColumn="1" w:lastColumn="1" w:noHBand="0" w:noVBand="1"/>
      </w:tblPr>
      <w:tblGrid>
        <w:gridCol w:w="5985"/>
        <w:gridCol w:w="1035"/>
        <w:gridCol w:w="1035"/>
        <w:gridCol w:w="1035"/>
        <w:gridCol w:w="1035"/>
      </w:tblGrid>
      <w:tr w:rsidR="00130A6D">
        <w:trPr>
          <w:trHeight w:val="135"/>
        </w:trPr>
        <w:tc>
          <w:tcPr>
            <w:tcW w:w="59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eastAsia="Arial" w:cs="Arial"/>
                <w:color w:val="000000"/>
                <w:sz w:val="22"/>
              </w:rPr>
            </w:pPr>
          </w:p>
        </w:tc>
        <w:tc>
          <w:tcPr>
            <w:tcW w:w="10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CET1</w:t>
            </w:r>
          </w:p>
        </w:tc>
        <w:tc>
          <w:tcPr>
            <w:tcW w:w="10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AT1</w:t>
            </w:r>
          </w:p>
        </w:tc>
        <w:tc>
          <w:tcPr>
            <w:tcW w:w="10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Tier 2</w:t>
            </w:r>
          </w:p>
        </w:tc>
        <w:tc>
          <w:tcPr>
            <w:tcW w:w="10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w:t>
            </w:r>
          </w:p>
        </w:tc>
      </w:tr>
      <w:tr w:rsidR="00130A6D">
        <w:trPr>
          <w:trHeight w:val="135"/>
        </w:trPr>
        <w:tc>
          <w:tcPr>
            <w:tcW w:w="59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eastAsia="Arial" w:cs="Arial"/>
                <w:color w:val="000000"/>
                <w:sz w:val="22"/>
              </w:rPr>
            </w:pPr>
          </w:p>
        </w:tc>
        <w:tc>
          <w:tcPr>
            <w:tcW w:w="10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0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0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0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r>
      <w:tr w:rsidR="00130A6D">
        <w:trPr>
          <w:trHeight w:val="195"/>
        </w:trPr>
        <w:tc>
          <w:tcPr>
            <w:tcW w:w="598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5E10B1"/>
                <w:sz w:val="16"/>
                <w:szCs w:val="16"/>
              </w:rPr>
            </w:pPr>
            <w:r>
              <w:rPr>
                <w:rFonts w:eastAsia="Arial" w:cs="Arial"/>
                <w:color w:val="5E10B1"/>
                <w:sz w:val="16"/>
                <w:szCs w:val="16"/>
              </w:rPr>
              <w:t>At 1 January 2020</w:t>
            </w:r>
          </w:p>
        </w:tc>
        <w:tc>
          <w:tcPr>
            <w:tcW w:w="103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29,054</w:t>
            </w:r>
          </w:p>
        </w:tc>
        <w:tc>
          <w:tcPr>
            <w:tcW w:w="103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4,051</w:t>
            </w:r>
          </w:p>
        </w:tc>
        <w:tc>
          <w:tcPr>
            <w:tcW w:w="103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4,900</w:t>
            </w:r>
          </w:p>
        </w:tc>
        <w:tc>
          <w:tcPr>
            <w:tcW w:w="103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38,005</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Attributable loss for the period</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(644)</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(644)</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Own credit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Foreign exchange reserve</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415</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415</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FVOCI reserve</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(174)</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(174)</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Goodwill and intangibles deduction</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Deferred tax assets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(78)</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(78)</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Prudential valuation adjustments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90</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90</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Expected loss less impairment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167</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167</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New issues of capital instruments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1,216</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1,654</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2,870</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Redemption of capital instruments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(1,277)</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(751)</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(2,028)</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Net dated subordinated debt/grandfathered instruments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(579)</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(579)</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Foreign exchange movements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(355)</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103</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(252)</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Foreseeable ordinary and special dividends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968</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968</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Foreseeable charges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365</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365</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Adjustment under IFRS 9 transitional arrangements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1,719</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1,719</w:t>
            </w:r>
          </w:p>
        </w:tc>
      </w:tr>
      <w:tr w:rsidR="00130A6D">
        <w:trPr>
          <w:trHeight w:val="195"/>
        </w:trPr>
        <w:tc>
          <w:tcPr>
            <w:tcW w:w="598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Other movements</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79</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383</w:t>
            </w:r>
          </w:p>
        </w:tc>
        <w:tc>
          <w:tcPr>
            <w:tcW w:w="10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462</w:t>
            </w:r>
          </w:p>
        </w:tc>
      </w:tr>
      <w:tr w:rsidR="00130A6D">
        <w:trPr>
          <w:trHeight w:val="195"/>
        </w:trPr>
        <w:tc>
          <w:tcPr>
            <w:tcW w:w="5985"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906C3D" w:rsidRDefault="004160AB">
            <w:pPr>
              <w:spacing w:line="240" w:lineRule="auto"/>
              <w:contextualSpacing/>
              <w:rPr>
                <w:rFonts w:eastAsia="Arial" w:cs="Arial"/>
                <w:b/>
                <w:bCs/>
                <w:color w:val="5E10B1"/>
                <w:sz w:val="16"/>
                <w:szCs w:val="16"/>
              </w:rPr>
            </w:pPr>
            <w:r>
              <w:rPr>
                <w:rFonts w:eastAsia="Arial" w:cs="Arial"/>
                <w:b/>
                <w:bCs/>
                <w:color w:val="5E10B1"/>
                <w:sz w:val="16"/>
                <w:szCs w:val="16"/>
              </w:rPr>
              <w:t>At 30 September 2020</w:t>
            </w:r>
          </w:p>
        </w:tc>
        <w:tc>
          <w:tcPr>
            <w:tcW w:w="103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31,592</w:t>
            </w:r>
          </w:p>
        </w:tc>
        <w:tc>
          <w:tcPr>
            <w:tcW w:w="103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3,990</w:t>
            </w:r>
          </w:p>
        </w:tc>
        <w:tc>
          <w:tcPr>
            <w:tcW w:w="103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5,710</w:t>
            </w:r>
          </w:p>
        </w:tc>
        <w:tc>
          <w:tcPr>
            <w:tcW w:w="103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41,292</w:t>
            </w:r>
          </w:p>
        </w:tc>
      </w:tr>
    </w:tbl>
    <w:p w:rsidR="00132D6A" w:rsidRPr="000D7EF7" w:rsidRDefault="00132D6A" w:rsidP="00132D6A">
      <w:pPr>
        <w:pStyle w:val="Normal00"/>
        <w:spacing w:line="252" w:lineRule="auto"/>
        <w:jc w:val="both"/>
        <w:rPr>
          <w:rFonts w:ascii="Arial" w:hAnsi="Arial" w:cs="Arial"/>
          <w:sz w:val="10"/>
          <w:szCs w:val="10"/>
          <w:lang w:eastAsia="en-US"/>
        </w:rPr>
      </w:pPr>
    </w:p>
    <w:p w:rsidR="00132D6A" w:rsidRPr="000D481F" w:rsidRDefault="004160AB" w:rsidP="00132D6A">
      <w:pPr>
        <w:pStyle w:val="Normal200"/>
        <w:spacing w:line="252" w:lineRule="auto"/>
        <w:ind w:right="98"/>
        <w:rPr>
          <w:color w:val="5E10B1"/>
          <w:sz w:val="18"/>
          <w:szCs w:val="20"/>
          <w:lang w:eastAsia="en-US"/>
        </w:rPr>
      </w:pPr>
      <w:r w:rsidRPr="000D481F">
        <w:rPr>
          <w:color w:val="5E10B1"/>
          <w:sz w:val="18"/>
          <w:szCs w:val="20"/>
          <w:lang w:eastAsia="en-US"/>
        </w:rPr>
        <w:t>Key points</w:t>
      </w:r>
    </w:p>
    <w:tbl>
      <w:tblPr>
        <w:tblW w:w="9825" w:type="dxa"/>
        <w:tblCellMar>
          <w:left w:w="0" w:type="dxa"/>
          <w:right w:w="0" w:type="dxa"/>
        </w:tblCellMar>
        <w:tblLook w:val="01E0" w:firstRow="1" w:lastRow="1" w:firstColumn="1" w:lastColumn="1" w:noHBand="0" w:noVBand="0"/>
      </w:tblPr>
      <w:tblGrid>
        <w:gridCol w:w="9825"/>
      </w:tblGrid>
      <w:tr w:rsidR="00130A6D" w:rsidTr="0094167C">
        <w:tc>
          <w:tcPr>
            <w:tcW w:w="9825" w:type="dxa"/>
          </w:tcPr>
          <w:p w:rsidR="0094167C" w:rsidRDefault="004160AB" w:rsidP="0094167C">
            <w:pPr>
              <w:pStyle w:val="ListParagraph0"/>
              <w:numPr>
                <w:ilvl w:val="0"/>
                <w:numId w:val="11"/>
              </w:numPr>
              <w:spacing w:after="200"/>
            </w:pPr>
            <w:r>
              <w:t xml:space="preserve">NatWest Group has elected to take advantage of the transitional regulatory capital rules in respect of expected credit losses following the adoption of IFRS 9; it had previously had a negligible impact up to Q4 2019. The CRR Covid-19 amendment now requires a full CET1 addback for the movement in stage 1 and stage 2 ECL from 1 January 2020 for the next two years. The IFRS 9 transitional arrangement impact on NatWest Group CET1 regulatory capital at 30 September 2020 is £1,719 million.  </w:t>
            </w:r>
          </w:p>
          <w:p w:rsidR="0094167C" w:rsidRPr="000D481F" w:rsidRDefault="004160AB" w:rsidP="00D30C94">
            <w:pPr>
              <w:pStyle w:val="ListParagraph0"/>
              <w:numPr>
                <w:ilvl w:val="0"/>
                <w:numId w:val="11"/>
              </w:numPr>
              <w:spacing w:after="200"/>
              <w:rPr>
                <w:szCs w:val="20"/>
                <w:lang w:eastAsia="ja-JP"/>
              </w:rPr>
            </w:pPr>
            <w:r>
              <w:t>Foreign exchange movements in CET1 include a £345 million charge in relation to a $2 billion AT1 redemption announcement on 28 June 2020.</w:t>
            </w:r>
          </w:p>
        </w:tc>
      </w:tr>
    </w:tbl>
    <w:p w:rsidR="00730914" w:rsidRDefault="00730914" w:rsidP="006D648E">
      <w:pPr>
        <w:pStyle w:val="Normal200"/>
        <w:spacing w:line="276" w:lineRule="auto"/>
        <w:ind w:right="98"/>
        <w:rPr>
          <w:rFonts w:eastAsia="Calibri"/>
          <w:color w:val="5E10B1"/>
          <w:sz w:val="18"/>
          <w:szCs w:val="20"/>
        </w:rPr>
      </w:pPr>
    </w:p>
    <w:p w:rsidR="00730914" w:rsidRDefault="004160AB">
      <w:pPr>
        <w:spacing w:after="200"/>
        <w:rPr>
          <w:rFonts w:eastAsia="Calibri" w:cs="Arial"/>
          <w:color w:val="5E10B1"/>
          <w:szCs w:val="20"/>
          <w:lang w:eastAsia="en-GB"/>
        </w:rPr>
      </w:pPr>
      <w:r>
        <w:rPr>
          <w:rFonts w:eastAsia="Calibri"/>
          <w:color w:val="5E10B1"/>
          <w:szCs w:val="20"/>
        </w:rPr>
        <w:br w:type="page"/>
      </w:r>
    </w:p>
    <w:p w:rsidR="00730914" w:rsidRPr="000D481F" w:rsidRDefault="004160AB" w:rsidP="00730914">
      <w:pPr>
        <w:pStyle w:val="Normal200"/>
        <w:spacing w:line="276" w:lineRule="auto"/>
        <w:ind w:right="98"/>
        <w:rPr>
          <w:rFonts w:eastAsia="Calibri"/>
          <w:b/>
          <w:color w:val="42145F"/>
          <w:sz w:val="18"/>
          <w:szCs w:val="18"/>
        </w:rPr>
      </w:pPr>
      <w:r w:rsidRPr="000D481F">
        <w:rPr>
          <w:rFonts w:eastAsia="Calibri"/>
          <w:b/>
          <w:color w:val="42145F"/>
          <w:sz w:val="18"/>
          <w:szCs w:val="18"/>
        </w:rPr>
        <w:lastRenderedPageBreak/>
        <w:t>Capital and risk management</w:t>
      </w:r>
    </w:p>
    <w:p w:rsidR="00730914" w:rsidRPr="000D481F" w:rsidRDefault="004160AB" w:rsidP="00730914">
      <w:pPr>
        <w:pStyle w:val="Heading2"/>
        <w:rPr>
          <w:rFonts w:eastAsia="Times New Roman" w:cs="Arial"/>
          <w:bCs w:val="0"/>
          <w:color w:val="5E10B1"/>
          <w:szCs w:val="18"/>
          <w:lang w:eastAsia="ja-JP"/>
        </w:rPr>
      </w:pPr>
      <w:r w:rsidRPr="000D481F">
        <w:rPr>
          <w:rFonts w:eastAsia="Times New Roman" w:cs="Arial"/>
          <w:b/>
          <w:bCs w:val="0"/>
          <w:color w:val="5E10B1"/>
          <w:szCs w:val="18"/>
          <w:lang w:eastAsia="ja-JP"/>
        </w:rPr>
        <w:t xml:space="preserve">Capital, liquidity and funding risk </w:t>
      </w:r>
      <w:r w:rsidRPr="000D481F">
        <w:rPr>
          <w:rFonts w:eastAsia="Times New Roman" w:cs="Arial"/>
          <w:bCs w:val="0"/>
          <w:color w:val="5E10B1"/>
          <w:szCs w:val="18"/>
          <w:lang w:eastAsia="ja-JP"/>
        </w:rPr>
        <w:t>continued</w:t>
      </w:r>
    </w:p>
    <w:p w:rsidR="006D648E" w:rsidRPr="000D481F" w:rsidRDefault="004160AB" w:rsidP="006D648E">
      <w:pPr>
        <w:pStyle w:val="Normal200"/>
        <w:spacing w:line="276" w:lineRule="auto"/>
        <w:ind w:right="98"/>
        <w:rPr>
          <w:rFonts w:eastAsia="Calibri"/>
          <w:color w:val="5E10B1"/>
          <w:sz w:val="18"/>
          <w:szCs w:val="20"/>
        </w:rPr>
      </w:pPr>
      <w:r w:rsidRPr="000D481F">
        <w:rPr>
          <w:rFonts w:eastAsia="Calibri"/>
          <w:color w:val="5E10B1"/>
          <w:sz w:val="18"/>
          <w:szCs w:val="20"/>
        </w:rPr>
        <w:t xml:space="preserve">Risk-weighted assets </w:t>
      </w:r>
    </w:p>
    <w:p w:rsidR="006D648E" w:rsidRPr="000D481F" w:rsidRDefault="004160AB" w:rsidP="006D648E">
      <w:pPr>
        <w:pStyle w:val="Normal00"/>
        <w:spacing w:line="276" w:lineRule="auto"/>
        <w:rPr>
          <w:rFonts w:ascii="Arial" w:hAnsi="Arial" w:cs="Arial"/>
          <w:sz w:val="18"/>
          <w:szCs w:val="20"/>
          <w:lang w:eastAsia="en-US"/>
        </w:rPr>
      </w:pPr>
      <w:r w:rsidRPr="000D481F">
        <w:rPr>
          <w:rFonts w:ascii="Arial" w:hAnsi="Arial" w:cs="Arial"/>
          <w:sz w:val="18"/>
          <w:szCs w:val="20"/>
          <w:lang w:eastAsia="en-US"/>
        </w:rPr>
        <w:t>The table below analyses the movement in RWAs during the period, by key drivers.</w:t>
      </w:r>
    </w:p>
    <w:p w:rsidR="00B92218" w:rsidRPr="001E4EEF" w:rsidRDefault="00B92218" w:rsidP="00B92218">
      <w:pPr>
        <w:pStyle w:val="Normal00"/>
        <w:rPr>
          <w:rFonts w:ascii="Arial" w:hAnsi="Arial" w:cs="Arial"/>
          <w:sz w:val="20"/>
          <w:szCs w:val="20"/>
          <w:lang w:eastAsia="en-US"/>
        </w:rPr>
      </w:pPr>
    </w:p>
    <w:tbl>
      <w:tblPr>
        <w:tblStyle w:val="table"/>
        <w:tblW w:w="10100" w:type="dxa"/>
        <w:tblInd w:w="5" w:type="dxa"/>
        <w:tblCellMar>
          <w:left w:w="0" w:type="dxa"/>
          <w:right w:w="0" w:type="dxa"/>
        </w:tblCellMar>
        <w:tblLook w:val="05E0" w:firstRow="1" w:lastRow="1" w:firstColumn="1" w:lastColumn="1" w:noHBand="0" w:noVBand="1"/>
      </w:tblPr>
      <w:tblGrid>
        <w:gridCol w:w="4185"/>
        <w:gridCol w:w="1185"/>
        <w:gridCol w:w="1185"/>
        <w:gridCol w:w="1185"/>
        <w:gridCol w:w="1185"/>
        <w:gridCol w:w="1185"/>
      </w:tblGrid>
      <w:tr w:rsidR="00130A6D">
        <w:trPr>
          <w:trHeight w:val="135"/>
        </w:trPr>
        <w:tc>
          <w:tcPr>
            <w:tcW w:w="4185" w:type="dxa"/>
            <w:shd w:val="clear" w:color="auto" w:fill="FFFFFF"/>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906C3D" w:rsidRDefault="00906C3D">
            <w:pPr>
              <w:spacing w:line="240" w:lineRule="auto"/>
              <w:contextualSpacing/>
              <w:jc w:val="right"/>
              <w:rPr>
                <w:rFonts w:eastAsia="Arial" w:cs="Arial"/>
                <w:b/>
                <w:bCs/>
                <w:color w:val="000000"/>
                <w:sz w:val="16"/>
                <w:szCs w:val="16"/>
              </w:rPr>
            </w:pP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Counterparty</w:t>
            </w:r>
          </w:p>
        </w:tc>
        <w:tc>
          <w:tcPr>
            <w:tcW w:w="1185" w:type="dxa"/>
            <w:shd w:val="clear" w:color="auto" w:fill="FFFFFF"/>
            <w:noWrap/>
            <w:tcMar>
              <w:top w:w="0" w:type="dxa"/>
              <w:left w:w="5" w:type="dxa"/>
              <w:bottom w:w="0" w:type="dxa"/>
              <w:right w:w="5" w:type="dxa"/>
            </w:tcMar>
            <w:vAlign w:val="bottom"/>
            <w:hideMark/>
          </w:tcPr>
          <w:p w:rsidR="00906C3D" w:rsidRDefault="00906C3D">
            <w:pPr>
              <w:spacing w:line="240" w:lineRule="auto"/>
              <w:contextualSpacing/>
              <w:jc w:val="right"/>
              <w:rPr>
                <w:rFonts w:eastAsia="Arial" w:cs="Arial"/>
                <w:b/>
                <w:bCs/>
                <w:color w:val="000000"/>
                <w:sz w:val="16"/>
                <w:szCs w:val="16"/>
              </w:rPr>
            </w:pP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Operational</w:t>
            </w:r>
          </w:p>
        </w:tc>
        <w:tc>
          <w:tcPr>
            <w:tcW w:w="1185" w:type="dxa"/>
            <w:shd w:val="clear" w:color="auto" w:fill="FFFFFF"/>
            <w:noWrap/>
            <w:tcMar>
              <w:top w:w="0" w:type="dxa"/>
              <w:left w:w="5" w:type="dxa"/>
              <w:bottom w:w="0" w:type="dxa"/>
              <w:right w:w="5" w:type="dxa"/>
            </w:tcMar>
            <w:vAlign w:val="bottom"/>
            <w:hideMark/>
          </w:tcPr>
          <w:p w:rsidR="00906C3D" w:rsidRDefault="00906C3D">
            <w:pPr>
              <w:spacing w:line="240" w:lineRule="auto"/>
              <w:contextualSpacing/>
              <w:jc w:val="right"/>
              <w:rPr>
                <w:rFonts w:eastAsia="Arial" w:cs="Arial"/>
                <w:b/>
                <w:bCs/>
                <w:color w:val="000000"/>
                <w:sz w:val="16"/>
                <w:szCs w:val="16"/>
              </w:rPr>
            </w:pPr>
          </w:p>
        </w:tc>
      </w:tr>
      <w:tr w:rsidR="00130A6D">
        <w:trPr>
          <w:trHeight w:val="135"/>
        </w:trPr>
        <w:tc>
          <w:tcPr>
            <w:tcW w:w="4185" w:type="dxa"/>
            <w:shd w:val="clear" w:color="auto" w:fill="FFFFFF"/>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Credit risk</w:t>
            </w: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credit risk</w:t>
            </w: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Market risk</w:t>
            </w: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risk</w:t>
            </w: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w:t>
            </w:r>
          </w:p>
        </w:tc>
      </w:tr>
      <w:tr w:rsidR="00130A6D">
        <w:trPr>
          <w:trHeight w:val="135"/>
        </w:trPr>
        <w:tc>
          <w:tcPr>
            <w:tcW w:w="4185" w:type="dxa"/>
            <w:shd w:val="clear" w:color="auto" w:fill="FFFFFF"/>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1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r>
      <w:tr w:rsidR="00130A6D">
        <w:trPr>
          <w:trHeight w:val="195"/>
        </w:trPr>
        <w:tc>
          <w:tcPr>
            <w:tcW w:w="4185" w:type="dxa"/>
            <w:tcBorders>
              <w:top w:val="single" w:sz="6" w:space="0" w:color="000000"/>
            </w:tcBorders>
            <w:shd w:val="clear" w:color="auto" w:fill="FFFFFF"/>
            <w:noWrap/>
            <w:tcMar>
              <w:top w:w="0" w:type="dxa"/>
              <w:left w:w="5" w:type="dxa"/>
              <w:bottom w:w="0" w:type="dxa"/>
              <w:right w:w="5" w:type="dxa"/>
            </w:tcMar>
            <w:vAlign w:val="bottom"/>
            <w:hideMark/>
          </w:tcPr>
          <w:p w:rsidR="00906C3D" w:rsidRDefault="004160AB">
            <w:pPr>
              <w:spacing w:line="240" w:lineRule="auto"/>
              <w:contextualSpacing/>
              <w:rPr>
                <w:rFonts w:eastAsia="Arial" w:cs="Arial"/>
                <w:color w:val="5E10B1"/>
                <w:sz w:val="16"/>
                <w:szCs w:val="16"/>
              </w:rPr>
            </w:pPr>
            <w:r>
              <w:rPr>
                <w:rFonts w:eastAsia="Arial" w:cs="Arial"/>
                <w:color w:val="5E10B1"/>
                <w:sz w:val="16"/>
                <w:szCs w:val="16"/>
              </w:rPr>
              <w:t>At 1 January 2020</w:t>
            </w: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131.0</w:t>
            </w: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12.6</w:t>
            </w: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13.0</w:t>
            </w: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22.6</w:t>
            </w: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179.2</w:t>
            </w:r>
          </w:p>
        </w:tc>
      </w:tr>
      <w:tr w:rsidR="00130A6D">
        <w:trPr>
          <w:trHeight w:val="195"/>
        </w:trPr>
        <w:tc>
          <w:tcPr>
            <w:tcW w:w="4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Foreign exchange movement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r>
      <w:tr w:rsidR="00130A6D">
        <w:trPr>
          <w:trHeight w:val="195"/>
        </w:trPr>
        <w:tc>
          <w:tcPr>
            <w:tcW w:w="4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Business movement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(0.7)</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w:t>
            </w:r>
          </w:p>
        </w:tc>
      </w:tr>
      <w:tr w:rsidR="00130A6D">
        <w:trPr>
          <w:trHeight w:val="195"/>
        </w:trPr>
        <w:tc>
          <w:tcPr>
            <w:tcW w:w="4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rPr>
                <w:rFonts w:eastAsia="Arial" w:cs="Arial"/>
                <w:color w:val="000000"/>
                <w:sz w:val="16"/>
                <w:szCs w:val="16"/>
              </w:rPr>
            </w:pPr>
            <w:r>
              <w:rPr>
                <w:rStyle w:val="font2"/>
              </w:rPr>
              <w:t xml:space="preserve">Risk parameter changes </w:t>
            </w:r>
            <w:r>
              <w:rPr>
                <w:rStyle w:val="font300"/>
              </w:rPr>
              <w:t>(1)</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0.3</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w:t>
            </w:r>
          </w:p>
        </w:tc>
      </w:tr>
      <w:tr w:rsidR="00130A6D">
        <w:trPr>
          <w:trHeight w:val="195"/>
        </w:trPr>
        <w:tc>
          <w:tcPr>
            <w:tcW w:w="4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rPr>
                <w:rFonts w:eastAsia="Arial" w:cs="Arial"/>
                <w:color w:val="000000"/>
                <w:sz w:val="16"/>
                <w:szCs w:val="16"/>
              </w:rPr>
            </w:pPr>
            <w:r>
              <w:rPr>
                <w:rStyle w:val="font2"/>
              </w:rPr>
              <w:t xml:space="preserve">Methodology changes </w:t>
            </w:r>
            <w:r>
              <w:rPr>
                <w:rStyle w:val="font300"/>
              </w:rPr>
              <w:t>(2)</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w:t>
            </w:r>
          </w:p>
        </w:tc>
      </w:tr>
      <w:tr w:rsidR="00130A6D">
        <w:trPr>
          <w:trHeight w:val="195"/>
        </w:trPr>
        <w:tc>
          <w:tcPr>
            <w:tcW w:w="4185" w:type="dxa"/>
            <w:shd w:val="clear" w:color="auto" w:fill="FFFFFF"/>
            <w:noWrap/>
            <w:tcMar>
              <w:top w:w="0" w:type="dxa"/>
              <w:left w:w="5" w:type="dxa"/>
              <w:bottom w:w="0" w:type="dxa"/>
              <w:right w:w="5" w:type="dxa"/>
            </w:tcMar>
            <w:vAlign w:val="bottom"/>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Model updates</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0.9</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0.7</w:t>
            </w:r>
          </w:p>
        </w:tc>
      </w:tr>
      <w:tr w:rsidR="00130A6D">
        <w:trPr>
          <w:trHeight w:val="195"/>
        </w:trPr>
        <w:tc>
          <w:tcPr>
            <w:tcW w:w="4185" w:type="dxa"/>
            <w:tcBorders>
              <w:bottom w:val="single" w:sz="6" w:space="0" w:color="000000"/>
            </w:tcBorders>
            <w:shd w:val="clear" w:color="auto" w:fill="FFFFFF"/>
            <w:noWrap/>
            <w:tcMar>
              <w:top w:w="0" w:type="dxa"/>
              <w:left w:w="5" w:type="dxa"/>
              <w:bottom w:w="0" w:type="dxa"/>
              <w:right w:w="5" w:type="dxa"/>
            </w:tcMar>
            <w:vAlign w:val="bottom"/>
            <w:hideMark/>
          </w:tcPr>
          <w:p w:rsidR="00906C3D" w:rsidRDefault="004160AB">
            <w:pPr>
              <w:spacing w:line="240" w:lineRule="auto"/>
              <w:contextualSpacing/>
              <w:rPr>
                <w:rFonts w:eastAsia="Arial" w:cs="Arial"/>
                <w:color w:val="000000"/>
                <w:sz w:val="16"/>
                <w:szCs w:val="16"/>
              </w:rPr>
            </w:pPr>
            <w:r>
              <w:rPr>
                <w:rStyle w:val="font2"/>
              </w:rPr>
              <w:t>Other movements</w:t>
            </w:r>
            <w:r>
              <w:rPr>
                <w:rStyle w:val="font300"/>
              </w:rPr>
              <w:t> (3)</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r>
      <w:tr w:rsidR="00130A6D">
        <w:trPr>
          <w:trHeight w:val="195"/>
        </w:trPr>
        <w:tc>
          <w:tcPr>
            <w:tcW w:w="4185"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906C3D" w:rsidRDefault="004160AB">
            <w:pPr>
              <w:spacing w:line="240" w:lineRule="auto"/>
              <w:contextualSpacing/>
              <w:rPr>
                <w:rFonts w:eastAsia="Arial" w:cs="Arial"/>
                <w:b/>
                <w:bCs/>
                <w:color w:val="5E10B1"/>
                <w:sz w:val="16"/>
                <w:szCs w:val="16"/>
              </w:rPr>
            </w:pPr>
            <w:r>
              <w:rPr>
                <w:rFonts w:eastAsia="Arial" w:cs="Arial"/>
                <w:b/>
                <w:bCs/>
                <w:color w:val="5E10B1"/>
                <w:sz w:val="16"/>
                <w:szCs w:val="16"/>
              </w:rPr>
              <w:t>At 30 September 2020</w:t>
            </w:r>
          </w:p>
        </w:tc>
        <w:tc>
          <w:tcPr>
            <w:tcW w:w="118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132.4</w:t>
            </w:r>
          </w:p>
        </w:tc>
        <w:tc>
          <w:tcPr>
            <w:tcW w:w="118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10.2</w:t>
            </w:r>
          </w:p>
        </w:tc>
        <w:tc>
          <w:tcPr>
            <w:tcW w:w="118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9.4</w:t>
            </w:r>
          </w:p>
        </w:tc>
        <w:tc>
          <w:tcPr>
            <w:tcW w:w="118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21.9</w:t>
            </w:r>
          </w:p>
        </w:tc>
        <w:tc>
          <w:tcPr>
            <w:tcW w:w="118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173.9</w:t>
            </w:r>
          </w:p>
        </w:tc>
      </w:tr>
    </w:tbl>
    <w:p w:rsidR="00730914" w:rsidRDefault="00730914" w:rsidP="00730914">
      <w:pPr>
        <w:pStyle w:val="Normal00"/>
        <w:rPr>
          <w:rFonts w:ascii="Arial" w:hAnsi="Arial" w:cs="Arial"/>
          <w:sz w:val="18"/>
          <w:szCs w:val="18"/>
        </w:rPr>
      </w:pPr>
    </w:p>
    <w:p w:rsidR="00730914" w:rsidRPr="000D481F" w:rsidRDefault="004160AB" w:rsidP="00730914">
      <w:pPr>
        <w:pStyle w:val="Normal00"/>
        <w:rPr>
          <w:rFonts w:ascii="Arial" w:hAnsi="Arial" w:cs="Arial"/>
          <w:sz w:val="18"/>
          <w:szCs w:val="18"/>
        </w:rPr>
      </w:pPr>
      <w:r w:rsidRPr="000D481F">
        <w:rPr>
          <w:rFonts w:ascii="Arial" w:hAnsi="Arial" w:cs="Arial"/>
          <w:sz w:val="18"/>
          <w:szCs w:val="18"/>
        </w:rPr>
        <w:t>The table below analyses segmental RWAs.</w:t>
      </w:r>
    </w:p>
    <w:p w:rsidR="00730914" w:rsidRDefault="00730914" w:rsidP="00730914">
      <w:pPr>
        <w:rPr>
          <w:lang w:eastAsia="ja-JP"/>
        </w:rPr>
      </w:pPr>
    </w:p>
    <w:tbl>
      <w:tblPr>
        <w:tblStyle w:val="table"/>
        <w:tblW w:w="10060" w:type="dxa"/>
        <w:tblInd w:w="5" w:type="dxa"/>
        <w:tblCellMar>
          <w:left w:w="0" w:type="dxa"/>
          <w:right w:w="0" w:type="dxa"/>
        </w:tblCellMar>
        <w:tblLook w:val="05E0" w:firstRow="1" w:lastRow="1" w:firstColumn="1" w:lastColumn="1" w:noHBand="0" w:noVBand="1"/>
      </w:tblPr>
      <w:tblGrid>
        <w:gridCol w:w="2235"/>
        <w:gridCol w:w="1110"/>
        <w:gridCol w:w="960"/>
        <w:gridCol w:w="1110"/>
        <w:gridCol w:w="960"/>
        <w:gridCol w:w="1110"/>
        <w:gridCol w:w="960"/>
        <w:gridCol w:w="885"/>
        <w:gridCol w:w="735"/>
      </w:tblGrid>
      <w:tr w:rsidR="00130A6D">
        <w:trPr>
          <w:trHeight w:val="150"/>
        </w:trPr>
        <w:tc>
          <w:tcPr>
            <w:tcW w:w="223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906C3D" w:rsidRDefault="00906C3D">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906C3D" w:rsidRDefault="00906C3D">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906C3D" w:rsidRDefault="00906C3D">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906C3D" w:rsidRDefault="00906C3D">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906C3D" w:rsidRDefault="00906C3D">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906C3D" w:rsidRDefault="00906C3D">
            <w:pPr>
              <w:spacing w:line="240" w:lineRule="auto"/>
              <w:contextualSpacing/>
              <w:jc w:val="right"/>
              <w:rPr>
                <w:rFonts w:eastAsia="Arial" w:cs="Arial"/>
                <w:b/>
                <w:bCs/>
                <w:color w:val="000000"/>
                <w:sz w:val="16"/>
                <w:szCs w:val="16"/>
              </w:rPr>
            </w:pP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Central</w:t>
            </w:r>
          </w:p>
        </w:tc>
        <w:tc>
          <w:tcPr>
            <w:tcW w:w="73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eastAsia="Arial" w:cs="Arial"/>
                <w:color w:val="000000"/>
                <w:sz w:val="16"/>
                <w:szCs w:val="16"/>
              </w:rPr>
            </w:pPr>
          </w:p>
        </w:tc>
      </w:tr>
      <w:tr w:rsidR="00130A6D">
        <w:trPr>
          <w:trHeight w:val="150"/>
        </w:trPr>
        <w:tc>
          <w:tcPr>
            <w:tcW w:w="223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Retail</w:t>
            </w:r>
          </w:p>
        </w:tc>
        <w:tc>
          <w:tcPr>
            <w:tcW w:w="96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Ulster</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Commercial</w:t>
            </w:r>
          </w:p>
        </w:tc>
        <w:tc>
          <w:tcPr>
            <w:tcW w:w="96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Private</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RBS</w:t>
            </w:r>
          </w:p>
        </w:tc>
        <w:tc>
          <w:tcPr>
            <w:tcW w:w="96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NatWest</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items &amp;</w:t>
            </w:r>
          </w:p>
        </w:tc>
        <w:tc>
          <w:tcPr>
            <w:tcW w:w="73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eastAsia="Arial" w:cs="Arial"/>
                <w:color w:val="000000"/>
                <w:sz w:val="16"/>
                <w:szCs w:val="16"/>
              </w:rPr>
            </w:pPr>
          </w:p>
        </w:tc>
      </w:tr>
      <w:tr w:rsidR="00130A6D">
        <w:trPr>
          <w:trHeight w:val="150"/>
        </w:trPr>
        <w:tc>
          <w:tcPr>
            <w:tcW w:w="223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96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Bank </w:t>
            </w:r>
            <w:proofErr w:type="spellStart"/>
            <w:r>
              <w:rPr>
                <w:rFonts w:eastAsia="Arial" w:cs="Arial"/>
                <w:b/>
                <w:bCs/>
                <w:color w:val="000000"/>
                <w:sz w:val="16"/>
                <w:szCs w:val="16"/>
              </w:rPr>
              <w:t>RoI</w:t>
            </w:r>
            <w:proofErr w:type="spellEnd"/>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96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International</w:t>
            </w:r>
          </w:p>
        </w:tc>
        <w:tc>
          <w:tcPr>
            <w:tcW w:w="96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Markets</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other</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w:t>
            </w:r>
          </w:p>
        </w:tc>
      </w:tr>
      <w:tr w:rsidR="00130A6D">
        <w:trPr>
          <w:trHeight w:val="135"/>
        </w:trPr>
        <w:tc>
          <w:tcPr>
            <w:tcW w:w="223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RWAs</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96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96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96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r>
      <w:tr w:rsidR="00130A6D">
        <w:trPr>
          <w:trHeight w:val="195"/>
        </w:trPr>
        <w:tc>
          <w:tcPr>
            <w:tcW w:w="22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5E10B1"/>
                <w:sz w:val="16"/>
                <w:szCs w:val="16"/>
              </w:rPr>
            </w:pPr>
            <w:r>
              <w:rPr>
                <w:rFonts w:eastAsia="Arial" w:cs="Arial"/>
                <w:color w:val="5E10B1"/>
                <w:sz w:val="16"/>
                <w:szCs w:val="16"/>
              </w:rPr>
              <w:t>At 1 January 2020</w:t>
            </w:r>
          </w:p>
        </w:tc>
        <w:tc>
          <w:tcPr>
            <w:tcW w:w="11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37.8</w:t>
            </w:r>
          </w:p>
        </w:tc>
        <w:tc>
          <w:tcPr>
            <w:tcW w:w="9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13.0</w:t>
            </w:r>
          </w:p>
        </w:tc>
        <w:tc>
          <w:tcPr>
            <w:tcW w:w="11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72.5</w:t>
            </w:r>
          </w:p>
        </w:tc>
        <w:tc>
          <w:tcPr>
            <w:tcW w:w="9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10.1</w:t>
            </w:r>
          </w:p>
        </w:tc>
        <w:tc>
          <w:tcPr>
            <w:tcW w:w="11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6.5</w:t>
            </w:r>
          </w:p>
        </w:tc>
        <w:tc>
          <w:tcPr>
            <w:tcW w:w="9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37.9</w:t>
            </w:r>
          </w:p>
        </w:tc>
        <w:tc>
          <w:tcPr>
            <w:tcW w:w="88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73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179.2</w:t>
            </w:r>
          </w:p>
        </w:tc>
      </w:tr>
      <w:tr w:rsidR="00130A6D">
        <w:trPr>
          <w:trHeight w:val="195"/>
        </w:trPr>
        <w:tc>
          <w:tcPr>
            <w:tcW w:w="223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Foreign exchange movement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0.7</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r>
      <w:tr w:rsidR="00130A6D">
        <w:trPr>
          <w:trHeight w:val="195"/>
        </w:trPr>
        <w:tc>
          <w:tcPr>
            <w:tcW w:w="223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Business movement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(0.3)</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0.6</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0.4</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(0.3)</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w:t>
            </w:r>
          </w:p>
        </w:tc>
      </w:tr>
      <w:tr w:rsidR="00130A6D">
        <w:trPr>
          <w:trHeight w:val="195"/>
        </w:trPr>
        <w:tc>
          <w:tcPr>
            <w:tcW w:w="223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Style w:val="font720"/>
              </w:rPr>
              <w:t>Risk parameter changes </w:t>
            </w:r>
            <w:r>
              <w:rPr>
                <w:rStyle w:val="font16"/>
              </w:rPr>
              <w:t>(1)</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(0.7)</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w:t>
            </w:r>
          </w:p>
        </w:tc>
      </w:tr>
      <w:tr w:rsidR="00130A6D">
        <w:trPr>
          <w:trHeight w:val="195"/>
        </w:trPr>
        <w:tc>
          <w:tcPr>
            <w:tcW w:w="223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Style w:val="font720"/>
              </w:rPr>
              <w:t>Methodology changes </w:t>
            </w:r>
            <w:r>
              <w:rPr>
                <w:rStyle w:val="font16"/>
              </w:rPr>
              <w:t>(2)</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0.3</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w:t>
            </w:r>
          </w:p>
        </w:tc>
      </w:tr>
      <w:tr w:rsidR="00130A6D">
        <w:trPr>
          <w:trHeight w:val="195"/>
        </w:trPr>
        <w:tc>
          <w:tcPr>
            <w:tcW w:w="223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Model updates</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0.7</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0.7</w:t>
            </w:r>
          </w:p>
        </w:tc>
      </w:tr>
      <w:tr w:rsidR="00130A6D">
        <w:trPr>
          <w:trHeight w:val="195"/>
        </w:trPr>
        <w:tc>
          <w:tcPr>
            <w:tcW w:w="2235"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Style w:val="font720"/>
              </w:rPr>
              <w:t>Other movements</w:t>
            </w:r>
            <w:r>
              <w:rPr>
                <w:rStyle w:val="font16"/>
              </w:rPr>
              <w:t> (3)</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0.3</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r>
      <w:tr w:rsidR="00130A6D">
        <w:trPr>
          <w:trHeight w:val="195"/>
        </w:trPr>
        <w:tc>
          <w:tcPr>
            <w:tcW w:w="22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b/>
                <w:bCs/>
                <w:color w:val="5E10B1"/>
                <w:sz w:val="16"/>
                <w:szCs w:val="16"/>
              </w:rPr>
            </w:pPr>
            <w:r>
              <w:rPr>
                <w:rFonts w:eastAsia="Arial" w:cs="Arial"/>
                <w:b/>
                <w:bCs/>
                <w:color w:val="5E10B1"/>
                <w:sz w:val="16"/>
                <w:szCs w:val="16"/>
              </w:rPr>
              <w:t>At 30 September 2020</w:t>
            </w:r>
          </w:p>
        </w:tc>
        <w:tc>
          <w:tcPr>
            <w:tcW w:w="11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36.3</w:t>
            </w:r>
          </w:p>
        </w:tc>
        <w:tc>
          <w:tcPr>
            <w:tcW w:w="9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w:t>
            </w:r>
          </w:p>
        </w:tc>
        <w:tc>
          <w:tcPr>
            <w:tcW w:w="11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76.5</w:t>
            </w:r>
          </w:p>
        </w:tc>
        <w:tc>
          <w:tcPr>
            <w:tcW w:w="9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w:t>
            </w:r>
          </w:p>
        </w:tc>
        <w:tc>
          <w:tcPr>
            <w:tcW w:w="11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9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w:t>
            </w:r>
          </w:p>
        </w:tc>
        <w:tc>
          <w:tcPr>
            <w:tcW w:w="88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73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173.9</w:t>
            </w:r>
          </w:p>
        </w:tc>
      </w:tr>
      <w:tr w:rsidR="00130A6D">
        <w:trPr>
          <w:trHeight w:val="195"/>
        </w:trPr>
        <w:tc>
          <w:tcPr>
            <w:tcW w:w="2235" w:type="dxa"/>
            <w:shd w:val="clear" w:color="auto" w:fill="FFFFFF"/>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1110" w:type="dxa"/>
            <w:shd w:val="clear" w:color="auto" w:fill="F4F0E8"/>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960" w:type="dxa"/>
            <w:shd w:val="clear" w:color="auto" w:fill="F4F0E8"/>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1110" w:type="dxa"/>
            <w:shd w:val="clear" w:color="auto" w:fill="F4F0E8"/>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960" w:type="dxa"/>
            <w:shd w:val="clear" w:color="auto" w:fill="F4F0E8"/>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1110" w:type="dxa"/>
            <w:shd w:val="clear" w:color="auto" w:fill="F4F0E8"/>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960" w:type="dxa"/>
            <w:shd w:val="clear" w:color="auto" w:fill="F4F0E8"/>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885" w:type="dxa"/>
            <w:shd w:val="clear" w:color="auto" w:fill="F4F0E8"/>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c>
          <w:tcPr>
            <w:tcW w:w="735" w:type="dxa"/>
            <w:shd w:val="clear" w:color="auto" w:fill="F4F0E8"/>
            <w:noWrap/>
            <w:tcMar>
              <w:top w:w="0" w:type="dxa"/>
              <w:left w:w="5" w:type="dxa"/>
              <w:bottom w:w="0" w:type="dxa"/>
              <w:right w:w="5" w:type="dxa"/>
            </w:tcMar>
            <w:vAlign w:val="bottom"/>
            <w:hideMark/>
          </w:tcPr>
          <w:p w:rsidR="00906C3D" w:rsidRDefault="00906C3D">
            <w:pPr>
              <w:spacing w:line="240" w:lineRule="auto"/>
              <w:contextualSpacing/>
              <w:rPr>
                <w:rFonts w:eastAsia="Arial" w:cs="Arial"/>
                <w:color w:val="000000"/>
                <w:sz w:val="16"/>
                <w:szCs w:val="16"/>
              </w:rPr>
            </w:pPr>
          </w:p>
        </w:tc>
      </w:tr>
      <w:tr w:rsidR="00130A6D">
        <w:trPr>
          <w:trHeight w:val="195"/>
        </w:trPr>
        <w:tc>
          <w:tcPr>
            <w:tcW w:w="2235" w:type="dxa"/>
            <w:shd w:val="clear" w:color="auto" w:fill="FFFFFF"/>
            <w:noWrap/>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Credit risk</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28.7</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67.6</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9.3</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6.0</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8.4</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132.4</w:t>
            </w:r>
          </w:p>
        </w:tc>
      </w:tr>
      <w:tr w:rsidR="00130A6D">
        <w:trPr>
          <w:trHeight w:val="195"/>
        </w:trPr>
        <w:tc>
          <w:tcPr>
            <w:tcW w:w="2235" w:type="dxa"/>
            <w:shd w:val="clear" w:color="auto" w:fill="FFFFFF"/>
            <w:noWrap/>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Counterparty credit risk</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9.8</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10.2</w:t>
            </w:r>
          </w:p>
        </w:tc>
      </w:tr>
      <w:tr w:rsidR="00130A6D">
        <w:trPr>
          <w:trHeight w:val="195"/>
        </w:trPr>
        <w:tc>
          <w:tcPr>
            <w:tcW w:w="2235" w:type="dxa"/>
            <w:shd w:val="clear" w:color="auto" w:fill="FFFFFF"/>
            <w:noWrap/>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Market risk</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9.0</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9.4</w:t>
            </w:r>
          </w:p>
        </w:tc>
      </w:tr>
      <w:tr w:rsidR="00130A6D">
        <w:trPr>
          <w:trHeight w:val="195"/>
        </w:trPr>
        <w:tc>
          <w:tcPr>
            <w:tcW w:w="2235" w:type="dxa"/>
            <w:shd w:val="clear" w:color="auto" w:fill="FFFFFF"/>
            <w:noWrap/>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Operational risk</w:t>
            </w:r>
          </w:p>
        </w:tc>
        <w:tc>
          <w:tcPr>
            <w:tcW w:w="1110"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7.4</w:t>
            </w:r>
          </w:p>
        </w:tc>
        <w:tc>
          <w:tcPr>
            <w:tcW w:w="960"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1110"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960"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1110"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960"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w:t>
            </w:r>
          </w:p>
        </w:tc>
        <w:tc>
          <w:tcPr>
            <w:tcW w:w="88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735" w:type="dxa"/>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21.9</w:t>
            </w:r>
          </w:p>
        </w:tc>
      </w:tr>
      <w:tr w:rsidR="00130A6D">
        <w:trPr>
          <w:trHeight w:val="195"/>
        </w:trPr>
        <w:tc>
          <w:tcPr>
            <w:tcW w:w="2235"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Total RWAs</w:t>
            </w:r>
          </w:p>
        </w:tc>
        <w:tc>
          <w:tcPr>
            <w:tcW w:w="1110"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36.3</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12.1</w:t>
            </w:r>
          </w:p>
        </w:tc>
        <w:tc>
          <w:tcPr>
            <w:tcW w:w="1110"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76.5</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w:t>
            </w:r>
          </w:p>
        </w:tc>
        <w:tc>
          <w:tcPr>
            <w:tcW w:w="1110"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w:t>
            </w:r>
          </w:p>
        </w:tc>
        <w:tc>
          <w:tcPr>
            <w:tcW w:w="88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73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173.9</w:t>
            </w:r>
          </w:p>
        </w:tc>
      </w:tr>
    </w:tbl>
    <w:p w:rsidR="006D648E" w:rsidRDefault="006D648E" w:rsidP="00730914">
      <w:pPr>
        <w:pStyle w:val="Normal200"/>
        <w:spacing w:line="276" w:lineRule="auto"/>
        <w:ind w:right="98"/>
        <w:rPr>
          <w:rFonts w:eastAsia="Calibri"/>
          <w:color w:val="1F497D"/>
          <w:sz w:val="21"/>
          <w:szCs w:val="21"/>
        </w:rPr>
      </w:pPr>
    </w:p>
    <w:p w:rsidR="006D648E" w:rsidRPr="000605BE" w:rsidRDefault="004160AB" w:rsidP="006D648E">
      <w:pPr>
        <w:pStyle w:val="Normal00"/>
        <w:spacing w:line="276" w:lineRule="auto"/>
        <w:rPr>
          <w:rFonts w:ascii="Arial" w:hAnsi="Arial" w:cs="Arial"/>
          <w:sz w:val="14"/>
          <w:szCs w:val="14"/>
        </w:rPr>
      </w:pPr>
      <w:r>
        <w:rPr>
          <w:rFonts w:ascii="Arial" w:hAnsi="Arial" w:cs="Arial"/>
          <w:sz w:val="14"/>
          <w:szCs w:val="14"/>
        </w:rPr>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12"/>
      </w:tblGrid>
      <w:tr w:rsidR="00130A6D" w:rsidTr="00291BCC">
        <w:tc>
          <w:tcPr>
            <w:tcW w:w="392" w:type="dxa"/>
          </w:tcPr>
          <w:p w:rsidR="006D648E" w:rsidRPr="007455E6" w:rsidRDefault="004160AB" w:rsidP="00291BCC">
            <w:pPr>
              <w:pStyle w:val="Normal200"/>
              <w:spacing w:line="276" w:lineRule="auto"/>
              <w:rPr>
                <w:rFonts w:eastAsia="Calibri"/>
                <w:sz w:val="14"/>
                <w:szCs w:val="14"/>
              </w:rPr>
            </w:pPr>
            <w:r w:rsidRPr="007455E6">
              <w:rPr>
                <w:rFonts w:eastAsia="Calibri"/>
                <w:sz w:val="14"/>
                <w:szCs w:val="14"/>
              </w:rPr>
              <w:t>(1)</w:t>
            </w:r>
          </w:p>
        </w:tc>
        <w:tc>
          <w:tcPr>
            <w:tcW w:w="10028" w:type="dxa"/>
          </w:tcPr>
          <w:p w:rsidR="006D648E" w:rsidRPr="007455E6" w:rsidRDefault="004160AB" w:rsidP="00291BCC">
            <w:pPr>
              <w:pStyle w:val="Normal200"/>
              <w:spacing w:line="276" w:lineRule="auto"/>
              <w:ind w:left="-113"/>
              <w:rPr>
                <w:rFonts w:eastAsia="Calibri"/>
                <w:color w:val="1F497D"/>
                <w:sz w:val="21"/>
                <w:szCs w:val="21"/>
              </w:rPr>
            </w:pPr>
            <w:r>
              <w:rPr>
                <w:sz w:val="14"/>
                <w:szCs w:val="14"/>
              </w:rPr>
              <w:t xml:space="preserve">Risk parameter changes relate to changes in credit quality metrics of customers and counterparties (such as probability of default and loss given default) as well as internal </w:t>
            </w:r>
            <w:proofErr w:type="gramStart"/>
            <w:r>
              <w:rPr>
                <w:sz w:val="14"/>
                <w:szCs w:val="14"/>
              </w:rPr>
              <w:t>ratings based</w:t>
            </w:r>
            <w:proofErr w:type="gramEnd"/>
            <w:r>
              <w:rPr>
                <w:sz w:val="14"/>
                <w:szCs w:val="14"/>
              </w:rPr>
              <w:t xml:space="preserve"> model changes relating to counterparty credit risk in line with European Banking Authority Pillar 3 Guidelines.</w:t>
            </w:r>
          </w:p>
        </w:tc>
      </w:tr>
      <w:tr w:rsidR="00130A6D" w:rsidTr="00291BCC">
        <w:tc>
          <w:tcPr>
            <w:tcW w:w="392" w:type="dxa"/>
          </w:tcPr>
          <w:p w:rsidR="006D648E" w:rsidRPr="007455E6" w:rsidRDefault="004160AB" w:rsidP="00291BCC">
            <w:pPr>
              <w:pStyle w:val="Normal200"/>
              <w:spacing w:line="276" w:lineRule="auto"/>
              <w:rPr>
                <w:rFonts w:eastAsia="Calibri"/>
                <w:sz w:val="14"/>
                <w:szCs w:val="14"/>
              </w:rPr>
            </w:pPr>
            <w:r w:rsidRPr="007455E6">
              <w:rPr>
                <w:rFonts w:eastAsia="Calibri"/>
                <w:sz w:val="14"/>
                <w:szCs w:val="14"/>
              </w:rPr>
              <w:t>(2)</w:t>
            </w:r>
          </w:p>
        </w:tc>
        <w:tc>
          <w:tcPr>
            <w:tcW w:w="10028" w:type="dxa"/>
          </w:tcPr>
          <w:p w:rsidR="006D648E" w:rsidRDefault="004160AB" w:rsidP="00291BCC">
            <w:pPr>
              <w:pStyle w:val="Normal200"/>
              <w:spacing w:line="276" w:lineRule="auto"/>
              <w:ind w:left="-113"/>
              <w:rPr>
                <w:sz w:val="14"/>
                <w:szCs w:val="14"/>
              </w:rPr>
            </w:pPr>
            <w:r>
              <w:rPr>
                <w:sz w:val="14"/>
                <w:szCs w:val="14"/>
              </w:rPr>
              <w:t xml:space="preserve">(a) The new securitisation framework has been fully implemented from 1 January 2020 and all positions have moved to the new framework. </w:t>
            </w:r>
          </w:p>
          <w:p w:rsidR="00780155" w:rsidRPr="000605BE" w:rsidRDefault="004160AB" w:rsidP="00291BCC">
            <w:pPr>
              <w:pStyle w:val="Normal200"/>
              <w:spacing w:line="276" w:lineRule="auto"/>
              <w:ind w:left="-113"/>
              <w:rPr>
                <w:rFonts w:eastAsia="Calibri"/>
                <w:color w:val="1F497D"/>
                <w:sz w:val="21"/>
                <w:szCs w:val="21"/>
              </w:rPr>
            </w:pPr>
            <w:r>
              <w:rPr>
                <w:sz w:val="14"/>
                <w:szCs w:val="14"/>
              </w:rPr>
              <w:t xml:space="preserve">(b) Methodology changes also reflect the CRR Covid-19 amendment which allowed an acceleration of the planned changes to the SME supporting factor and the introduction of an Infrastructure supporting factor. </w:t>
            </w:r>
          </w:p>
        </w:tc>
      </w:tr>
      <w:tr w:rsidR="00130A6D" w:rsidTr="00291BCC">
        <w:tc>
          <w:tcPr>
            <w:tcW w:w="392" w:type="dxa"/>
          </w:tcPr>
          <w:p w:rsidR="006D648E" w:rsidRPr="007455E6" w:rsidRDefault="004160AB" w:rsidP="00291BCC">
            <w:pPr>
              <w:pStyle w:val="Normal200"/>
              <w:spacing w:line="276" w:lineRule="auto"/>
              <w:rPr>
                <w:rFonts w:eastAsia="Calibri"/>
                <w:sz w:val="14"/>
                <w:szCs w:val="14"/>
              </w:rPr>
            </w:pPr>
            <w:r>
              <w:rPr>
                <w:rFonts w:eastAsia="Calibri"/>
                <w:sz w:val="14"/>
                <w:szCs w:val="14"/>
              </w:rPr>
              <w:t>(3)</w:t>
            </w:r>
          </w:p>
        </w:tc>
        <w:tc>
          <w:tcPr>
            <w:tcW w:w="10028" w:type="dxa"/>
          </w:tcPr>
          <w:p w:rsidR="009400C3" w:rsidRDefault="004160AB" w:rsidP="00291BCC">
            <w:pPr>
              <w:pStyle w:val="Normal200"/>
              <w:spacing w:line="276" w:lineRule="auto"/>
              <w:ind w:left="-113"/>
              <w:rPr>
                <w:sz w:val="14"/>
                <w:szCs w:val="14"/>
              </w:rPr>
            </w:pPr>
            <w:r>
              <w:rPr>
                <w:sz w:val="14"/>
                <w:szCs w:val="14"/>
              </w:rPr>
              <w:t>Other movements include:</w:t>
            </w:r>
          </w:p>
          <w:p w:rsidR="006D648E" w:rsidRDefault="004160AB" w:rsidP="00291BCC">
            <w:pPr>
              <w:pStyle w:val="Normal200"/>
              <w:spacing w:line="276" w:lineRule="auto"/>
              <w:ind w:left="-113"/>
              <w:rPr>
                <w:sz w:val="14"/>
                <w:szCs w:val="14"/>
              </w:rPr>
            </w:pPr>
            <w:r>
              <w:rPr>
                <w:sz w:val="14"/>
                <w:szCs w:val="14"/>
              </w:rPr>
              <w:t>(a) The temporary reduction permitted by the PRA to offset the impact of multiplier increases (included in business movement). The offset covers all metrics affected by the multiplier increase, including CVAs.</w:t>
            </w:r>
          </w:p>
          <w:p w:rsidR="00C63597" w:rsidRDefault="004160AB" w:rsidP="00291BCC">
            <w:pPr>
              <w:pStyle w:val="Normal200"/>
              <w:spacing w:line="276" w:lineRule="auto"/>
              <w:ind w:left="-113"/>
              <w:rPr>
                <w:sz w:val="14"/>
                <w:szCs w:val="14"/>
              </w:rPr>
            </w:pPr>
            <w:r>
              <w:rPr>
                <w:sz w:val="14"/>
                <w:szCs w:val="14"/>
              </w:rPr>
              <w:t>(b) Hedging activity on counterparty credit risk in NatWest Markets.</w:t>
            </w:r>
          </w:p>
          <w:p w:rsidR="00C63597" w:rsidRPr="007455E6" w:rsidRDefault="004160AB" w:rsidP="00291BCC">
            <w:pPr>
              <w:pStyle w:val="Normal200"/>
              <w:spacing w:line="276" w:lineRule="auto"/>
              <w:ind w:left="-113"/>
              <w:rPr>
                <w:sz w:val="14"/>
                <w:szCs w:val="14"/>
              </w:rPr>
            </w:pPr>
            <w:r>
              <w:rPr>
                <w:sz w:val="14"/>
                <w:szCs w:val="14"/>
              </w:rPr>
              <w:t>(c) A transfer of Insurance related assets from NatWest Markets to Commercial Banking.</w:t>
            </w:r>
          </w:p>
        </w:tc>
      </w:tr>
      <w:tr w:rsidR="00130A6D" w:rsidTr="00291BCC">
        <w:tc>
          <w:tcPr>
            <w:tcW w:w="392" w:type="dxa"/>
          </w:tcPr>
          <w:p w:rsidR="006D648E" w:rsidRPr="007455E6" w:rsidRDefault="006D648E" w:rsidP="00291BCC">
            <w:pPr>
              <w:pStyle w:val="Normal200"/>
              <w:spacing w:line="276" w:lineRule="auto"/>
              <w:rPr>
                <w:rFonts w:eastAsia="Calibri"/>
                <w:sz w:val="14"/>
                <w:szCs w:val="14"/>
              </w:rPr>
            </w:pPr>
          </w:p>
        </w:tc>
        <w:tc>
          <w:tcPr>
            <w:tcW w:w="10028" w:type="dxa"/>
          </w:tcPr>
          <w:p w:rsidR="006D648E" w:rsidRPr="007455E6" w:rsidRDefault="006D648E" w:rsidP="00291BCC">
            <w:pPr>
              <w:pStyle w:val="Normal200"/>
              <w:spacing w:line="276" w:lineRule="auto"/>
              <w:rPr>
                <w:sz w:val="14"/>
                <w:szCs w:val="14"/>
              </w:rPr>
            </w:pPr>
          </w:p>
        </w:tc>
      </w:tr>
    </w:tbl>
    <w:p w:rsidR="006D648E" w:rsidRPr="000D481F" w:rsidRDefault="004160AB" w:rsidP="006D648E">
      <w:pPr>
        <w:pStyle w:val="Normal200"/>
        <w:spacing w:line="276" w:lineRule="auto"/>
        <w:ind w:right="98"/>
        <w:rPr>
          <w:rFonts w:eastAsiaTheme="minorHAnsi"/>
          <w:color w:val="5E10B1"/>
          <w:sz w:val="18"/>
          <w:szCs w:val="20"/>
          <w:lang w:eastAsia="en-US"/>
        </w:rPr>
      </w:pPr>
      <w:bookmarkStart w:id="17" w:name="_Hlk54336104"/>
      <w:r>
        <w:rPr>
          <w:rFonts w:eastAsiaTheme="minorHAnsi"/>
          <w:color w:val="5E10B1"/>
          <w:sz w:val="18"/>
          <w:szCs w:val="20"/>
          <w:lang w:eastAsia="en-US"/>
        </w:rPr>
        <w:t xml:space="preserve">Key point </w:t>
      </w:r>
    </w:p>
    <w:tbl>
      <w:tblPr>
        <w:tblW w:w="10206" w:type="dxa"/>
        <w:tblCellMar>
          <w:left w:w="0" w:type="dxa"/>
          <w:right w:w="0" w:type="dxa"/>
        </w:tblCellMar>
        <w:tblLook w:val="01E0" w:firstRow="1" w:lastRow="1" w:firstColumn="1" w:lastColumn="1" w:noHBand="0" w:noVBand="0"/>
      </w:tblPr>
      <w:tblGrid>
        <w:gridCol w:w="284"/>
        <w:gridCol w:w="9922"/>
      </w:tblGrid>
      <w:tr w:rsidR="00130A6D" w:rsidTr="00291BCC">
        <w:tc>
          <w:tcPr>
            <w:tcW w:w="284" w:type="dxa"/>
          </w:tcPr>
          <w:p w:rsidR="006D648E" w:rsidRPr="000D481F" w:rsidRDefault="004160AB" w:rsidP="00CC5FA7">
            <w:pPr>
              <w:pStyle w:val="Normal200"/>
              <w:spacing w:line="276" w:lineRule="auto"/>
              <w:ind w:right="98"/>
              <w:jc w:val="both"/>
              <w:rPr>
                <w:rFonts w:eastAsia="SimSun"/>
                <w:sz w:val="18"/>
                <w:szCs w:val="20"/>
                <w:lang w:eastAsia="ja-JP"/>
              </w:rPr>
            </w:pPr>
            <w:r w:rsidRPr="000D481F">
              <w:rPr>
                <w:rFonts w:eastAsia="SimSun"/>
                <w:sz w:val="18"/>
                <w:szCs w:val="20"/>
                <w:lang w:eastAsia="ja-JP"/>
              </w:rPr>
              <w:t>●</w:t>
            </w:r>
          </w:p>
        </w:tc>
        <w:tc>
          <w:tcPr>
            <w:tcW w:w="9922" w:type="dxa"/>
          </w:tcPr>
          <w:p w:rsidR="006D648E" w:rsidRPr="000D481F" w:rsidRDefault="004160AB" w:rsidP="00780155">
            <w:pPr>
              <w:rPr>
                <w:szCs w:val="20"/>
                <w:lang w:eastAsia="ja-JP"/>
              </w:rPr>
            </w:pPr>
            <w:r w:rsidRPr="00D465DB">
              <w:rPr>
                <w:szCs w:val="20"/>
                <w:lang w:eastAsia="ja-JP"/>
              </w:rPr>
              <w:t>Total RWAs decreased by £5.3 billion during the period, mainly reflecting reductions in Market Risk RWAs of £3.6 billion and Counterparty Credit Risk RWAs of £2.4 billion. Operational Risk RWAs reduced by £0.7 billion following the annual recalculation in Q1 2020.  The reduction in Market Risk RWAs was due to movements in Risks-not-in-</w:t>
            </w:r>
            <w:proofErr w:type="spellStart"/>
            <w:r w:rsidRPr="00D465DB">
              <w:rPr>
                <w:szCs w:val="20"/>
                <w:lang w:eastAsia="ja-JP"/>
              </w:rPr>
              <w:t>VaR</w:t>
            </w:r>
            <w:proofErr w:type="spellEnd"/>
            <w:r w:rsidRPr="00D465DB">
              <w:rPr>
                <w:szCs w:val="20"/>
                <w:lang w:eastAsia="ja-JP"/>
              </w:rPr>
              <w:t xml:space="preserve"> (RNIV) and Incremental Risk Charge (IRC) as well as a reduction in non-modelled market risk. The reduction in Counterparty Credit Risk RWAs was driven by hedging activity and trade </w:t>
            </w:r>
            <w:proofErr w:type="spellStart"/>
            <w:r w:rsidRPr="00D465DB">
              <w:rPr>
                <w:szCs w:val="20"/>
                <w:lang w:eastAsia="ja-JP"/>
              </w:rPr>
              <w:t>novations</w:t>
            </w:r>
            <w:proofErr w:type="spellEnd"/>
            <w:r w:rsidRPr="00D465DB">
              <w:rPr>
                <w:szCs w:val="20"/>
                <w:lang w:eastAsia="ja-JP"/>
              </w:rPr>
              <w:t>. There were increases in Credit Risk RWAs of £1.4 billion mainly attributed to increases due to foreign exchange movements of £1.6 billion and model changes of £0.9 billion, which were partially offset by the beneficial CRR changes to supporting factors which have reduced RWAs by c.£1.8 billion. The £0.3 billion increase in Credit Risk RWAs due to risk parameters mainly reflected PD deteriorations for customers in Commercial, partly offset by improved risk metrics for Retail Banking products.</w:t>
            </w:r>
          </w:p>
        </w:tc>
      </w:tr>
      <w:bookmarkEnd w:id="17"/>
    </w:tbl>
    <w:p w:rsidR="00132D6A" w:rsidRDefault="00132D6A" w:rsidP="00132D6A">
      <w:pPr>
        <w:pStyle w:val="Normal200"/>
        <w:spacing w:line="259" w:lineRule="auto"/>
        <w:ind w:right="98"/>
        <w:rPr>
          <w:rFonts w:eastAsiaTheme="minorHAnsi"/>
          <w:color w:val="002060"/>
          <w:sz w:val="20"/>
          <w:szCs w:val="20"/>
          <w:lang w:eastAsia="en-US"/>
        </w:rPr>
      </w:pPr>
    </w:p>
    <w:p w:rsidR="00730914" w:rsidRDefault="004160AB">
      <w:pPr>
        <w:spacing w:after="200"/>
        <w:rPr>
          <w:rFonts w:eastAsia="Calibri" w:cs="Arial"/>
          <w:b/>
          <w:color w:val="42145F"/>
          <w:szCs w:val="18"/>
          <w:lang w:eastAsia="en-GB"/>
        </w:rPr>
      </w:pPr>
      <w:r>
        <w:rPr>
          <w:rFonts w:eastAsia="Calibri"/>
          <w:b/>
          <w:color w:val="42145F"/>
          <w:szCs w:val="18"/>
        </w:rPr>
        <w:br w:type="page"/>
      </w:r>
    </w:p>
    <w:p w:rsidR="006D648E" w:rsidRPr="000D481F" w:rsidRDefault="004160AB" w:rsidP="006D648E">
      <w:pPr>
        <w:pStyle w:val="Normal200"/>
        <w:spacing w:line="276" w:lineRule="auto"/>
        <w:ind w:right="98"/>
        <w:rPr>
          <w:rFonts w:eastAsia="Calibri"/>
          <w:b/>
          <w:color w:val="42145F"/>
          <w:sz w:val="18"/>
          <w:szCs w:val="18"/>
        </w:rPr>
      </w:pPr>
      <w:r w:rsidRPr="000D481F">
        <w:rPr>
          <w:rFonts w:eastAsia="Calibri"/>
          <w:b/>
          <w:color w:val="42145F"/>
          <w:sz w:val="18"/>
          <w:szCs w:val="18"/>
        </w:rPr>
        <w:lastRenderedPageBreak/>
        <w:t>Capital and risk management</w:t>
      </w:r>
    </w:p>
    <w:p w:rsidR="00290F8F" w:rsidRPr="000D481F" w:rsidRDefault="004160AB" w:rsidP="00290F8F">
      <w:pPr>
        <w:pStyle w:val="Heading2"/>
        <w:rPr>
          <w:rFonts w:eastAsia="Times New Roman" w:cs="Arial"/>
          <w:bCs w:val="0"/>
          <w:color w:val="5E10B1"/>
          <w:szCs w:val="18"/>
          <w:lang w:eastAsia="ja-JP"/>
        </w:rPr>
      </w:pPr>
      <w:r w:rsidRPr="000D481F">
        <w:rPr>
          <w:rFonts w:eastAsia="Times New Roman" w:cs="Arial"/>
          <w:b/>
          <w:bCs w:val="0"/>
          <w:color w:val="5E10B1"/>
          <w:szCs w:val="18"/>
          <w:lang w:eastAsia="ja-JP"/>
        </w:rPr>
        <w:t xml:space="preserve">Capital, liquidity and funding risk </w:t>
      </w:r>
      <w:r w:rsidRPr="000D481F">
        <w:rPr>
          <w:rFonts w:eastAsia="Times New Roman" w:cs="Arial"/>
          <w:bCs w:val="0"/>
          <w:color w:val="5E10B1"/>
          <w:szCs w:val="18"/>
          <w:lang w:eastAsia="ja-JP"/>
        </w:rPr>
        <w:t>continued</w:t>
      </w:r>
    </w:p>
    <w:p w:rsidR="006D648E" w:rsidRPr="000D481F" w:rsidRDefault="004160AB" w:rsidP="006D648E">
      <w:pPr>
        <w:pStyle w:val="Normal200"/>
        <w:spacing w:line="276" w:lineRule="auto"/>
        <w:ind w:right="98"/>
        <w:rPr>
          <w:rFonts w:eastAsiaTheme="minorHAnsi"/>
          <w:color w:val="5E10B1"/>
          <w:sz w:val="18"/>
          <w:szCs w:val="20"/>
          <w:lang w:eastAsia="en-US"/>
        </w:rPr>
      </w:pPr>
      <w:r w:rsidRPr="000D481F">
        <w:rPr>
          <w:rFonts w:eastAsiaTheme="minorHAnsi"/>
          <w:color w:val="5E10B1"/>
          <w:sz w:val="18"/>
          <w:szCs w:val="20"/>
          <w:lang w:eastAsia="en-US"/>
        </w:rPr>
        <w:t xml:space="preserve">Credit risk exposure at default (EAD) and Risk-weighted assets (RWAs) </w:t>
      </w:r>
    </w:p>
    <w:p w:rsidR="006D648E" w:rsidRPr="000D481F" w:rsidRDefault="004160AB" w:rsidP="006D648E">
      <w:pPr>
        <w:pStyle w:val="Normal00"/>
        <w:spacing w:line="276" w:lineRule="auto"/>
        <w:rPr>
          <w:rFonts w:ascii="Arial" w:hAnsi="Arial" w:cs="Arial"/>
          <w:sz w:val="18"/>
          <w:szCs w:val="20"/>
          <w:lang w:eastAsia="en-US"/>
        </w:rPr>
      </w:pPr>
      <w:r w:rsidRPr="000D481F">
        <w:rPr>
          <w:rFonts w:ascii="Arial" w:hAnsi="Arial" w:cs="Arial"/>
          <w:sz w:val="18"/>
          <w:szCs w:val="20"/>
          <w:lang w:eastAsia="en-US"/>
        </w:rPr>
        <w:t xml:space="preserve">The table below analyses credit risk RWAs and EADs during the period, by on and </w:t>
      </w:r>
      <w:proofErr w:type="gramStart"/>
      <w:r w:rsidRPr="000D481F">
        <w:rPr>
          <w:rFonts w:ascii="Arial" w:hAnsi="Arial" w:cs="Arial"/>
          <w:sz w:val="18"/>
          <w:szCs w:val="20"/>
          <w:lang w:eastAsia="en-US"/>
        </w:rPr>
        <w:t>off balance</w:t>
      </w:r>
      <w:proofErr w:type="gramEnd"/>
      <w:r w:rsidRPr="000D481F">
        <w:rPr>
          <w:rFonts w:ascii="Arial" w:hAnsi="Arial" w:cs="Arial"/>
          <w:sz w:val="18"/>
          <w:szCs w:val="20"/>
          <w:lang w:eastAsia="en-US"/>
        </w:rPr>
        <w:t xml:space="preserve"> sheet.</w:t>
      </w:r>
    </w:p>
    <w:p w:rsidR="00305E99" w:rsidRDefault="00305E99" w:rsidP="00305E99">
      <w:pPr>
        <w:pStyle w:val="Normal200"/>
        <w:spacing w:line="259" w:lineRule="auto"/>
        <w:ind w:right="98"/>
        <w:rPr>
          <w:rFonts w:eastAsiaTheme="minorHAnsi"/>
          <w:color w:val="002060"/>
          <w:sz w:val="20"/>
          <w:szCs w:val="20"/>
          <w:lang w:eastAsia="en-US"/>
        </w:rPr>
      </w:pPr>
    </w:p>
    <w:tbl>
      <w:tblPr>
        <w:tblStyle w:val="table"/>
        <w:tblW w:w="10040" w:type="dxa"/>
        <w:tblInd w:w="5" w:type="dxa"/>
        <w:tblCellMar>
          <w:left w:w="0" w:type="dxa"/>
          <w:right w:w="0" w:type="dxa"/>
        </w:tblCellMar>
        <w:tblLook w:val="05E0" w:firstRow="1" w:lastRow="1" w:firstColumn="1" w:lastColumn="1" w:noHBand="0" w:noVBand="1"/>
      </w:tblPr>
      <w:tblGrid>
        <w:gridCol w:w="586"/>
        <w:gridCol w:w="1557"/>
        <w:gridCol w:w="1109"/>
        <w:gridCol w:w="884"/>
        <w:gridCol w:w="1109"/>
        <w:gridCol w:w="884"/>
        <w:gridCol w:w="1110"/>
        <w:gridCol w:w="884"/>
        <w:gridCol w:w="1183"/>
        <w:gridCol w:w="734"/>
      </w:tblGrid>
      <w:tr w:rsidR="00130A6D">
        <w:trPr>
          <w:trHeight w:val="165"/>
        </w:trPr>
        <w:tc>
          <w:tcPr>
            <w:tcW w:w="585" w:type="dxa"/>
            <w:shd w:val="clear" w:color="auto" w:fill="FFFFFF"/>
            <w:tcMar>
              <w:top w:w="0" w:type="dxa"/>
              <w:left w:w="5" w:type="dxa"/>
              <w:bottom w:w="0" w:type="dxa"/>
              <w:right w:w="5" w:type="dxa"/>
            </w:tcMar>
            <w:vAlign w:val="center"/>
            <w:hideMark/>
          </w:tcPr>
          <w:p w:rsidR="00906C3D" w:rsidRDefault="00906C3D">
            <w:pPr>
              <w:spacing w:line="240" w:lineRule="auto"/>
              <w:contextualSpacing/>
              <w:jc w:val="right"/>
              <w:rPr>
                <w:rFonts w:eastAsia="Arial" w:cs="Arial"/>
                <w:color w:val="000000"/>
                <w:szCs w:val="18"/>
              </w:rPr>
            </w:pPr>
          </w:p>
        </w:tc>
        <w:tc>
          <w:tcPr>
            <w:tcW w:w="1560" w:type="dxa"/>
            <w:shd w:val="clear" w:color="auto" w:fill="FFFFFF"/>
            <w:tcMar>
              <w:top w:w="0" w:type="dxa"/>
              <w:left w:w="5" w:type="dxa"/>
              <w:bottom w:w="0" w:type="dxa"/>
              <w:right w:w="5" w:type="dxa"/>
            </w:tcMar>
            <w:vAlign w:val="center"/>
            <w:hideMark/>
          </w:tcPr>
          <w:p w:rsidR="00906C3D" w:rsidRDefault="00906C3D">
            <w:pPr>
              <w:spacing w:line="240" w:lineRule="auto"/>
              <w:contextualSpacing/>
              <w:jc w:val="right"/>
              <w:rPr>
                <w:rFonts w:eastAsia="Arial" w:cs="Arial"/>
                <w:color w:val="000000"/>
                <w:szCs w:val="18"/>
              </w:rPr>
            </w:pP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Retail</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Ulster</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Commercial</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Private</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RBS</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NatWest</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Central items</w:t>
            </w:r>
          </w:p>
        </w:tc>
        <w:tc>
          <w:tcPr>
            <w:tcW w:w="735" w:type="dxa"/>
            <w:shd w:val="clear" w:color="auto" w:fill="FFFFFF"/>
            <w:tcMar>
              <w:top w:w="0" w:type="dxa"/>
              <w:left w:w="5" w:type="dxa"/>
              <w:bottom w:w="0" w:type="dxa"/>
              <w:right w:w="5" w:type="dxa"/>
            </w:tcMar>
            <w:vAlign w:val="center"/>
            <w:hideMark/>
          </w:tcPr>
          <w:p w:rsidR="00906C3D" w:rsidRDefault="00906C3D">
            <w:pPr>
              <w:spacing w:line="240" w:lineRule="auto"/>
              <w:contextualSpacing/>
              <w:jc w:val="right"/>
              <w:rPr>
                <w:rFonts w:eastAsia="Arial" w:cs="Arial"/>
                <w:b/>
                <w:bCs/>
                <w:color w:val="000000"/>
                <w:sz w:val="16"/>
                <w:szCs w:val="16"/>
              </w:rPr>
            </w:pPr>
          </w:p>
        </w:tc>
      </w:tr>
      <w:tr w:rsidR="00130A6D">
        <w:trPr>
          <w:trHeight w:val="180"/>
        </w:trPr>
        <w:tc>
          <w:tcPr>
            <w:tcW w:w="585" w:type="dxa"/>
            <w:gridSpan w:val="2"/>
            <w:shd w:val="clear" w:color="auto" w:fill="FFFFFF"/>
            <w:tcMar>
              <w:top w:w="0" w:type="dxa"/>
              <w:left w:w="5" w:type="dxa"/>
              <w:bottom w:w="0" w:type="dxa"/>
              <w:right w:w="5" w:type="dxa"/>
            </w:tcMar>
            <w:vAlign w:val="center"/>
            <w:hideMark/>
          </w:tcPr>
          <w:p w:rsidR="00906C3D" w:rsidRDefault="00906C3D">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Bank </w:t>
            </w:r>
            <w:proofErr w:type="spellStart"/>
            <w:r>
              <w:rPr>
                <w:rFonts w:eastAsia="Arial" w:cs="Arial"/>
                <w:b/>
                <w:bCs/>
                <w:color w:val="000000"/>
                <w:sz w:val="16"/>
                <w:szCs w:val="16"/>
              </w:rPr>
              <w:t>RoI</w:t>
            </w:r>
            <w:proofErr w:type="spellEnd"/>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International</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Markets</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&amp; other</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w:t>
            </w:r>
          </w:p>
        </w:tc>
      </w:tr>
      <w:tr w:rsidR="00130A6D">
        <w:trPr>
          <w:trHeight w:val="165"/>
        </w:trPr>
        <w:tc>
          <w:tcPr>
            <w:tcW w:w="585" w:type="dxa"/>
            <w:gridSpan w:val="2"/>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b/>
                <w:bCs/>
                <w:color w:val="000000"/>
                <w:sz w:val="16"/>
                <w:szCs w:val="16"/>
              </w:rPr>
            </w:pPr>
            <w:r>
              <w:rPr>
                <w:rFonts w:eastAsia="Arial" w:cs="Arial"/>
                <w:b/>
                <w:bCs/>
                <w:color w:val="000000"/>
                <w:sz w:val="16"/>
                <w:szCs w:val="16"/>
              </w:rPr>
              <w:t>30 September 2020</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£bn</w:t>
            </w:r>
          </w:p>
        </w:tc>
      </w:tr>
      <w:tr w:rsidR="00130A6D">
        <w:trPr>
          <w:trHeight w:val="195"/>
        </w:trPr>
        <w:tc>
          <w:tcPr>
            <w:tcW w:w="585" w:type="dxa"/>
            <w:vMerge w:val="restart"/>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EAD</w:t>
            </w:r>
          </w:p>
        </w:tc>
        <w:tc>
          <w:tcPr>
            <w:tcW w:w="1560"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On balance sheet</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239.9</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28.0</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149.8</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22.2</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32.2</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38.2</w:t>
            </w: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0.9</w:t>
            </w:r>
          </w:p>
        </w:tc>
        <w:tc>
          <w:tcPr>
            <w:tcW w:w="735" w:type="dxa"/>
            <w:tcBorders>
              <w:top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511.2</w:t>
            </w:r>
          </w:p>
        </w:tc>
      </w:tr>
      <w:tr w:rsidR="00130A6D">
        <w:trPr>
          <w:trHeight w:val="195"/>
        </w:trPr>
        <w:tc>
          <w:tcPr>
            <w:tcW w:w="0" w:type="auto"/>
            <w:vMerge/>
            <w:tcBorders>
              <w:top w:val="single" w:sz="6" w:space="0" w:color="000000"/>
            </w:tcBorders>
            <w:tcMar>
              <w:top w:w="0" w:type="dxa"/>
              <w:bottom w:w="0" w:type="dxa"/>
            </w:tcMar>
            <w:vAlign w:val="center"/>
            <w:hideMark/>
          </w:tcPr>
          <w:p w:rsidR="00906C3D" w:rsidRDefault="00906C3D">
            <w:pPr>
              <w:spacing w:line="240" w:lineRule="auto"/>
              <w:contextualSpacing/>
              <w:rPr>
                <w:rFonts w:eastAsia="Arial" w:cs="Arial"/>
                <w:b/>
                <w:bCs/>
                <w:color w:val="000000"/>
                <w:sz w:val="16"/>
                <w:szCs w:val="16"/>
              </w:rPr>
            </w:pP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Off balance sheet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28.1</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30.4</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0.3</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4.8</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11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72.2</w:t>
            </w:r>
          </w:p>
        </w:tc>
      </w:tr>
      <w:tr w:rsidR="00130A6D">
        <w:trPr>
          <w:trHeight w:val="195"/>
        </w:trPr>
        <w:tc>
          <w:tcPr>
            <w:tcW w:w="0" w:type="auto"/>
            <w:vMerge/>
            <w:tcBorders>
              <w:top w:val="single" w:sz="6" w:space="0" w:color="000000"/>
            </w:tcBorders>
            <w:tcMar>
              <w:top w:w="0" w:type="dxa"/>
              <w:bottom w:w="0" w:type="dxa"/>
            </w:tcMar>
            <w:vAlign w:val="center"/>
            <w:hideMark/>
          </w:tcPr>
          <w:p w:rsidR="00906C3D" w:rsidRDefault="00906C3D">
            <w:pPr>
              <w:spacing w:line="240" w:lineRule="auto"/>
              <w:contextualSpacing/>
              <w:rPr>
                <w:rFonts w:eastAsia="Arial" w:cs="Arial"/>
                <w:b/>
                <w:bCs/>
                <w:color w:val="000000"/>
                <w:sz w:val="16"/>
                <w:szCs w:val="16"/>
              </w:rPr>
            </w:pP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Total</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268.0</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30.3</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180.2</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22.5</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37.0</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44.4</w:t>
            </w:r>
          </w:p>
        </w:tc>
        <w:tc>
          <w:tcPr>
            <w:tcW w:w="11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583.4</w:t>
            </w:r>
          </w:p>
        </w:tc>
      </w:tr>
      <w:tr w:rsidR="00130A6D">
        <w:trPr>
          <w:trHeight w:val="30"/>
        </w:trPr>
        <w:tc>
          <w:tcPr>
            <w:tcW w:w="58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Cs w:val="18"/>
              </w:rPr>
            </w:pPr>
          </w:p>
        </w:tc>
        <w:tc>
          <w:tcPr>
            <w:tcW w:w="1560"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Cs w:val="18"/>
              </w:rPr>
            </w:pPr>
          </w:p>
        </w:tc>
        <w:tc>
          <w:tcPr>
            <w:tcW w:w="1110" w:type="dxa"/>
            <w:shd w:val="clear" w:color="auto" w:fill="F4F0E8"/>
            <w:tcMar>
              <w:top w:w="5" w:type="dxa"/>
              <w:left w:w="5" w:type="dxa"/>
              <w:bottom w:w="5" w:type="dxa"/>
              <w:right w:w="5" w:type="dxa"/>
            </w:tcMar>
            <w:vAlign w:val="center"/>
            <w:hideMark/>
          </w:tcPr>
          <w:p w:rsidR="00906C3D" w:rsidRDefault="00906C3D">
            <w:pPr>
              <w:spacing w:line="240" w:lineRule="auto"/>
              <w:contextualSpacing/>
              <w:rPr>
                <w:rFonts w:eastAsia="Arial" w:cs="Arial"/>
                <w:b/>
                <w:bCs/>
                <w:color w:val="000000"/>
                <w:sz w:val="16"/>
                <w:szCs w:val="16"/>
              </w:rPr>
            </w:pPr>
          </w:p>
        </w:tc>
        <w:tc>
          <w:tcPr>
            <w:tcW w:w="885" w:type="dxa"/>
            <w:shd w:val="clear" w:color="auto" w:fill="F4F0E8"/>
            <w:tcMar>
              <w:top w:w="5" w:type="dxa"/>
              <w:left w:w="5" w:type="dxa"/>
              <w:bottom w:w="5" w:type="dxa"/>
              <w:right w:w="5" w:type="dxa"/>
            </w:tcMar>
            <w:vAlign w:val="center"/>
            <w:hideMark/>
          </w:tcPr>
          <w:p w:rsidR="00906C3D" w:rsidRDefault="00906C3D">
            <w:pPr>
              <w:spacing w:line="240" w:lineRule="auto"/>
              <w:contextualSpacing/>
              <w:rPr>
                <w:rFonts w:eastAsia="Arial" w:cs="Arial"/>
                <w:b/>
                <w:bCs/>
                <w:color w:val="000000"/>
                <w:sz w:val="16"/>
                <w:szCs w:val="16"/>
              </w:rPr>
            </w:pPr>
          </w:p>
        </w:tc>
        <w:tc>
          <w:tcPr>
            <w:tcW w:w="1110" w:type="dxa"/>
            <w:shd w:val="clear" w:color="auto" w:fill="F4F0E8"/>
            <w:tcMar>
              <w:top w:w="5" w:type="dxa"/>
              <w:left w:w="5" w:type="dxa"/>
              <w:bottom w:w="5" w:type="dxa"/>
              <w:right w:w="5" w:type="dxa"/>
            </w:tcMar>
            <w:vAlign w:val="center"/>
            <w:hideMark/>
          </w:tcPr>
          <w:p w:rsidR="00906C3D" w:rsidRDefault="00906C3D">
            <w:pPr>
              <w:spacing w:line="240" w:lineRule="auto"/>
              <w:contextualSpacing/>
              <w:rPr>
                <w:rFonts w:eastAsia="Arial" w:cs="Arial"/>
                <w:b/>
                <w:bCs/>
                <w:color w:val="000000"/>
                <w:sz w:val="16"/>
                <w:szCs w:val="16"/>
              </w:rPr>
            </w:pPr>
          </w:p>
        </w:tc>
        <w:tc>
          <w:tcPr>
            <w:tcW w:w="885" w:type="dxa"/>
            <w:shd w:val="clear" w:color="auto" w:fill="F4F0E8"/>
            <w:tcMar>
              <w:top w:w="5" w:type="dxa"/>
              <w:left w:w="5" w:type="dxa"/>
              <w:bottom w:w="5" w:type="dxa"/>
              <w:right w:w="5" w:type="dxa"/>
            </w:tcMar>
            <w:vAlign w:val="center"/>
            <w:hideMark/>
          </w:tcPr>
          <w:p w:rsidR="00906C3D" w:rsidRDefault="00906C3D">
            <w:pPr>
              <w:spacing w:line="240" w:lineRule="auto"/>
              <w:contextualSpacing/>
              <w:rPr>
                <w:rFonts w:eastAsia="Arial" w:cs="Arial"/>
                <w:b/>
                <w:bCs/>
                <w:color w:val="000000"/>
                <w:sz w:val="16"/>
                <w:szCs w:val="16"/>
              </w:rPr>
            </w:pPr>
          </w:p>
        </w:tc>
        <w:tc>
          <w:tcPr>
            <w:tcW w:w="1110" w:type="dxa"/>
            <w:shd w:val="clear" w:color="auto" w:fill="F4F0E8"/>
            <w:tcMar>
              <w:top w:w="5" w:type="dxa"/>
              <w:left w:w="5" w:type="dxa"/>
              <w:bottom w:w="5" w:type="dxa"/>
              <w:right w:w="5" w:type="dxa"/>
            </w:tcMar>
            <w:vAlign w:val="center"/>
            <w:hideMark/>
          </w:tcPr>
          <w:p w:rsidR="00906C3D" w:rsidRDefault="00906C3D">
            <w:pPr>
              <w:spacing w:line="240" w:lineRule="auto"/>
              <w:contextualSpacing/>
              <w:rPr>
                <w:rFonts w:eastAsia="Arial" w:cs="Arial"/>
                <w:b/>
                <w:bCs/>
                <w:color w:val="000000"/>
                <w:sz w:val="16"/>
                <w:szCs w:val="16"/>
              </w:rPr>
            </w:pPr>
          </w:p>
        </w:tc>
        <w:tc>
          <w:tcPr>
            <w:tcW w:w="885" w:type="dxa"/>
            <w:shd w:val="clear" w:color="auto" w:fill="F4F0E8"/>
            <w:tcMar>
              <w:top w:w="5" w:type="dxa"/>
              <w:left w:w="5" w:type="dxa"/>
              <w:bottom w:w="5" w:type="dxa"/>
              <w:right w:w="5" w:type="dxa"/>
            </w:tcMar>
            <w:vAlign w:val="center"/>
            <w:hideMark/>
          </w:tcPr>
          <w:p w:rsidR="00906C3D" w:rsidRDefault="00906C3D">
            <w:pPr>
              <w:spacing w:line="240" w:lineRule="auto"/>
              <w:contextualSpacing/>
              <w:rPr>
                <w:rFonts w:eastAsia="Arial" w:cs="Arial"/>
                <w:b/>
                <w:bCs/>
                <w:color w:val="000000"/>
                <w:sz w:val="16"/>
                <w:szCs w:val="16"/>
              </w:rPr>
            </w:pPr>
          </w:p>
        </w:tc>
        <w:tc>
          <w:tcPr>
            <w:tcW w:w="1185" w:type="dxa"/>
            <w:shd w:val="clear" w:color="auto" w:fill="F4F0E8"/>
            <w:tcMar>
              <w:top w:w="5" w:type="dxa"/>
              <w:left w:w="5" w:type="dxa"/>
              <w:bottom w:w="5" w:type="dxa"/>
              <w:right w:w="5" w:type="dxa"/>
            </w:tcMar>
            <w:vAlign w:val="center"/>
            <w:hideMark/>
          </w:tcPr>
          <w:p w:rsidR="00906C3D" w:rsidRDefault="00906C3D">
            <w:pPr>
              <w:spacing w:line="240" w:lineRule="auto"/>
              <w:contextualSpacing/>
              <w:rPr>
                <w:rFonts w:eastAsia="Arial" w:cs="Arial"/>
                <w:b/>
                <w:bCs/>
                <w:color w:val="000000"/>
                <w:sz w:val="16"/>
                <w:szCs w:val="16"/>
              </w:rPr>
            </w:pPr>
          </w:p>
        </w:tc>
        <w:tc>
          <w:tcPr>
            <w:tcW w:w="735" w:type="dxa"/>
            <w:shd w:val="clear" w:color="auto" w:fill="F4F0E8"/>
            <w:tcMar>
              <w:top w:w="5" w:type="dxa"/>
              <w:left w:w="5" w:type="dxa"/>
              <w:bottom w:w="5" w:type="dxa"/>
              <w:right w:w="5" w:type="dxa"/>
            </w:tcMar>
            <w:vAlign w:val="center"/>
            <w:hideMark/>
          </w:tcPr>
          <w:p w:rsidR="00906C3D" w:rsidRDefault="00906C3D">
            <w:pPr>
              <w:spacing w:line="240" w:lineRule="auto"/>
              <w:contextualSpacing/>
              <w:rPr>
                <w:rFonts w:eastAsia="Arial" w:cs="Arial"/>
                <w:b/>
                <w:bCs/>
                <w:color w:val="000000"/>
                <w:sz w:val="16"/>
                <w:szCs w:val="16"/>
              </w:rPr>
            </w:pPr>
          </w:p>
        </w:tc>
      </w:tr>
      <w:tr w:rsidR="00130A6D">
        <w:trPr>
          <w:trHeight w:val="195"/>
        </w:trPr>
        <w:tc>
          <w:tcPr>
            <w:tcW w:w="585" w:type="dxa"/>
            <w:vMerge w:val="restart"/>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RWAs</w:t>
            </w: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On balance sheet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26.1</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9.9</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53.7</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9.1</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11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111.1</w:t>
            </w:r>
          </w:p>
        </w:tc>
      </w:tr>
      <w:tr w:rsidR="00130A6D">
        <w:trPr>
          <w:trHeight w:val="195"/>
        </w:trPr>
        <w:tc>
          <w:tcPr>
            <w:tcW w:w="0" w:type="auto"/>
            <w:vMerge/>
            <w:tcBorders>
              <w:bottom w:val="single" w:sz="6" w:space="0" w:color="000000"/>
            </w:tcBorders>
            <w:tcMar>
              <w:top w:w="0" w:type="dxa"/>
              <w:bottom w:w="0" w:type="dxa"/>
            </w:tcMar>
            <w:vAlign w:val="center"/>
            <w:hideMark/>
          </w:tcPr>
          <w:p w:rsidR="00906C3D" w:rsidRDefault="00906C3D">
            <w:pPr>
              <w:spacing w:line="240" w:lineRule="auto"/>
              <w:contextualSpacing/>
              <w:rPr>
                <w:rFonts w:eastAsia="Arial" w:cs="Arial"/>
                <w:b/>
                <w:bCs/>
                <w:color w:val="000000"/>
                <w:sz w:val="16"/>
                <w:szCs w:val="16"/>
              </w:rPr>
            </w:pP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Off balance sheet</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13.9</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c>
          <w:tcPr>
            <w:tcW w:w="1110"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8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c>
          <w:tcPr>
            <w:tcW w:w="118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735" w:type="dxa"/>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21.3</w:t>
            </w:r>
          </w:p>
        </w:tc>
      </w:tr>
      <w:tr w:rsidR="00130A6D">
        <w:trPr>
          <w:trHeight w:val="195"/>
        </w:trPr>
        <w:tc>
          <w:tcPr>
            <w:tcW w:w="0" w:type="auto"/>
            <w:vMerge/>
            <w:tcBorders>
              <w:bottom w:val="single" w:sz="6" w:space="0" w:color="000000"/>
            </w:tcBorders>
            <w:tcMar>
              <w:top w:w="0" w:type="dxa"/>
              <w:bottom w:w="0" w:type="dxa"/>
            </w:tcMar>
            <w:vAlign w:val="center"/>
            <w:hideMark/>
          </w:tcPr>
          <w:p w:rsidR="00906C3D" w:rsidRDefault="00906C3D">
            <w:pPr>
              <w:spacing w:line="240" w:lineRule="auto"/>
              <w:contextualSpacing/>
              <w:rPr>
                <w:rFonts w:eastAsia="Arial" w:cs="Arial"/>
                <w:b/>
                <w:bCs/>
                <w:color w:val="000000"/>
                <w:sz w:val="16"/>
                <w:szCs w:val="16"/>
              </w:rPr>
            </w:pPr>
          </w:p>
        </w:tc>
        <w:tc>
          <w:tcPr>
            <w:tcW w:w="1560"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Total</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28.7</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67.6</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9.3</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6.0</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8.4</w:t>
            </w:r>
          </w:p>
        </w:tc>
        <w:tc>
          <w:tcPr>
            <w:tcW w:w="1185" w:type="dxa"/>
            <w:tcBorders>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735" w:type="dxa"/>
            <w:tcBorders>
              <w:bottom w:val="single" w:sz="6" w:space="0" w:color="000000"/>
            </w:tcBorders>
            <w:shd w:val="clear" w:color="auto" w:fill="F4F0E8"/>
            <w:tcMar>
              <w:top w:w="0" w:type="dxa"/>
              <w:left w:w="5" w:type="dxa"/>
              <w:bottom w:w="0" w:type="dxa"/>
              <w:right w:w="5" w:type="dxa"/>
            </w:tcMar>
            <w:vAlign w:val="center"/>
            <w:hideMark/>
          </w:tcPr>
          <w:p w:rsidR="00906C3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132.4</w:t>
            </w:r>
          </w:p>
        </w:tc>
      </w:tr>
      <w:tr w:rsidR="00130A6D">
        <w:trPr>
          <w:trHeight w:val="195"/>
        </w:trPr>
        <w:tc>
          <w:tcPr>
            <w:tcW w:w="585" w:type="dxa"/>
            <w:gridSpan w:val="2"/>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30 June 2020</w:t>
            </w:r>
          </w:p>
        </w:tc>
        <w:tc>
          <w:tcPr>
            <w:tcW w:w="1110"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8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1110"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8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1110"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8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11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73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r>
      <w:tr w:rsidR="00130A6D">
        <w:trPr>
          <w:trHeight w:val="195"/>
        </w:trPr>
        <w:tc>
          <w:tcPr>
            <w:tcW w:w="585" w:type="dxa"/>
            <w:vMerge w:val="restart"/>
            <w:tcBorders>
              <w:top w:val="single" w:sz="6" w:space="0" w:color="000000"/>
              <w:bottom w:val="single" w:sz="6" w:space="0" w:color="FFFFFF"/>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EAD</w:t>
            </w:r>
          </w:p>
        </w:tc>
        <w:tc>
          <w:tcPr>
            <w:tcW w:w="1560"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On balance sheet</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235.6</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28.3</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152.6</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21.4</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31.1</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40.7</w:t>
            </w:r>
          </w:p>
        </w:tc>
        <w:tc>
          <w:tcPr>
            <w:tcW w:w="118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0.7</w:t>
            </w:r>
          </w:p>
        </w:tc>
        <w:tc>
          <w:tcPr>
            <w:tcW w:w="73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510.4</w:t>
            </w:r>
          </w:p>
        </w:tc>
      </w:tr>
      <w:tr w:rsidR="00130A6D">
        <w:trPr>
          <w:trHeight w:val="195"/>
        </w:trPr>
        <w:tc>
          <w:tcPr>
            <w:tcW w:w="0" w:type="auto"/>
            <w:vMerge/>
            <w:tcBorders>
              <w:top w:val="single" w:sz="6" w:space="0" w:color="000000"/>
              <w:bottom w:val="single" w:sz="6" w:space="0" w:color="FFFFFF"/>
            </w:tcBorders>
            <w:tcMar>
              <w:top w:w="0" w:type="dxa"/>
              <w:bottom w:w="0" w:type="dxa"/>
            </w:tcMar>
            <w:vAlign w:val="center"/>
            <w:hideMark/>
          </w:tcPr>
          <w:p w:rsidR="00906C3D" w:rsidRDefault="00906C3D">
            <w:pPr>
              <w:spacing w:line="240" w:lineRule="auto"/>
              <w:contextualSpacing/>
              <w:rPr>
                <w:rFonts w:eastAsia="Arial" w:cs="Arial"/>
                <w:color w:val="000000"/>
                <w:sz w:val="16"/>
                <w:szCs w:val="16"/>
              </w:rPr>
            </w:pP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Off balance sheet</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27.2</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29.9</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0.3</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4.8</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0.4</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71.0</w:t>
            </w:r>
          </w:p>
        </w:tc>
      </w:tr>
      <w:tr w:rsidR="00130A6D">
        <w:trPr>
          <w:trHeight w:val="195"/>
        </w:trPr>
        <w:tc>
          <w:tcPr>
            <w:tcW w:w="0" w:type="auto"/>
            <w:vMerge/>
            <w:tcBorders>
              <w:top w:val="single" w:sz="6" w:space="0" w:color="000000"/>
              <w:bottom w:val="single" w:sz="6" w:space="0" w:color="FFFFFF"/>
            </w:tcBorders>
            <w:tcMar>
              <w:top w:w="0" w:type="dxa"/>
              <w:bottom w:w="0" w:type="dxa"/>
            </w:tcMar>
            <w:vAlign w:val="center"/>
            <w:hideMark/>
          </w:tcPr>
          <w:p w:rsidR="00906C3D" w:rsidRDefault="00906C3D">
            <w:pPr>
              <w:spacing w:line="240" w:lineRule="auto"/>
              <w:contextualSpacing/>
              <w:rPr>
                <w:rFonts w:eastAsia="Arial" w:cs="Arial"/>
                <w:color w:val="000000"/>
                <w:sz w:val="16"/>
                <w:szCs w:val="16"/>
              </w:rPr>
            </w:pP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Total</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262.8</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30.5</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182.5</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21.7</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35.9</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46.9</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581.4</w:t>
            </w:r>
          </w:p>
        </w:tc>
      </w:tr>
      <w:tr w:rsidR="00130A6D">
        <w:trPr>
          <w:trHeight w:val="30"/>
        </w:trPr>
        <w:tc>
          <w:tcPr>
            <w:tcW w:w="585" w:type="dxa"/>
            <w:tcBorders>
              <w:top w:val="single" w:sz="6" w:space="0" w:color="FFFFFF"/>
              <w:bottom w:val="single" w:sz="6" w:space="0" w:color="FFFFFF"/>
            </w:tcBorders>
            <w:shd w:val="clear" w:color="auto" w:fill="FFFFFF"/>
            <w:tcMar>
              <w:top w:w="8" w:type="dxa"/>
              <w:left w:w="5" w:type="dxa"/>
              <w:bottom w:w="8" w:type="dxa"/>
              <w:right w:w="5" w:type="dxa"/>
            </w:tcMar>
            <w:vAlign w:val="center"/>
            <w:hideMark/>
          </w:tcPr>
          <w:p w:rsidR="00906C3D" w:rsidRDefault="00906C3D">
            <w:pPr>
              <w:spacing w:line="240" w:lineRule="auto"/>
              <w:contextualSpacing/>
              <w:rPr>
                <w:rFonts w:eastAsia="Arial" w:cs="Arial"/>
                <w:color w:val="000000"/>
                <w:szCs w:val="18"/>
              </w:rPr>
            </w:pPr>
          </w:p>
        </w:tc>
        <w:tc>
          <w:tcPr>
            <w:tcW w:w="1560"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Cs w:val="18"/>
              </w:rPr>
            </w:pPr>
          </w:p>
        </w:tc>
        <w:tc>
          <w:tcPr>
            <w:tcW w:w="1110"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88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1110"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88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1110"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88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118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73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r>
      <w:tr w:rsidR="00130A6D">
        <w:trPr>
          <w:trHeight w:val="195"/>
        </w:trPr>
        <w:tc>
          <w:tcPr>
            <w:tcW w:w="585" w:type="dxa"/>
            <w:vMerge w:val="restart"/>
            <w:tcBorders>
              <w:top w:val="single" w:sz="6" w:space="0" w:color="FFFFFF"/>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RWAs</w:t>
            </w: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On balance sheet</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26.4</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10.6</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56.3</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8.9</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4.5</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7.0</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115.0</w:t>
            </w:r>
          </w:p>
        </w:tc>
      </w:tr>
      <w:tr w:rsidR="00130A6D">
        <w:trPr>
          <w:trHeight w:val="195"/>
        </w:trPr>
        <w:tc>
          <w:tcPr>
            <w:tcW w:w="0" w:type="auto"/>
            <w:vMerge/>
            <w:tcBorders>
              <w:top w:val="single" w:sz="6" w:space="0" w:color="FFFFFF"/>
              <w:bottom w:val="single" w:sz="6" w:space="0" w:color="000000"/>
            </w:tcBorders>
            <w:tcMar>
              <w:top w:w="0" w:type="dxa"/>
              <w:bottom w:w="0" w:type="dxa"/>
            </w:tcMar>
            <w:vAlign w:val="center"/>
            <w:hideMark/>
          </w:tcPr>
          <w:p w:rsidR="00906C3D" w:rsidRDefault="00906C3D">
            <w:pPr>
              <w:spacing w:line="240" w:lineRule="auto"/>
              <w:contextualSpacing/>
              <w:rPr>
                <w:rFonts w:eastAsia="Arial" w:cs="Arial"/>
                <w:color w:val="000000"/>
                <w:sz w:val="16"/>
                <w:szCs w:val="16"/>
              </w:rPr>
            </w:pP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Off balance sheet</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2.7</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13.2</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20.7</w:t>
            </w:r>
          </w:p>
        </w:tc>
      </w:tr>
      <w:tr w:rsidR="00130A6D">
        <w:trPr>
          <w:trHeight w:val="195"/>
        </w:trPr>
        <w:tc>
          <w:tcPr>
            <w:tcW w:w="0" w:type="auto"/>
            <w:vMerge/>
            <w:tcBorders>
              <w:top w:val="single" w:sz="6" w:space="0" w:color="FFFFFF"/>
              <w:bottom w:val="single" w:sz="6" w:space="0" w:color="000000"/>
            </w:tcBorders>
            <w:tcMar>
              <w:top w:w="0" w:type="dxa"/>
              <w:bottom w:w="0" w:type="dxa"/>
            </w:tcMar>
            <w:vAlign w:val="center"/>
            <w:hideMark/>
          </w:tcPr>
          <w:p w:rsidR="00906C3D" w:rsidRDefault="00906C3D">
            <w:pPr>
              <w:spacing w:line="240" w:lineRule="auto"/>
              <w:contextualSpacing/>
              <w:rPr>
                <w:rFonts w:eastAsia="Arial" w:cs="Arial"/>
                <w:color w:val="000000"/>
                <w:sz w:val="16"/>
                <w:szCs w:val="16"/>
              </w:rPr>
            </w:pPr>
          </w:p>
        </w:tc>
        <w:tc>
          <w:tcPr>
            <w:tcW w:w="1560"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Total</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29.1</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11.7</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69.5</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9.1</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5.8</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9.1</w:t>
            </w:r>
          </w:p>
        </w:tc>
        <w:tc>
          <w:tcPr>
            <w:tcW w:w="118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73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135.7</w:t>
            </w:r>
          </w:p>
        </w:tc>
      </w:tr>
      <w:tr w:rsidR="00130A6D">
        <w:trPr>
          <w:trHeight w:val="195"/>
        </w:trPr>
        <w:tc>
          <w:tcPr>
            <w:tcW w:w="585" w:type="dxa"/>
            <w:gridSpan w:val="2"/>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 w:val="16"/>
                <w:szCs w:val="16"/>
              </w:rPr>
            </w:pPr>
            <w:r>
              <w:rPr>
                <w:rFonts w:eastAsia="Arial" w:cs="Arial"/>
                <w:color w:val="000000"/>
                <w:sz w:val="16"/>
                <w:szCs w:val="16"/>
              </w:rPr>
              <w:t>31 December 2019</w:t>
            </w:r>
          </w:p>
        </w:tc>
        <w:tc>
          <w:tcPr>
            <w:tcW w:w="1110"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8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1110"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8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1110"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8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118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c>
          <w:tcPr>
            <w:tcW w:w="735" w:type="dxa"/>
            <w:shd w:val="clear" w:color="auto" w:fill="FFFFFF"/>
            <w:tcMar>
              <w:top w:w="0" w:type="dxa"/>
              <w:left w:w="5" w:type="dxa"/>
              <w:bottom w:w="0" w:type="dxa"/>
              <w:right w:w="5" w:type="dxa"/>
            </w:tcMar>
            <w:vAlign w:val="center"/>
            <w:hideMark/>
          </w:tcPr>
          <w:p w:rsidR="00906C3D" w:rsidRDefault="00906C3D">
            <w:pPr>
              <w:spacing w:line="240" w:lineRule="auto"/>
              <w:contextualSpacing/>
              <w:rPr>
                <w:rFonts w:ascii="Calibri" w:eastAsia="Calibri" w:hAnsi="Calibri" w:cs="Calibri"/>
                <w:color w:val="000000"/>
                <w:sz w:val="22"/>
              </w:rPr>
            </w:pPr>
          </w:p>
        </w:tc>
      </w:tr>
      <w:tr w:rsidR="00130A6D">
        <w:trPr>
          <w:trHeight w:val="195"/>
        </w:trPr>
        <w:tc>
          <w:tcPr>
            <w:tcW w:w="585" w:type="dxa"/>
            <w:vMerge w:val="restart"/>
            <w:tcBorders>
              <w:top w:val="single" w:sz="6" w:space="0" w:color="000000"/>
              <w:bottom w:val="single" w:sz="6" w:space="0" w:color="FFFFFF"/>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EAD</w:t>
            </w:r>
          </w:p>
        </w:tc>
        <w:tc>
          <w:tcPr>
            <w:tcW w:w="1560"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On balance sheet</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221.8</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26.0</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131.4</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20.3</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31.7</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35.4</w:t>
            </w:r>
          </w:p>
        </w:tc>
        <w:tc>
          <w:tcPr>
            <w:tcW w:w="118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0.7</w:t>
            </w:r>
          </w:p>
        </w:tc>
        <w:tc>
          <w:tcPr>
            <w:tcW w:w="735" w:type="dxa"/>
            <w:tcBorders>
              <w:top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467.3</w:t>
            </w:r>
          </w:p>
        </w:tc>
      </w:tr>
      <w:tr w:rsidR="00130A6D">
        <w:trPr>
          <w:trHeight w:val="195"/>
        </w:trPr>
        <w:tc>
          <w:tcPr>
            <w:tcW w:w="0" w:type="auto"/>
            <w:vMerge/>
            <w:tcBorders>
              <w:top w:val="single" w:sz="6" w:space="0" w:color="000000"/>
              <w:bottom w:val="single" w:sz="6" w:space="0" w:color="FFFFFF"/>
            </w:tcBorders>
            <w:tcMar>
              <w:top w:w="0" w:type="dxa"/>
              <w:bottom w:w="0" w:type="dxa"/>
            </w:tcMar>
            <w:vAlign w:val="center"/>
            <w:hideMark/>
          </w:tcPr>
          <w:p w:rsidR="00906C3D" w:rsidRDefault="00906C3D">
            <w:pPr>
              <w:spacing w:line="240" w:lineRule="auto"/>
              <w:contextualSpacing/>
              <w:rPr>
                <w:rFonts w:eastAsia="Arial" w:cs="Arial"/>
                <w:color w:val="000000"/>
                <w:sz w:val="16"/>
                <w:szCs w:val="16"/>
              </w:rPr>
            </w:pP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Off balance sheet</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30.2</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27.2</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0.3</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3.3</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7.5</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0.4</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71.1</w:t>
            </w:r>
          </w:p>
        </w:tc>
      </w:tr>
      <w:tr w:rsidR="00130A6D">
        <w:trPr>
          <w:trHeight w:val="195"/>
        </w:trPr>
        <w:tc>
          <w:tcPr>
            <w:tcW w:w="0" w:type="auto"/>
            <w:vMerge/>
            <w:tcBorders>
              <w:top w:val="single" w:sz="6" w:space="0" w:color="000000"/>
              <w:bottom w:val="single" w:sz="6" w:space="0" w:color="FFFFFF"/>
            </w:tcBorders>
            <w:tcMar>
              <w:top w:w="0" w:type="dxa"/>
              <w:bottom w:w="0" w:type="dxa"/>
            </w:tcMar>
            <w:vAlign w:val="center"/>
            <w:hideMark/>
          </w:tcPr>
          <w:p w:rsidR="00906C3D" w:rsidRDefault="00906C3D">
            <w:pPr>
              <w:spacing w:line="240" w:lineRule="auto"/>
              <w:contextualSpacing/>
              <w:rPr>
                <w:rFonts w:eastAsia="Arial" w:cs="Arial"/>
                <w:color w:val="000000"/>
                <w:sz w:val="16"/>
                <w:szCs w:val="16"/>
              </w:rPr>
            </w:pP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Total</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252.0</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28.2</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158.6</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20.6</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35.0</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42.9</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538.4</w:t>
            </w:r>
          </w:p>
        </w:tc>
      </w:tr>
      <w:tr w:rsidR="00130A6D">
        <w:trPr>
          <w:trHeight w:val="30"/>
        </w:trPr>
        <w:tc>
          <w:tcPr>
            <w:tcW w:w="585" w:type="dxa"/>
            <w:tcBorders>
              <w:top w:val="single" w:sz="6" w:space="0" w:color="FFFFFF"/>
              <w:bottom w:val="single" w:sz="6" w:space="0" w:color="FFFFFF"/>
            </w:tcBorders>
            <w:shd w:val="clear" w:color="auto" w:fill="FFFFFF"/>
            <w:tcMar>
              <w:top w:w="8" w:type="dxa"/>
              <w:left w:w="5" w:type="dxa"/>
              <w:bottom w:w="8" w:type="dxa"/>
              <w:right w:w="5" w:type="dxa"/>
            </w:tcMar>
            <w:vAlign w:val="center"/>
            <w:hideMark/>
          </w:tcPr>
          <w:p w:rsidR="00906C3D" w:rsidRDefault="00906C3D">
            <w:pPr>
              <w:spacing w:line="240" w:lineRule="auto"/>
              <w:contextualSpacing/>
              <w:rPr>
                <w:rFonts w:eastAsia="Arial" w:cs="Arial"/>
                <w:color w:val="000000"/>
                <w:szCs w:val="18"/>
              </w:rPr>
            </w:pPr>
          </w:p>
        </w:tc>
        <w:tc>
          <w:tcPr>
            <w:tcW w:w="1560"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Cs w:val="18"/>
              </w:rPr>
            </w:pPr>
          </w:p>
        </w:tc>
        <w:tc>
          <w:tcPr>
            <w:tcW w:w="1110"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88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1110"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88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1110"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88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118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c>
          <w:tcPr>
            <w:tcW w:w="735" w:type="dxa"/>
            <w:shd w:val="clear" w:color="auto" w:fill="FFFFFF"/>
            <w:tcMar>
              <w:top w:w="5" w:type="dxa"/>
              <w:left w:w="5" w:type="dxa"/>
              <w:bottom w:w="5" w:type="dxa"/>
              <w:right w:w="5" w:type="dxa"/>
            </w:tcMar>
            <w:vAlign w:val="center"/>
            <w:hideMark/>
          </w:tcPr>
          <w:p w:rsidR="00906C3D" w:rsidRDefault="00906C3D">
            <w:pPr>
              <w:spacing w:line="240" w:lineRule="auto"/>
              <w:contextualSpacing/>
              <w:rPr>
                <w:rFonts w:eastAsia="Arial" w:cs="Arial"/>
                <w:color w:val="000000"/>
                <w:sz w:val="16"/>
                <w:szCs w:val="16"/>
              </w:rPr>
            </w:pPr>
          </w:p>
        </w:tc>
      </w:tr>
      <w:tr w:rsidR="00130A6D">
        <w:trPr>
          <w:trHeight w:val="195"/>
        </w:trPr>
        <w:tc>
          <w:tcPr>
            <w:tcW w:w="585" w:type="dxa"/>
            <w:vMerge w:val="restart"/>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RWAs</w:t>
            </w: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On balance sheet</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27.1</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10.8</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50.8</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4.7</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6.4</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109.8</w:t>
            </w:r>
          </w:p>
        </w:tc>
      </w:tr>
      <w:tr w:rsidR="00130A6D">
        <w:trPr>
          <w:trHeight w:val="195"/>
        </w:trPr>
        <w:tc>
          <w:tcPr>
            <w:tcW w:w="0" w:type="auto"/>
            <w:vMerge/>
            <w:tcBorders>
              <w:bottom w:val="single" w:sz="6" w:space="0" w:color="000000"/>
            </w:tcBorders>
            <w:tcMar>
              <w:top w:w="0" w:type="dxa"/>
              <w:bottom w:w="0" w:type="dxa"/>
            </w:tcMar>
            <w:vAlign w:val="center"/>
            <w:hideMark/>
          </w:tcPr>
          <w:p w:rsidR="00906C3D" w:rsidRDefault="00906C3D">
            <w:pPr>
              <w:spacing w:line="240" w:lineRule="auto"/>
              <w:contextualSpacing/>
              <w:rPr>
                <w:rFonts w:eastAsia="Arial" w:cs="Arial"/>
                <w:color w:val="000000"/>
                <w:sz w:val="16"/>
                <w:szCs w:val="16"/>
              </w:rPr>
            </w:pPr>
          </w:p>
        </w:tc>
        <w:tc>
          <w:tcPr>
            <w:tcW w:w="1560" w:type="dxa"/>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Off balance sheet</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12.5</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1110"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8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3.2</w:t>
            </w:r>
          </w:p>
        </w:tc>
        <w:tc>
          <w:tcPr>
            <w:tcW w:w="118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735" w:type="dxa"/>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21.2</w:t>
            </w:r>
          </w:p>
        </w:tc>
      </w:tr>
      <w:tr w:rsidR="00130A6D">
        <w:trPr>
          <w:trHeight w:val="195"/>
        </w:trPr>
        <w:tc>
          <w:tcPr>
            <w:tcW w:w="0" w:type="auto"/>
            <w:vMerge/>
            <w:tcBorders>
              <w:bottom w:val="single" w:sz="6" w:space="0" w:color="000000"/>
            </w:tcBorders>
            <w:tcMar>
              <w:top w:w="0" w:type="dxa"/>
              <w:bottom w:w="0" w:type="dxa"/>
            </w:tcMar>
            <w:vAlign w:val="center"/>
            <w:hideMark/>
          </w:tcPr>
          <w:p w:rsidR="00906C3D" w:rsidRDefault="00906C3D">
            <w:pPr>
              <w:spacing w:line="240" w:lineRule="auto"/>
              <w:contextualSpacing/>
              <w:rPr>
                <w:rFonts w:eastAsia="Arial" w:cs="Arial"/>
                <w:color w:val="000000"/>
                <w:sz w:val="16"/>
                <w:szCs w:val="16"/>
              </w:rPr>
            </w:pPr>
          </w:p>
        </w:tc>
        <w:tc>
          <w:tcPr>
            <w:tcW w:w="1560"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rPr>
                <w:rFonts w:eastAsia="Arial" w:cs="Arial"/>
                <w:color w:val="000000"/>
                <w:szCs w:val="18"/>
              </w:rPr>
            </w:pPr>
            <w:r>
              <w:rPr>
                <w:rFonts w:eastAsia="Arial" w:cs="Arial"/>
                <w:color w:val="000000"/>
                <w:szCs w:val="18"/>
              </w:rPr>
              <w:t>Total</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30.2</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11.9</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63.3</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8.9</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5.7</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9.6</w:t>
            </w:r>
          </w:p>
        </w:tc>
        <w:tc>
          <w:tcPr>
            <w:tcW w:w="118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735" w:type="dxa"/>
            <w:tcBorders>
              <w:bottom w:val="single" w:sz="6" w:space="0" w:color="000000"/>
            </w:tcBorders>
            <w:shd w:val="clear" w:color="auto" w:fill="FFFFFF"/>
            <w:tcMar>
              <w:top w:w="0" w:type="dxa"/>
              <w:left w:w="5" w:type="dxa"/>
              <w:bottom w:w="0" w:type="dxa"/>
              <w:right w:w="5" w:type="dxa"/>
            </w:tcMar>
            <w:vAlign w:val="center"/>
            <w:hideMark/>
          </w:tcPr>
          <w:p w:rsidR="00906C3D" w:rsidRDefault="004160AB">
            <w:pPr>
              <w:spacing w:line="240" w:lineRule="auto"/>
              <w:contextualSpacing/>
              <w:jc w:val="right"/>
              <w:rPr>
                <w:rFonts w:eastAsia="Arial" w:cs="Arial"/>
                <w:color w:val="000000"/>
                <w:sz w:val="16"/>
                <w:szCs w:val="16"/>
              </w:rPr>
            </w:pPr>
            <w:r>
              <w:rPr>
                <w:rFonts w:eastAsia="Arial" w:cs="Arial"/>
                <w:color w:val="000000"/>
                <w:sz w:val="16"/>
                <w:szCs w:val="16"/>
              </w:rPr>
              <w:t>131.0</w:t>
            </w:r>
          </w:p>
        </w:tc>
      </w:tr>
    </w:tbl>
    <w:p w:rsidR="00730914" w:rsidRDefault="00730914" w:rsidP="00E856D0">
      <w:pPr>
        <w:rPr>
          <w:rFonts w:eastAsia="Times New Roman" w:cs="Arial"/>
          <w:bCs/>
          <w:color w:val="5E10B1"/>
          <w:szCs w:val="20"/>
          <w:lang w:eastAsia="ja-JP"/>
        </w:rPr>
      </w:pPr>
    </w:p>
    <w:p w:rsidR="00E856D0" w:rsidRPr="000D481F" w:rsidRDefault="004160AB" w:rsidP="00E856D0">
      <w:pPr>
        <w:rPr>
          <w:rFonts w:eastAsia="Times New Roman" w:cs="Arial"/>
          <w:bCs/>
          <w:color w:val="5E10B1"/>
          <w:szCs w:val="20"/>
          <w:lang w:eastAsia="ja-JP"/>
        </w:rPr>
      </w:pPr>
      <w:r w:rsidRPr="000D481F">
        <w:rPr>
          <w:rFonts w:eastAsia="Times New Roman" w:cs="Arial"/>
          <w:bCs/>
          <w:color w:val="5E10B1"/>
          <w:szCs w:val="20"/>
          <w:lang w:eastAsia="ja-JP"/>
        </w:rPr>
        <w:t>Liquidity portfolio</w:t>
      </w:r>
    </w:p>
    <w:p w:rsidR="00E856D0" w:rsidRPr="000D481F" w:rsidRDefault="004160AB" w:rsidP="00E856D0">
      <w:pPr>
        <w:pStyle w:val="Normal00"/>
        <w:spacing w:line="276" w:lineRule="auto"/>
        <w:rPr>
          <w:rFonts w:ascii="Arial" w:hAnsi="Arial" w:cs="Arial"/>
          <w:sz w:val="18"/>
          <w:szCs w:val="20"/>
        </w:rPr>
      </w:pPr>
      <w:r w:rsidRPr="000D481F">
        <w:rPr>
          <w:rFonts w:ascii="Arial" w:hAnsi="Arial" w:cs="Arial"/>
          <w:sz w:val="18"/>
          <w:szCs w:val="20"/>
        </w:rPr>
        <w:t>The table below shows the liquidity portfolio by product, with primary liquidity aligned to internal stressed outflow coverage and regulatory liquidity coverage ratio (LCR) categorisation. Secondary liquidity comprises assets eligible for discount at central banks, which do not form part of the liquid asset portfolio for LCR or internal stressed outflow purposes.</w:t>
      </w:r>
    </w:p>
    <w:p w:rsidR="00E856D0" w:rsidRDefault="00E856D0" w:rsidP="00E856D0">
      <w:pPr>
        <w:pStyle w:val="Normal00"/>
        <w:spacing w:line="276" w:lineRule="auto"/>
        <w:ind w:left="255" w:hanging="255"/>
        <w:jc w:val="both"/>
        <w:rPr>
          <w:rFonts w:ascii="Arial" w:eastAsia="SimSun" w:hAnsi="Arial" w:cs="Arial"/>
          <w:sz w:val="14"/>
          <w:szCs w:val="14"/>
        </w:rPr>
      </w:pPr>
    </w:p>
    <w:tbl>
      <w:tblPr>
        <w:tblStyle w:val="table"/>
        <w:tblW w:w="10140" w:type="dxa"/>
        <w:tblInd w:w="5" w:type="dxa"/>
        <w:tblCellMar>
          <w:left w:w="0" w:type="dxa"/>
          <w:right w:w="0" w:type="dxa"/>
        </w:tblCellMar>
        <w:tblLook w:val="05E0" w:firstRow="1" w:lastRow="1" w:firstColumn="1" w:lastColumn="1" w:noHBand="0" w:noVBand="1"/>
      </w:tblPr>
      <w:tblGrid>
        <w:gridCol w:w="5085"/>
        <w:gridCol w:w="1635"/>
        <w:gridCol w:w="60"/>
        <w:gridCol w:w="1635"/>
        <w:gridCol w:w="90"/>
        <w:gridCol w:w="1635"/>
      </w:tblGrid>
      <w:tr w:rsidR="00130A6D">
        <w:trPr>
          <w:trHeight w:val="210"/>
        </w:trPr>
        <w:tc>
          <w:tcPr>
            <w:tcW w:w="5085"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5055" w:type="dxa"/>
            <w:gridSpan w:val="5"/>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Liquidity value</w:t>
            </w:r>
          </w:p>
        </w:tc>
      </w:tr>
      <w:tr w:rsidR="00130A6D">
        <w:trPr>
          <w:trHeight w:val="210"/>
        </w:trPr>
        <w:tc>
          <w:tcPr>
            <w:tcW w:w="5085"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30 September 2020</w:t>
            </w: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center"/>
              <w:rPr>
                <w:rFonts w:eastAsia="Arial" w:cs="Arial"/>
                <w:color w:val="5E10B1"/>
                <w:sz w:val="16"/>
                <w:szCs w:val="16"/>
              </w:rPr>
            </w:pPr>
            <w:r>
              <w:rPr>
                <w:rFonts w:eastAsia="Arial" w:cs="Arial"/>
                <w:color w:val="5E10B1"/>
                <w:sz w:val="16"/>
                <w:szCs w:val="16"/>
              </w:rPr>
              <w:t>30 June 2020</w:t>
            </w:r>
          </w:p>
        </w:tc>
        <w:tc>
          <w:tcPr>
            <w:tcW w:w="90" w:type="dxa"/>
            <w:tcBorders>
              <w:top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jc w:val="center"/>
              <w:rPr>
                <w:rFonts w:eastAsia="Arial" w:cs="Arial"/>
                <w:color w:val="5E10B1"/>
                <w:sz w:val="16"/>
                <w:szCs w:val="16"/>
              </w:rPr>
            </w:pPr>
          </w:p>
        </w:tc>
        <w:tc>
          <w:tcPr>
            <w:tcW w:w="16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center"/>
              <w:rPr>
                <w:rFonts w:eastAsia="Arial" w:cs="Arial"/>
                <w:color w:val="5E10B1"/>
                <w:sz w:val="16"/>
                <w:szCs w:val="16"/>
              </w:rPr>
            </w:pPr>
            <w:r>
              <w:rPr>
                <w:rFonts w:eastAsia="Arial" w:cs="Arial"/>
                <w:color w:val="5E10B1"/>
                <w:sz w:val="16"/>
                <w:szCs w:val="16"/>
              </w:rPr>
              <w:t>31 December 2019</w:t>
            </w:r>
          </w:p>
        </w:tc>
      </w:tr>
      <w:tr w:rsidR="00130A6D">
        <w:trPr>
          <w:trHeight w:val="135"/>
        </w:trPr>
        <w:tc>
          <w:tcPr>
            <w:tcW w:w="5085"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NatWest</w:t>
            </w: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NatWest</w:t>
            </w: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NatWest</w:t>
            </w:r>
          </w:p>
        </w:tc>
      </w:tr>
      <w:tr w:rsidR="00130A6D">
        <w:trPr>
          <w:trHeight w:val="135"/>
        </w:trPr>
        <w:tc>
          <w:tcPr>
            <w:tcW w:w="5085"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Style w:val="font400"/>
              </w:rPr>
              <w:t xml:space="preserve">Group </w:t>
            </w:r>
            <w:r>
              <w:rPr>
                <w:rStyle w:val="font7"/>
              </w:rPr>
              <w:t>(1)</w:t>
            </w: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Style w:val="font30"/>
              </w:rPr>
              <w:t xml:space="preserve">Group </w:t>
            </w:r>
            <w:r>
              <w:rPr>
                <w:rStyle w:val="font7"/>
              </w:rPr>
              <w:t>(1)</w:t>
            </w: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Style w:val="font30"/>
              </w:rPr>
              <w:t xml:space="preserve">Group </w:t>
            </w:r>
            <w:r>
              <w:rPr>
                <w:rStyle w:val="font7"/>
              </w:rPr>
              <w:t>(1)</w:t>
            </w:r>
          </w:p>
        </w:tc>
      </w:tr>
      <w:tr w:rsidR="00130A6D">
        <w:trPr>
          <w:trHeight w:val="195"/>
        </w:trPr>
        <w:tc>
          <w:tcPr>
            <w:tcW w:w="5085" w:type="dxa"/>
            <w:tcBorders>
              <w:bottom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90" w:type="dxa"/>
            <w:tcBorders>
              <w:bottom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r>
      <w:tr w:rsidR="00130A6D">
        <w:trPr>
          <w:trHeight w:val="195"/>
        </w:trPr>
        <w:tc>
          <w:tcPr>
            <w:tcW w:w="5085" w:type="dxa"/>
            <w:shd w:val="clear" w:color="auto" w:fill="FFFFFF"/>
            <w:tcMar>
              <w:top w:w="0" w:type="dxa"/>
              <w:left w:w="5"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Cash and balances at central banks</w:t>
            </w:r>
          </w:p>
        </w:tc>
        <w:tc>
          <w:tcPr>
            <w:tcW w:w="1635" w:type="dxa"/>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103,198</w:t>
            </w: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97,201</w:t>
            </w: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74,289</w:t>
            </w:r>
          </w:p>
        </w:tc>
      </w:tr>
      <w:tr w:rsidR="00130A6D">
        <w:trPr>
          <w:trHeight w:val="195"/>
        </w:trPr>
        <w:tc>
          <w:tcPr>
            <w:tcW w:w="5092" w:type="dxa"/>
            <w:tcBorders>
              <w:top w:val="single" w:sz="6" w:space="0" w:color="000000"/>
              <w:left w:val="single" w:sz="6" w:space="0" w:color="000000"/>
            </w:tcBorders>
            <w:shd w:val="clear" w:color="auto" w:fill="FFFFFF"/>
            <w:tcMar>
              <w:top w:w="0" w:type="dxa"/>
              <w:left w:w="8"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  AAA to AA- rated governments</w:t>
            </w:r>
          </w:p>
        </w:tc>
        <w:tc>
          <w:tcPr>
            <w:tcW w:w="1635" w:type="dxa"/>
            <w:tcBorders>
              <w:top w:val="single" w:sz="6" w:space="0" w:color="000000"/>
            </w:tcBorders>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49,143</w:t>
            </w:r>
          </w:p>
        </w:tc>
        <w:tc>
          <w:tcPr>
            <w:tcW w:w="60" w:type="dxa"/>
            <w:tcBorders>
              <w:top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tcBorders>
              <w:top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56,234</w:t>
            </w:r>
          </w:p>
        </w:tc>
        <w:tc>
          <w:tcPr>
            <w:tcW w:w="90" w:type="dxa"/>
            <w:tcBorders>
              <w:top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42" w:type="dxa"/>
            <w:tcBorders>
              <w:top w:val="single" w:sz="6" w:space="0" w:color="000000"/>
              <w:right w:val="single" w:sz="6" w:space="0" w:color="000000"/>
            </w:tcBorders>
            <w:shd w:val="clear" w:color="auto" w:fill="FFFFFF"/>
            <w:tcMar>
              <w:top w:w="0" w:type="dxa"/>
              <w:left w:w="5" w:type="dxa"/>
              <w:bottom w:w="0" w:type="dxa"/>
              <w:right w:w="8"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46,622</w:t>
            </w:r>
          </w:p>
        </w:tc>
      </w:tr>
      <w:tr w:rsidR="00130A6D">
        <w:trPr>
          <w:trHeight w:val="195"/>
        </w:trPr>
        <w:tc>
          <w:tcPr>
            <w:tcW w:w="5092" w:type="dxa"/>
            <w:tcBorders>
              <w:left w:val="single" w:sz="6" w:space="0" w:color="000000"/>
            </w:tcBorders>
            <w:shd w:val="clear" w:color="auto" w:fill="FFFFFF"/>
            <w:tcMar>
              <w:top w:w="0" w:type="dxa"/>
              <w:left w:w="8"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  A+ and lower rated governments</w:t>
            </w:r>
          </w:p>
        </w:tc>
        <w:tc>
          <w:tcPr>
            <w:tcW w:w="1635" w:type="dxa"/>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492</w:t>
            </w: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1,040</w:t>
            </w: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42" w:type="dxa"/>
            <w:tcBorders>
              <w:right w:val="single" w:sz="6" w:space="0" w:color="000000"/>
            </w:tcBorders>
            <w:shd w:val="clear" w:color="auto" w:fill="FFFFFF"/>
            <w:tcMar>
              <w:top w:w="0" w:type="dxa"/>
              <w:left w:w="5" w:type="dxa"/>
              <w:bottom w:w="0" w:type="dxa"/>
              <w:right w:w="8"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1,277</w:t>
            </w:r>
          </w:p>
        </w:tc>
      </w:tr>
      <w:tr w:rsidR="00130A6D">
        <w:trPr>
          <w:trHeight w:val="195"/>
        </w:trPr>
        <w:tc>
          <w:tcPr>
            <w:tcW w:w="5092" w:type="dxa"/>
            <w:tcBorders>
              <w:left w:val="single" w:sz="6" w:space="0" w:color="000000"/>
            </w:tcBorders>
            <w:shd w:val="clear" w:color="auto" w:fill="FFFFFF"/>
            <w:tcMar>
              <w:top w:w="0" w:type="dxa"/>
              <w:left w:w="8"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  Government guaranteed issuers, public sector entities and</w:t>
            </w:r>
          </w:p>
        </w:tc>
        <w:tc>
          <w:tcPr>
            <w:tcW w:w="1635" w:type="dxa"/>
            <w:shd w:val="clear" w:color="auto" w:fill="F4F0E8"/>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42" w:type="dxa"/>
            <w:tcBorders>
              <w:right w:val="single" w:sz="6" w:space="0" w:color="000000"/>
            </w:tcBorders>
            <w:shd w:val="clear" w:color="auto" w:fill="FFFFFF"/>
            <w:tcMar>
              <w:top w:w="0" w:type="dxa"/>
              <w:left w:w="5" w:type="dxa"/>
              <w:bottom w:w="0" w:type="dxa"/>
              <w:right w:w="8" w:type="dxa"/>
            </w:tcMar>
            <w:vAlign w:val="center"/>
            <w:hideMark/>
          </w:tcPr>
          <w:p w:rsidR="00106EC2" w:rsidRDefault="00106EC2">
            <w:pPr>
              <w:spacing w:line="240" w:lineRule="auto"/>
              <w:contextualSpacing/>
              <w:rPr>
                <w:rFonts w:eastAsia="Arial" w:cs="Arial"/>
                <w:color w:val="000000"/>
                <w:sz w:val="16"/>
                <w:szCs w:val="16"/>
              </w:rPr>
            </w:pPr>
          </w:p>
        </w:tc>
      </w:tr>
      <w:tr w:rsidR="00130A6D">
        <w:trPr>
          <w:trHeight w:val="195"/>
        </w:trPr>
        <w:tc>
          <w:tcPr>
            <w:tcW w:w="5092" w:type="dxa"/>
            <w:tcBorders>
              <w:left w:val="single" w:sz="6" w:space="0" w:color="000000"/>
            </w:tcBorders>
            <w:shd w:val="clear" w:color="auto" w:fill="FFFFFF"/>
            <w:tcMar>
              <w:top w:w="0" w:type="dxa"/>
              <w:left w:w="8"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        government sponsored entities</w:t>
            </w:r>
          </w:p>
        </w:tc>
        <w:tc>
          <w:tcPr>
            <w:tcW w:w="1635" w:type="dxa"/>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282</w:t>
            </w: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261</w:t>
            </w: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42" w:type="dxa"/>
            <w:tcBorders>
              <w:right w:val="single" w:sz="6" w:space="0" w:color="000000"/>
            </w:tcBorders>
            <w:shd w:val="clear" w:color="auto" w:fill="FFFFFF"/>
            <w:tcMar>
              <w:top w:w="0" w:type="dxa"/>
              <w:left w:w="5" w:type="dxa"/>
              <w:bottom w:w="0" w:type="dxa"/>
              <w:right w:w="8"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251</w:t>
            </w:r>
          </w:p>
        </w:tc>
      </w:tr>
      <w:tr w:rsidR="00130A6D">
        <w:trPr>
          <w:trHeight w:val="195"/>
        </w:trPr>
        <w:tc>
          <w:tcPr>
            <w:tcW w:w="5092" w:type="dxa"/>
            <w:tcBorders>
              <w:left w:val="single" w:sz="6" w:space="0" w:color="000000"/>
            </w:tcBorders>
            <w:shd w:val="clear" w:color="auto" w:fill="FFFFFF"/>
            <w:tcMar>
              <w:top w:w="0" w:type="dxa"/>
              <w:left w:w="8"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 xml:space="preserve">   International organisations and multilateral development </w:t>
            </w:r>
          </w:p>
        </w:tc>
        <w:tc>
          <w:tcPr>
            <w:tcW w:w="1635" w:type="dxa"/>
            <w:shd w:val="clear" w:color="auto" w:fill="F4F0E8"/>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42" w:type="dxa"/>
            <w:tcBorders>
              <w:right w:val="single" w:sz="6" w:space="0" w:color="000000"/>
            </w:tcBorders>
            <w:shd w:val="clear" w:color="auto" w:fill="FFFFFF"/>
            <w:tcMar>
              <w:top w:w="0" w:type="dxa"/>
              <w:left w:w="5" w:type="dxa"/>
              <w:bottom w:w="0" w:type="dxa"/>
              <w:right w:w="8" w:type="dxa"/>
            </w:tcMar>
            <w:vAlign w:val="center"/>
            <w:hideMark/>
          </w:tcPr>
          <w:p w:rsidR="00106EC2" w:rsidRDefault="00106EC2">
            <w:pPr>
              <w:spacing w:line="240" w:lineRule="auto"/>
              <w:contextualSpacing/>
              <w:rPr>
                <w:rFonts w:eastAsia="Arial" w:cs="Arial"/>
                <w:color w:val="000000"/>
                <w:sz w:val="16"/>
                <w:szCs w:val="16"/>
              </w:rPr>
            </w:pPr>
          </w:p>
        </w:tc>
      </w:tr>
      <w:tr w:rsidR="00130A6D">
        <w:trPr>
          <w:trHeight w:val="195"/>
        </w:trPr>
        <w:tc>
          <w:tcPr>
            <w:tcW w:w="5092" w:type="dxa"/>
            <w:tcBorders>
              <w:left w:val="single" w:sz="6" w:space="0" w:color="000000"/>
              <w:bottom w:val="single" w:sz="6" w:space="0" w:color="000000"/>
            </w:tcBorders>
            <w:shd w:val="clear" w:color="auto" w:fill="FFFFFF"/>
            <w:tcMar>
              <w:top w:w="0" w:type="dxa"/>
              <w:left w:w="8"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        banks</w:t>
            </w:r>
          </w:p>
        </w:tc>
        <w:tc>
          <w:tcPr>
            <w:tcW w:w="1635" w:type="dxa"/>
            <w:tcBorders>
              <w:bottom w:val="single" w:sz="6" w:space="0" w:color="000000"/>
            </w:tcBorders>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2,781</w:t>
            </w: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2,799</w:t>
            </w:r>
          </w:p>
        </w:tc>
        <w:tc>
          <w:tcPr>
            <w:tcW w:w="90" w:type="dxa"/>
            <w:tcBorders>
              <w:bottom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42" w:type="dxa"/>
            <w:tcBorders>
              <w:bottom w:val="single" w:sz="6" w:space="0" w:color="000000"/>
              <w:right w:val="single" w:sz="6" w:space="0" w:color="000000"/>
            </w:tcBorders>
            <w:shd w:val="clear" w:color="auto" w:fill="FFFFFF"/>
            <w:tcMar>
              <w:top w:w="0" w:type="dxa"/>
              <w:left w:w="5" w:type="dxa"/>
              <w:bottom w:w="0" w:type="dxa"/>
              <w:right w:w="8"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2,393</w:t>
            </w:r>
          </w:p>
        </w:tc>
      </w:tr>
      <w:tr w:rsidR="00130A6D">
        <w:trPr>
          <w:trHeight w:val="195"/>
        </w:trPr>
        <w:tc>
          <w:tcPr>
            <w:tcW w:w="508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LCR level 1 bonds</w:t>
            </w:r>
          </w:p>
        </w:tc>
        <w:tc>
          <w:tcPr>
            <w:tcW w:w="1635" w:type="dxa"/>
            <w:tcBorders>
              <w:bottom w:val="single" w:sz="6" w:space="0" w:color="000000"/>
            </w:tcBorders>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52,698</w:t>
            </w: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60,334</w:t>
            </w:r>
          </w:p>
        </w:tc>
        <w:tc>
          <w:tcPr>
            <w:tcW w:w="90" w:type="dxa"/>
            <w:tcBorders>
              <w:bottom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50,543</w:t>
            </w:r>
          </w:p>
        </w:tc>
      </w:tr>
      <w:tr w:rsidR="00130A6D">
        <w:trPr>
          <w:trHeight w:val="195"/>
        </w:trPr>
        <w:tc>
          <w:tcPr>
            <w:tcW w:w="5085" w:type="dxa"/>
            <w:tcBorders>
              <w:top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LCR level 1 assets</w:t>
            </w:r>
          </w:p>
        </w:tc>
        <w:tc>
          <w:tcPr>
            <w:tcW w:w="1635" w:type="dxa"/>
            <w:tcBorders>
              <w:top w:val="single" w:sz="6" w:space="0" w:color="000000"/>
            </w:tcBorders>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155,896</w:t>
            </w:r>
          </w:p>
        </w:tc>
        <w:tc>
          <w:tcPr>
            <w:tcW w:w="60" w:type="dxa"/>
            <w:tcBorders>
              <w:top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tcBorders>
              <w:top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157,535</w:t>
            </w:r>
          </w:p>
        </w:tc>
        <w:tc>
          <w:tcPr>
            <w:tcW w:w="90" w:type="dxa"/>
            <w:tcBorders>
              <w:top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tcBorders>
              <w:top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124,832</w:t>
            </w:r>
          </w:p>
        </w:tc>
      </w:tr>
      <w:tr w:rsidR="00130A6D">
        <w:trPr>
          <w:trHeight w:val="195"/>
        </w:trPr>
        <w:tc>
          <w:tcPr>
            <w:tcW w:w="5085" w:type="dxa"/>
            <w:shd w:val="clear" w:color="auto" w:fill="FFFFFF"/>
            <w:tcMar>
              <w:top w:w="0" w:type="dxa"/>
              <w:left w:w="5"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LCR level 2 assets</w:t>
            </w:r>
          </w:p>
        </w:tc>
        <w:tc>
          <w:tcPr>
            <w:tcW w:w="1635" w:type="dxa"/>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126</w:t>
            </w: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127</w:t>
            </w: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508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Non-LCR eligible assets</w:t>
            </w:r>
          </w:p>
        </w:tc>
        <w:tc>
          <w:tcPr>
            <w:tcW w:w="1635" w:type="dxa"/>
            <w:tcBorders>
              <w:bottom w:val="single" w:sz="6" w:space="0" w:color="000000"/>
            </w:tcBorders>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0" w:type="dxa"/>
            <w:tcBorders>
              <w:bottom w:val="single" w:sz="6" w:space="0" w:color="000000"/>
            </w:tcBorders>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tcBorders>
              <w:bottom w:val="single" w:sz="6" w:space="0" w:color="000000"/>
            </w:tcBorders>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88</w:t>
            </w:r>
          </w:p>
        </w:tc>
      </w:tr>
      <w:tr w:rsidR="00130A6D">
        <w:trPr>
          <w:trHeight w:val="195"/>
        </w:trPr>
        <w:tc>
          <w:tcPr>
            <w:tcW w:w="5085" w:type="dxa"/>
            <w:shd w:val="clear" w:color="auto" w:fill="FFFFFF"/>
            <w:tcMar>
              <w:top w:w="0" w:type="dxa"/>
              <w:left w:w="5"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 xml:space="preserve">Primary liquidity </w:t>
            </w:r>
          </w:p>
        </w:tc>
        <w:tc>
          <w:tcPr>
            <w:tcW w:w="1635" w:type="dxa"/>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156,022</w:t>
            </w: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157,662</w:t>
            </w: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124,920</w:t>
            </w:r>
          </w:p>
        </w:tc>
      </w:tr>
      <w:tr w:rsidR="00130A6D">
        <w:trPr>
          <w:trHeight w:val="195"/>
        </w:trPr>
        <w:tc>
          <w:tcPr>
            <w:tcW w:w="5085" w:type="dxa"/>
            <w:shd w:val="clear" w:color="auto" w:fill="FFFFFF"/>
            <w:tcMar>
              <w:top w:w="0" w:type="dxa"/>
              <w:left w:w="5"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Style w:val="font30"/>
              </w:rPr>
              <w:t xml:space="preserve">Secondary liquidity </w:t>
            </w:r>
            <w:r>
              <w:rPr>
                <w:rStyle w:val="font7"/>
              </w:rPr>
              <w:t>(2)</w:t>
            </w:r>
          </w:p>
        </w:tc>
        <w:tc>
          <w:tcPr>
            <w:tcW w:w="1635" w:type="dxa"/>
            <w:shd w:val="clear" w:color="auto" w:fill="F4F0E8"/>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87,392</w:t>
            </w:r>
          </w:p>
        </w:tc>
        <w:tc>
          <w:tcPr>
            <w:tcW w:w="60" w:type="dxa"/>
            <w:shd w:val="clear" w:color="auto" w:fill="FFFFFF"/>
            <w:tcMar>
              <w:top w:w="0" w:type="dxa"/>
              <w:left w:w="5" w:type="dxa"/>
              <w:bottom w:w="0" w:type="dxa"/>
              <w:right w:w="5" w:type="dxa"/>
            </w:tcMar>
            <w:vAlign w:val="center"/>
            <w:hideMark/>
          </w:tcPr>
          <w:p w:rsidR="00106EC2" w:rsidRDefault="00106EC2">
            <w:pPr>
              <w:spacing w:line="240" w:lineRule="auto"/>
              <w:contextualSpacing/>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84,910</w:t>
            </w:r>
          </w:p>
        </w:tc>
        <w:tc>
          <w:tcPr>
            <w:tcW w:w="90" w:type="dxa"/>
            <w:shd w:val="clear" w:color="auto" w:fill="FFFFFF"/>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shd w:val="clear" w:color="auto" w:fill="FFFFFF"/>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74,431</w:t>
            </w:r>
          </w:p>
        </w:tc>
      </w:tr>
      <w:tr w:rsidR="00130A6D">
        <w:trPr>
          <w:trHeight w:val="195"/>
        </w:trPr>
        <w:tc>
          <w:tcPr>
            <w:tcW w:w="5085"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106EC2" w:rsidRDefault="004160AB">
            <w:pPr>
              <w:spacing w:line="240" w:lineRule="auto"/>
              <w:contextualSpacing/>
              <w:rPr>
                <w:rFonts w:eastAsia="Arial" w:cs="Arial"/>
                <w:color w:val="000000"/>
                <w:sz w:val="16"/>
                <w:szCs w:val="16"/>
              </w:rPr>
            </w:pPr>
            <w:r>
              <w:rPr>
                <w:rFonts w:eastAsia="Arial" w:cs="Arial"/>
                <w:color w:val="000000"/>
                <w:sz w:val="16"/>
                <w:szCs w:val="16"/>
              </w:rPr>
              <w:t>Total liquidity value</w:t>
            </w:r>
          </w:p>
        </w:tc>
        <w:tc>
          <w:tcPr>
            <w:tcW w:w="1635" w:type="dxa"/>
            <w:tcBorders>
              <w:top w:val="single" w:sz="6" w:space="0" w:color="000000"/>
              <w:bottom w:val="single" w:sz="6" w:space="0" w:color="000000"/>
            </w:tcBorders>
            <w:shd w:val="clear" w:color="auto" w:fill="F4F0E8"/>
            <w:noWrap/>
            <w:tcMar>
              <w:top w:w="0" w:type="dxa"/>
              <w:left w:w="5" w:type="dxa"/>
              <w:bottom w:w="0" w:type="dxa"/>
              <w:right w:w="5" w:type="dxa"/>
            </w:tcMar>
            <w:vAlign w:val="center"/>
            <w:hideMark/>
          </w:tcPr>
          <w:p w:rsidR="00106EC2"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243,414</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06EC2" w:rsidRDefault="00106EC2">
            <w:pPr>
              <w:spacing w:line="240" w:lineRule="auto"/>
              <w:contextualSpacing/>
              <w:rPr>
                <w:rFonts w:eastAsia="Arial" w:cs="Arial"/>
                <w:color w:val="000000"/>
                <w:sz w:val="16"/>
                <w:szCs w:val="16"/>
              </w:rPr>
            </w:pPr>
          </w:p>
        </w:tc>
        <w:tc>
          <w:tcPr>
            <w:tcW w:w="1635"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242,572</w:t>
            </w:r>
          </w:p>
        </w:tc>
        <w:tc>
          <w:tcPr>
            <w:tcW w:w="90"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106EC2" w:rsidRDefault="00106EC2">
            <w:pPr>
              <w:spacing w:line="240" w:lineRule="auto"/>
              <w:contextualSpacing/>
              <w:jc w:val="right"/>
              <w:rPr>
                <w:rFonts w:eastAsia="Arial" w:cs="Arial"/>
                <w:color w:val="000000"/>
                <w:sz w:val="16"/>
                <w:szCs w:val="16"/>
              </w:rPr>
            </w:pPr>
          </w:p>
        </w:tc>
        <w:tc>
          <w:tcPr>
            <w:tcW w:w="1635" w:type="dxa"/>
            <w:tcBorders>
              <w:top w:val="single" w:sz="6" w:space="0" w:color="000000"/>
              <w:bottom w:val="single" w:sz="6" w:space="0" w:color="000000"/>
            </w:tcBorders>
            <w:shd w:val="clear" w:color="auto" w:fill="FFFFFF"/>
            <w:noWrap/>
            <w:tcMar>
              <w:top w:w="0" w:type="dxa"/>
              <w:left w:w="5" w:type="dxa"/>
              <w:bottom w:w="0" w:type="dxa"/>
              <w:right w:w="5" w:type="dxa"/>
            </w:tcMar>
            <w:vAlign w:val="center"/>
            <w:hideMark/>
          </w:tcPr>
          <w:p w:rsidR="00106EC2" w:rsidRDefault="004160AB">
            <w:pPr>
              <w:spacing w:line="240" w:lineRule="auto"/>
              <w:contextualSpacing/>
              <w:jc w:val="right"/>
              <w:rPr>
                <w:rFonts w:eastAsia="Arial" w:cs="Arial"/>
                <w:color w:val="000000"/>
                <w:sz w:val="16"/>
                <w:szCs w:val="16"/>
              </w:rPr>
            </w:pPr>
            <w:r>
              <w:rPr>
                <w:rFonts w:eastAsia="Arial" w:cs="Arial"/>
                <w:color w:val="000000"/>
                <w:sz w:val="16"/>
                <w:szCs w:val="16"/>
              </w:rPr>
              <w:t>199,351</w:t>
            </w:r>
          </w:p>
        </w:tc>
      </w:tr>
    </w:tbl>
    <w:p w:rsidR="00D8307F" w:rsidRDefault="00D8307F" w:rsidP="00E856D0">
      <w:pPr>
        <w:pStyle w:val="Normal00"/>
        <w:spacing w:line="276" w:lineRule="auto"/>
        <w:ind w:left="255" w:hanging="255"/>
        <w:jc w:val="both"/>
        <w:rPr>
          <w:rFonts w:ascii="Arial" w:eastAsia="SimSun" w:hAnsi="Arial" w:cs="Arial"/>
          <w:sz w:val="14"/>
          <w:szCs w:val="14"/>
        </w:rPr>
      </w:pPr>
    </w:p>
    <w:p w:rsidR="00E856D0" w:rsidRPr="00321909" w:rsidRDefault="004160AB" w:rsidP="00E856D0">
      <w:pPr>
        <w:pStyle w:val="Normal00"/>
        <w:spacing w:line="276" w:lineRule="auto"/>
        <w:ind w:left="255" w:hanging="255"/>
        <w:jc w:val="both"/>
        <w:rPr>
          <w:rFonts w:ascii="Arial" w:eastAsia="SimSun" w:hAnsi="Arial" w:cs="Arial"/>
          <w:sz w:val="14"/>
          <w:szCs w:val="14"/>
        </w:rPr>
      </w:pPr>
      <w:r w:rsidRPr="00321909">
        <w:rPr>
          <w:rFonts w:ascii="Arial" w:eastAsia="SimSun" w:hAnsi="Arial" w:cs="Arial"/>
          <w:sz w:val="14"/>
          <w:szCs w:val="14"/>
        </w:rPr>
        <w:t>Notes:</w:t>
      </w:r>
    </w:p>
    <w:tbl>
      <w:tblPr>
        <w:tblW w:w="10206" w:type="dxa"/>
        <w:tblCellMar>
          <w:left w:w="0" w:type="dxa"/>
          <w:right w:w="0" w:type="dxa"/>
        </w:tblCellMar>
        <w:tblLook w:val="01E0" w:firstRow="1" w:lastRow="1" w:firstColumn="1" w:lastColumn="1" w:noHBand="0" w:noVBand="0"/>
      </w:tblPr>
      <w:tblGrid>
        <w:gridCol w:w="339"/>
        <w:gridCol w:w="9867"/>
      </w:tblGrid>
      <w:tr w:rsidR="00130A6D" w:rsidTr="00AD2B45">
        <w:tc>
          <w:tcPr>
            <w:tcW w:w="339" w:type="dxa"/>
          </w:tcPr>
          <w:p w:rsidR="003D28EF" w:rsidRPr="00533C78" w:rsidRDefault="004160AB" w:rsidP="00AD2B45">
            <w:pPr>
              <w:pStyle w:val="Normal00"/>
              <w:spacing w:line="22" w:lineRule="atLeast"/>
              <w:rPr>
                <w:rFonts w:ascii="Arial" w:hAnsi="Arial" w:cs="Arial"/>
                <w:iCs/>
                <w:sz w:val="14"/>
                <w:szCs w:val="14"/>
                <w:lang w:eastAsia="ja-JP"/>
              </w:rPr>
            </w:pPr>
            <w:r w:rsidRPr="00533C78">
              <w:rPr>
                <w:rFonts w:ascii="Arial" w:hAnsi="Arial" w:cs="Arial"/>
                <w:iCs/>
                <w:sz w:val="14"/>
                <w:szCs w:val="14"/>
                <w:lang w:eastAsia="ja-JP"/>
              </w:rPr>
              <w:t>(1)</w:t>
            </w:r>
          </w:p>
        </w:tc>
        <w:tc>
          <w:tcPr>
            <w:tcW w:w="9867" w:type="dxa"/>
          </w:tcPr>
          <w:p w:rsidR="003D28EF" w:rsidRPr="007F3A54" w:rsidRDefault="004160AB" w:rsidP="00AD2B45">
            <w:pPr>
              <w:pStyle w:val="Normal00"/>
              <w:spacing w:line="22" w:lineRule="atLeast"/>
              <w:rPr>
                <w:rFonts w:ascii="Arial" w:hAnsi="Arial" w:cs="Arial"/>
                <w:sz w:val="14"/>
                <w:szCs w:val="14"/>
                <w:lang w:eastAsia="en-US"/>
              </w:rPr>
            </w:pPr>
            <w:r w:rsidRPr="007F3A54">
              <w:rPr>
                <w:rFonts w:ascii="Arial" w:hAnsi="Arial" w:cs="Arial"/>
                <w:sz w:val="14"/>
                <w:szCs w:val="14"/>
                <w:lang w:eastAsia="en-US"/>
              </w:rPr>
              <w:t xml:space="preserve">NatWest Group includes the UK Domestic Liquidity Sub-Group (NWB Plc, RBS plc, Coutts &amp; Co and Ulster Bank Limited), NatWest Markets Plc and other significant operating subsidiaries that hold liquidity portfolios. These include The Royal Bank of Scotland International Limited, NWM N.V. and Ulster Bank Ireland DAC who hold managed portfolios that comply with local regulations that may differ from PRA rules. </w:t>
            </w:r>
          </w:p>
        </w:tc>
      </w:tr>
      <w:tr w:rsidR="00130A6D" w:rsidTr="00AD2B45">
        <w:tc>
          <w:tcPr>
            <w:tcW w:w="339" w:type="dxa"/>
          </w:tcPr>
          <w:p w:rsidR="003D28EF" w:rsidRPr="00533C78" w:rsidRDefault="004160AB" w:rsidP="00AD2B45">
            <w:pPr>
              <w:pStyle w:val="Normal00"/>
              <w:rPr>
                <w:rFonts w:ascii="Arial" w:hAnsi="Arial" w:cs="Arial"/>
                <w:iCs/>
                <w:sz w:val="14"/>
                <w:szCs w:val="14"/>
                <w:lang w:eastAsia="ja-JP"/>
              </w:rPr>
            </w:pPr>
            <w:r w:rsidRPr="00533C78">
              <w:rPr>
                <w:rFonts w:ascii="Arial" w:hAnsi="Arial" w:cs="Arial"/>
                <w:iCs/>
                <w:sz w:val="14"/>
                <w:szCs w:val="14"/>
                <w:lang w:eastAsia="ja-JP"/>
              </w:rPr>
              <w:t>(2)</w:t>
            </w:r>
          </w:p>
        </w:tc>
        <w:tc>
          <w:tcPr>
            <w:tcW w:w="9867" w:type="dxa"/>
          </w:tcPr>
          <w:p w:rsidR="003D28EF" w:rsidRPr="00533C78" w:rsidRDefault="004160AB" w:rsidP="00FA1DBB">
            <w:pPr>
              <w:pStyle w:val="Normal00"/>
              <w:spacing w:line="22" w:lineRule="atLeast"/>
              <w:rPr>
                <w:rFonts w:ascii="Arial" w:hAnsi="Arial" w:cs="Arial"/>
                <w:iCs/>
                <w:sz w:val="14"/>
                <w:szCs w:val="14"/>
                <w:lang w:eastAsia="ja-JP"/>
              </w:rPr>
            </w:pPr>
            <w:r w:rsidRPr="00533C78">
              <w:rPr>
                <w:rFonts w:ascii="Arial" w:hAnsi="Arial" w:cs="Arial"/>
                <w:iCs/>
                <w:sz w:val="14"/>
                <w:szCs w:val="14"/>
              </w:rPr>
              <w:t>Comprises assets eligible for discounting at the Bank of England and other central banks.</w:t>
            </w:r>
          </w:p>
        </w:tc>
      </w:tr>
      <w:tr w:rsidR="00130A6D" w:rsidTr="00AD2B45">
        <w:tc>
          <w:tcPr>
            <w:tcW w:w="339" w:type="dxa"/>
          </w:tcPr>
          <w:p w:rsidR="00FA1DBB" w:rsidRPr="00533C78" w:rsidRDefault="004160AB" w:rsidP="00AD2B45">
            <w:pPr>
              <w:pStyle w:val="Normal00"/>
              <w:rPr>
                <w:rFonts w:ascii="Arial" w:hAnsi="Arial" w:cs="Arial"/>
                <w:iCs/>
                <w:sz w:val="14"/>
                <w:szCs w:val="14"/>
                <w:lang w:eastAsia="ja-JP"/>
              </w:rPr>
            </w:pPr>
            <w:r>
              <w:rPr>
                <w:rFonts w:ascii="Arial" w:hAnsi="Arial" w:cs="Arial"/>
                <w:iCs/>
                <w:sz w:val="14"/>
                <w:szCs w:val="14"/>
                <w:lang w:eastAsia="ja-JP"/>
              </w:rPr>
              <w:t>(3)</w:t>
            </w:r>
          </w:p>
        </w:tc>
        <w:tc>
          <w:tcPr>
            <w:tcW w:w="9867" w:type="dxa"/>
          </w:tcPr>
          <w:p w:rsidR="00FA1DBB" w:rsidRPr="00533C78" w:rsidRDefault="004160AB" w:rsidP="00FA1DBB">
            <w:pPr>
              <w:pStyle w:val="Normal00"/>
              <w:spacing w:line="22" w:lineRule="atLeast"/>
              <w:rPr>
                <w:rFonts w:ascii="Arial" w:hAnsi="Arial" w:cs="Arial"/>
                <w:iCs/>
                <w:sz w:val="14"/>
                <w:szCs w:val="14"/>
              </w:rPr>
            </w:pPr>
            <w:r w:rsidRPr="00FA1DBB">
              <w:rPr>
                <w:rFonts w:ascii="Arial" w:hAnsi="Arial" w:cs="Arial"/>
                <w:iCs/>
                <w:sz w:val="14"/>
                <w:szCs w:val="14"/>
              </w:rPr>
              <w:t>Liquidity portfolio table approach has been aligned to the ILAAP methodology with effect from December 2019.</w:t>
            </w:r>
          </w:p>
        </w:tc>
      </w:tr>
    </w:tbl>
    <w:p w:rsidR="006D648E" w:rsidRDefault="006D648E" w:rsidP="003D28EF">
      <w:pPr>
        <w:pStyle w:val="Normal00"/>
        <w:spacing w:line="276" w:lineRule="auto"/>
        <w:jc w:val="both"/>
        <w:sectPr w:rsidR="006D648E" w:rsidSect="00ED0D05">
          <w:headerReference w:type="even" r:id="rId40"/>
          <w:headerReference w:type="default" r:id="rId41"/>
          <w:footerReference w:type="even" r:id="rId42"/>
          <w:footerReference w:type="default" r:id="rId43"/>
          <w:headerReference w:type="first" r:id="rId44"/>
          <w:footerReference w:type="first" r:id="rId45"/>
          <w:type w:val="continuous"/>
          <w:pgSz w:w="11906" w:h="16838"/>
          <w:pgMar w:top="1134" w:right="851" w:bottom="680" w:left="851" w:header="708" w:footer="708" w:gutter="0"/>
          <w:cols w:space="708"/>
          <w:docGrid w:linePitch="360"/>
        </w:sectPr>
      </w:pPr>
    </w:p>
    <w:p w:rsidR="004247BD" w:rsidRDefault="004160AB">
      <w:pPr>
        <w:spacing w:after="200"/>
        <w:rPr>
          <w:rFonts w:eastAsia="Calibri" w:cs="Arial"/>
          <w:b/>
          <w:color w:val="42145F"/>
          <w:sz w:val="20"/>
          <w:szCs w:val="20"/>
          <w:lang w:eastAsia="en-GB"/>
        </w:rPr>
      </w:pPr>
      <w:r>
        <w:rPr>
          <w:rFonts w:eastAsia="Calibri"/>
          <w:b/>
          <w:color w:val="42145F"/>
          <w:sz w:val="20"/>
          <w:szCs w:val="20"/>
        </w:rPr>
        <w:br w:type="page"/>
      </w:r>
    </w:p>
    <w:p w:rsidR="00175EEA" w:rsidRPr="00AA3A8E" w:rsidRDefault="004160AB" w:rsidP="00CC5FA7">
      <w:pPr>
        <w:pStyle w:val="Normal200"/>
        <w:spacing w:line="276" w:lineRule="auto"/>
        <w:ind w:right="98"/>
        <w:rPr>
          <w:rFonts w:eastAsia="Calibri"/>
          <w:b/>
          <w:color w:val="42145F"/>
          <w:sz w:val="18"/>
          <w:szCs w:val="18"/>
        </w:rPr>
      </w:pPr>
      <w:r w:rsidRPr="00AA3A8E">
        <w:rPr>
          <w:rFonts w:eastAsia="Calibri"/>
          <w:b/>
          <w:color w:val="42145F"/>
          <w:sz w:val="18"/>
          <w:szCs w:val="18"/>
        </w:rPr>
        <w:lastRenderedPageBreak/>
        <w:t>Capital and risk management</w:t>
      </w:r>
    </w:p>
    <w:p w:rsidR="00175EEA" w:rsidRPr="00AA3A8E" w:rsidRDefault="004160AB" w:rsidP="00CC5FA7">
      <w:pPr>
        <w:pStyle w:val="Normal200"/>
        <w:spacing w:line="276" w:lineRule="auto"/>
        <w:ind w:right="98"/>
        <w:rPr>
          <w:rFonts w:eastAsia="Calibri"/>
          <w:b/>
          <w:color w:val="5E10B1"/>
          <w:sz w:val="18"/>
          <w:szCs w:val="18"/>
        </w:rPr>
      </w:pPr>
      <w:bookmarkStart w:id="18" w:name="NWG_CR"/>
      <w:r w:rsidRPr="00AA3A8E">
        <w:rPr>
          <w:rFonts w:eastAsia="Calibri"/>
          <w:b/>
          <w:color w:val="5E10B1"/>
          <w:sz w:val="18"/>
          <w:szCs w:val="18"/>
        </w:rPr>
        <w:t>Credit risk</w:t>
      </w:r>
    </w:p>
    <w:bookmarkEnd w:id="18"/>
    <w:p w:rsidR="00092F94" w:rsidRPr="00AA3A8E" w:rsidRDefault="004160AB" w:rsidP="00CC5FA7">
      <w:pPr>
        <w:pStyle w:val="Normal200"/>
        <w:spacing w:line="276" w:lineRule="auto"/>
        <w:ind w:right="98"/>
        <w:rPr>
          <w:rFonts w:eastAsia="Calibri"/>
          <w:color w:val="5E10B1"/>
          <w:sz w:val="18"/>
          <w:szCs w:val="18"/>
        </w:rPr>
      </w:pPr>
      <w:r w:rsidRPr="00AA3A8E">
        <w:rPr>
          <w:rFonts w:eastAsia="Calibri"/>
          <w:color w:val="5E10B1"/>
          <w:sz w:val="18"/>
          <w:szCs w:val="18"/>
        </w:rPr>
        <w:t>Portfolio summary – segment analysis</w:t>
      </w:r>
    </w:p>
    <w:p w:rsidR="005B5C5A" w:rsidRDefault="004160AB" w:rsidP="00FD3148">
      <w:pPr>
        <w:rPr>
          <w:rFonts w:eastAsia="Calibri"/>
          <w:color w:val="5E10B1"/>
          <w:sz w:val="20"/>
          <w:szCs w:val="20"/>
        </w:rPr>
      </w:pPr>
      <w:r w:rsidRPr="00AA3A8E">
        <w:rPr>
          <w:rFonts w:cs="Arial"/>
          <w:color w:val="000000"/>
          <w:szCs w:val="18"/>
        </w:rPr>
        <w:t>The table below shows gross loans and ECL, by segment and stage, within the scope of the IFRS 9 ECL framework.</w:t>
      </w:r>
    </w:p>
    <w:tbl>
      <w:tblPr>
        <w:tblStyle w:val="table"/>
        <w:tblW w:w="10060" w:type="dxa"/>
        <w:tblInd w:w="5" w:type="dxa"/>
        <w:tblCellMar>
          <w:left w:w="0" w:type="dxa"/>
          <w:right w:w="0" w:type="dxa"/>
        </w:tblCellMar>
        <w:tblLook w:val="05E0" w:firstRow="1" w:lastRow="1" w:firstColumn="1" w:lastColumn="1" w:noHBand="0" w:noVBand="1"/>
      </w:tblPr>
      <w:tblGrid>
        <w:gridCol w:w="2757"/>
        <w:gridCol w:w="959"/>
        <w:gridCol w:w="810"/>
        <w:gridCol w:w="960"/>
        <w:gridCol w:w="810"/>
        <w:gridCol w:w="1035"/>
        <w:gridCol w:w="810"/>
        <w:gridCol w:w="1109"/>
        <w:gridCol w:w="810"/>
      </w:tblGrid>
      <w:tr w:rsidR="00130A6D">
        <w:trPr>
          <w:trHeight w:val="195"/>
        </w:trPr>
        <w:tc>
          <w:tcPr>
            <w:tcW w:w="2760" w:type="dxa"/>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5E10B1"/>
                <w:sz w:val="12"/>
                <w:szCs w:val="12"/>
              </w:rPr>
            </w:pP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Retail</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Ulster</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Commercial</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Private</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RBS</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NatWest</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Central items</w:t>
            </w: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2"/>
                <w:szCs w:val="12"/>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5E10B1"/>
                <w:sz w:val="12"/>
                <w:szCs w:val="12"/>
              </w:rPr>
            </w:pP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Banking</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 xml:space="preserve">Bank </w:t>
            </w:r>
            <w:proofErr w:type="spellStart"/>
            <w:r>
              <w:rPr>
                <w:rFonts w:eastAsia="Arial" w:cs="Arial"/>
                <w:b/>
                <w:bCs/>
                <w:color w:val="000000"/>
                <w:sz w:val="12"/>
                <w:szCs w:val="12"/>
              </w:rPr>
              <w:t>RoI</w:t>
            </w:r>
            <w:proofErr w:type="spellEnd"/>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Banking</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Banking</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International</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Markets</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&amp; other (2)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Total</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b/>
                <w:bCs/>
                <w:color w:val="000000"/>
                <w:sz w:val="16"/>
                <w:szCs w:val="16"/>
              </w:rPr>
            </w:pPr>
            <w:r>
              <w:rPr>
                <w:rFonts w:eastAsia="Arial" w:cs="Arial"/>
                <w:b/>
                <w:bCs/>
                <w:color w:val="000000"/>
                <w:sz w:val="16"/>
                <w:szCs w:val="16"/>
              </w:rPr>
              <w:t>30 September 2020</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r>
      <w:tr w:rsidR="00130A6D">
        <w:trPr>
          <w:trHeight w:val="195"/>
        </w:trPr>
        <w:tc>
          <w:tcPr>
            <w:tcW w:w="2760" w:type="dxa"/>
            <w:tcBorders>
              <w:top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5E10B1"/>
                <w:sz w:val="16"/>
                <w:szCs w:val="16"/>
              </w:rPr>
            </w:pPr>
            <w:r>
              <w:rPr>
                <w:rStyle w:val="font510"/>
              </w:rPr>
              <w:t xml:space="preserve">Loans - amortised cost and FVOCI </w:t>
            </w:r>
            <w:r>
              <w:rPr>
                <w:rStyle w:val="font20"/>
              </w:rPr>
              <w:t>(1)</w:t>
            </w:r>
          </w:p>
        </w:tc>
        <w:tc>
          <w:tcPr>
            <w:tcW w:w="96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96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1</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133,208</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13,916</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57,513</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14,637</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12,219</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9,288</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27,454</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268,235</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2</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33,289</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4,222</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52,291</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1,911</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1,834</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1,869</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111</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95,527</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3</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2,036</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1,333</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2,750</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290</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203</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195</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w:t>
            </w:r>
            <w:r>
              <w:rPr>
                <w:rFonts w:ascii="Times New Roman" w:eastAsia="Times New Roman" w:hAnsi="Times New Roman" w:cs="Times New Roman"/>
                <w:b/>
                <w:bCs/>
                <w:color w:val="000000"/>
                <w:sz w:val="16"/>
                <w:szCs w:val="16"/>
              </w:rPr>
              <w:t xml:space="preserve">   </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6,807</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individual</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30</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1,669</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290</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203</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190</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2,382</w:t>
            </w:r>
          </w:p>
        </w:tc>
      </w:tr>
      <w:tr w:rsidR="00130A6D">
        <w:trPr>
          <w:trHeight w:val="195"/>
        </w:trPr>
        <w:tc>
          <w:tcPr>
            <w:tcW w:w="2760" w:type="dxa"/>
            <w:tcBorders>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collective</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2,036</w:t>
            </w:r>
          </w:p>
        </w:tc>
        <w:tc>
          <w:tcPr>
            <w:tcW w:w="8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1,303</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1,081</w:t>
            </w:r>
          </w:p>
        </w:tc>
        <w:tc>
          <w:tcPr>
            <w:tcW w:w="8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8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8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4,425</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000000"/>
                <w:sz w:val="16"/>
                <w:szCs w:val="16"/>
              </w:rPr>
            </w:pP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168,533</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19,471</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112,554</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16,838</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14,256</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11,352</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27,565</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370,569</w:t>
            </w:r>
          </w:p>
        </w:tc>
      </w:tr>
      <w:tr w:rsidR="00130A6D">
        <w:trPr>
          <w:trHeight w:val="195"/>
        </w:trPr>
        <w:tc>
          <w:tcPr>
            <w:tcW w:w="2760" w:type="dxa"/>
            <w:tcBorders>
              <w:top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5E10B1"/>
                <w:sz w:val="16"/>
                <w:szCs w:val="16"/>
              </w:rPr>
            </w:pPr>
            <w:r>
              <w:rPr>
                <w:rStyle w:val="font510"/>
              </w:rPr>
              <w:t>ECL provisions</w:t>
            </w:r>
            <w:r>
              <w:rPr>
                <w:rStyle w:val="font20"/>
              </w:rPr>
              <w:t xml:space="preserve"> </w:t>
            </w:r>
          </w:p>
        </w:tc>
        <w:tc>
          <w:tcPr>
            <w:tcW w:w="96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96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1</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153</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280</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547</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2</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904</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268</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1,722</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3,061</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3</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921</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509</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1,125</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139</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w:t>
            </w:r>
            <w:r>
              <w:rPr>
                <w:rFonts w:ascii="Times New Roman" w:eastAsia="Times New Roman" w:hAnsi="Times New Roman" w:cs="Times New Roman"/>
                <w:b/>
                <w:bCs/>
                <w:color w:val="000000"/>
                <w:sz w:val="16"/>
                <w:szCs w:val="16"/>
              </w:rPr>
              <w:t xml:space="preserve">   </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2,765</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individual</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11</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630</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28</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43</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135</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847</w:t>
            </w:r>
          </w:p>
        </w:tc>
      </w:tr>
      <w:tr w:rsidR="00130A6D">
        <w:trPr>
          <w:trHeight w:val="195"/>
        </w:trPr>
        <w:tc>
          <w:tcPr>
            <w:tcW w:w="2760" w:type="dxa"/>
            <w:tcBorders>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collective</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921</w:t>
            </w:r>
          </w:p>
        </w:tc>
        <w:tc>
          <w:tcPr>
            <w:tcW w:w="8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498</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495</w:t>
            </w:r>
          </w:p>
        </w:tc>
        <w:tc>
          <w:tcPr>
            <w:tcW w:w="8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8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 -</w:t>
            </w:r>
            <w:r>
              <w:rPr>
                <w:rFonts w:ascii="Times New Roman" w:eastAsia="Times New Roman" w:hAnsi="Times New Roman" w:cs="Times New Roman"/>
                <w:b/>
                <w:bCs/>
                <w:i/>
                <w:iCs/>
                <w:color w:val="000000"/>
                <w:sz w:val="16"/>
                <w:szCs w:val="16"/>
              </w:rPr>
              <w:t xml:space="preserve">   </w:t>
            </w:r>
          </w:p>
        </w:tc>
        <w:tc>
          <w:tcPr>
            <w:tcW w:w="810" w:type="dxa"/>
            <w:tcBorders>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1,918</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000000"/>
                <w:sz w:val="16"/>
                <w:szCs w:val="16"/>
              </w:rPr>
            </w:pP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1,978</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816</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3,127</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113</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200</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6,373</w:t>
            </w:r>
          </w:p>
        </w:tc>
      </w:tr>
      <w:tr w:rsidR="00130A6D">
        <w:trPr>
          <w:trHeight w:val="195"/>
        </w:trPr>
        <w:tc>
          <w:tcPr>
            <w:tcW w:w="2760" w:type="dxa"/>
            <w:tcBorders>
              <w:top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5E10B1"/>
                <w:sz w:val="16"/>
                <w:szCs w:val="16"/>
              </w:rPr>
            </w:pPr>
            <w:r>
              <w:rPr>
                <w:rStyle w:val="font510"/>
              </w:rPr>
              <w:t>ECL provisions coverage</w:t>
            </w:r>
            <w:r>
              <w:rPr>
                <w:rStyle w:val="font20"/>
              </w:rPr>
              <w:t xml:space="preserve"> </w:t>
            </w:r>
          </w:p>
        </w:tc>
        <w:tc>
          <w:tcPr>
            <w:tcW w:w="96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96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c>
          <w:tcPr>
            <w:tcW w:w="810" w:type="dxa"/>
            <w:tcBorders>
              <w:top w:val="single" w:sz="6" w:space="0" w:color="000000"/>
            </w:tcBorders>
            <w:shd w:val="clear" w:color="auto" w:fill="F4F0E8"/>
            <w:tcMar>
              <w:top w:w="0" w:type="dxa"/>
              <w:left w:w="5" w:type="dxa"/>
              <w:bottom w:w="0" w:type="dxa"/>
              <w:right w:w="5" w:type="dxa"/>
            </w:tcMar>
            <w:vAlign w:val="center"/>
            <w:hideMark/>
          </w:tcPr>
          <w:p w:rsidR="007B4FAC" w:rsidRDefault="007B4FAC">
            <w:pPr>
              <w:spacing w:line="240" w:lineRule="auto"/>
              <w:contextualSpacing/>
              <w:jc w:val="right"/>
              <w:rPr>
                <w:rFonts w:eastAsia="Arial" w:cs="Arial"/>
                <w:b/>
                <w:bCs/>
                <w:color w:val="000000"/>
                <w:sz w:val="16"/>
                <w:szCs w:val="16"/>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1 (%)</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0.11</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0.28</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0.49</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0.20</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0.11</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0.22</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0.04</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0.20</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2 (%)</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2.72</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6.35</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3.29</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2.88</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2.89</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2.19</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16.22</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3.20</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3 (%)</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45.24</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38.18</w:t>
            </w:r>
          </w:p>
        </w:tc>
        <w:tc>
          <w:tcPr>
            <w:tcW w:w="96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40.91</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9.66</w:t>
            </w:r>
          </w:p>
        </w:tc>
        <w:tc>
          <w:tcPr>
            <w:tcW w:w="1035"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21.18</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71.28</w:t>
            </w:r>
          </w:p>
        </w:tc>
        <w:tc>
          <w:tcPr>
            <w:tcW w:w="11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w:t>
            </w:r>
            <w:r>
              <w:rPr>
                <w:rFonts w:ascii="Times New Roman" w:eastAsia="Times New Roman" w:hAnsi="Times New Roman" w:cs="Times New Roman"/>
                <w:b/>
                <w:bCs/>
                <w:color w:val="000000"/>
                <w:sz w:val="16"/>
                <w:szCs w:val="16"/>
              </w:rPr>
              <w:t xml:space="preserve">   </w:t>
            </w:r>
          </w:p>
        </w:tc>
        <w:tc>
          <w:tcPr>
            <w:tcW w:w="810" w:type="dxa"/>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40.62</w:t>
            </w:r>
          </w:p>
        </w:tc>
      </w:tr>
      <w:tr w:rsidR="00130A6D">
        <w:trPr>
          <w:trHeight w:val="195"/>
        </w:trPr>
        <w:tc>
          <w:tcPr>
            <w:tcW w:w="27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000000"/>
                <w:sz w:val="16"/>
                <w:szCs w:val="16"/>
              </w:rPr>
            </w:pPr>
          </w:p>
        </w:tc>
        <w:tc>
          <w:tcPr>
            <w:tcW w:w="9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1.17</w:t>
            </w:r>
          </w:p>
        </w:tc>
        <w:tc>
          <w:tcPr>
            <w:tcW w:w="8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4.19</w:t>
            </w:r>
          </w:p>
        </w:tc>
        <w:tc>
          <w:tcPr>
            <w:tcW w:w="9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2.78</w:t>
            </w:r>
          </w:p>
        </w:tc>
        <w:tc>
          <w:tcPr>
            <w:tcW w:w="8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0.67</w:t>
            </w:r>
          </w:p>
        </w:tc>
        <w:tc>
          <w:tcPr>
            <w:tcW w:w="103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0.77</w:t>
            </w:r>
          </w:p>
        </w:tc>
        <w:tc>
          <w:tcPr>
            <w:tcW w:w="8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1.76</w:t>
            </w:r>
          </w:p>
        </w:tc>
        <w:tc>
          <w:tcPr>
            <w:tcW w:w="11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0.11</w:t>
            </w:r>
          </w:p>
        </w:tc>
        <w:tc>
          <w:tcPr>
            <w:tcW w:w="81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7B4FAC"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1.72</w:t>
            </w:r>
          </w:p>
        </w:tc>
      </w:tr>
      <w:tr w:rsidR="00130A6D">
        <w:trPr>
          <w:trHeight w:val="195"/>
        </w:trPr>
        <w:tc>
          <w:tcPr>
            <w:tcW w:w="2760" w:type="dxa"/>
            <w:tcBorders>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30 June 2020</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8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8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8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8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5E10B1"/>
                <w:sz w:val="16"/>
                <w:szCs w:val="16"/>
              </w:rPr>
            </w:pPr>
            <w:r>
              <w:rPr>
                <w:rFonts w:eastAsia="Arial" w:cs="Arial"/>
                <w:color w:val="5E10B1"/>
                <w:sz w:val="16"/>
                <w:szCs w:val="16"/>
              </w:rPr>
              <w:t>Loans - amortised cost and FVOCI</w:t>
            </w: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1035"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1</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136,065</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18,642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53,514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14,465</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12,697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10,197</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20,864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266,444</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28,270</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4,478</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58,374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1,567</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1,825</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2,381</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97,010</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3</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2,052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1,547</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2,806</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256</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195</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178</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7,034</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individual</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1,727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256</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195</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172</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2,372</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collective</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2,052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1,525</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1,079</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4,662</w:t>
            </w:r>
          </w:p>
        </w:tc>
      </w:tr>
      <w:tr w:rsidR="00130A6D">
        <w:trPr>
          <w:trHeight w:val="195"/>
        </w:trPr>
        <w:tc>
          <w:tcPr>
            <w:tcW w:w="27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000000"/>
                <w:sz w:val="16"/>
                <w:szCs w:val="16"/>
              </w:rPr>
            </w:pP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166,387</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24,667</w:t>
            </w: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114,694</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16,288</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14,717</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12,756</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20,979</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370,488</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5E10B1"/>
                <w:sz w:val="16"/>
                <w:szCs w:val="16"/>
              </w:rPr>
            </w:pPr>
            <w:r>
              <w:rPr>
                <w:rStyle w:val="font510"/>
              </w:rPr>
              <w:t>ECL provisions</w:t>
            </w:r>
            <w:r>
              <w:rPr>
                <w:rStyle w:val="font20"/>
              </w:rPr>
              <w:t xml:space="preserve"> </w:t>
            </w: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1</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217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9</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469</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901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262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1,714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49</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25</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53</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3,025</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3</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902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567</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1,184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29</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136</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2,860</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individual</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701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29</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129</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905</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collective</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902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563</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483</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1,955</w:t>
            </w:r>
          </w:p>
        </w:tc>
      </w:tr>
      <w:tr w:rsidR="00130A6D">
        <w:trPr>
          <w:trHeight w:val="195"/>
        </w:trPr>
        <w:tc>
          <w:tcPr>
            <w:tcW w:w="27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000000"/>
                <w:sz w:val="16"/>
                <w:szCs w:val="16"/>
              </w:rPr>
            </w:pP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1,958</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871</w:t>
            </w: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3,115</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99</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76</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207</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28</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6,354</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5E10B1"/>
                <w:sz w:val="16"/>
                <w:szCs w:val="16"/>
              </w:rPr>
            </w:pPr>
            <w:r>
              <w:rPr>
                <w:rStyle w:val="font510"/>
              </w:rPr>
              <w:t>ECL provisions coverage</w:t>
            </w:r>
            <w:r>
              <w:rPr>
                <w:rStyle w:val="font20"/>
              </w:rPr>
              <w:t xml:space="preserve"> </w:t>
            </w: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1 (%)</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0.11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0.23</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0.41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0.15</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0.07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0.18</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0.03</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0.18</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2 (%)</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3.19</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5.85</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2.94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3.13</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1.37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2.23</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18.26</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3.12</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3 (%)</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43.96</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36.65</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42.20</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11.33</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21.54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76.40</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40.66</w:t>
            </w:r>
          </w:p>
        </w:tc>
      </w:tr>
      <w:tr w:rsidR="00130A6D">
        <w:trPr>
          <w:trHeight w:val="195"/>
        </w:trPr>
        <w:tc>
          <w:tcPr>
            <w:tcW w:w="27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000000"/>
                <w:sz w:val="16"/>
                <w:szCs w:val="16"/>
              </w:rPr>
            </w:pP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1.18</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3.53</w:t>
            </w: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2.72</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0.61</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0.52</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1.62</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0.13</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1.72</w:t>
            </w:r>
          </w:p>
        </w:tc>
      </w:tr>
      <w:tr w:rsidR="00130A6D">
        <w:trPr>
          <w:trHeight w:val="195"/>
        </w:trPr>
        <w:tc>
          <w:tcPr>
            <w:tcW w:w="2760" w:type="dxa"/>
            <w:tcBorders>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31 December 2019</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8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8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8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c>
          <w:tcPr>
            <w:tcW w:w="810" w:type="dxa"/>
            <w:tcBorders>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2"/>
                <w:szCs w:val="12"/>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5E10B1"/>
                <w:sz w:val="16"/>
                <w:szCs w:val="16"/>
              </w:rPr>
            </w:pPr>
            <w:r>
              <w:rPr>
                <w:rFonts w:eastAsia="Arial" w:cs="Arial"/>
                <w:color w:val="5E10B1"/>
                <w:sz w:val="16"/>
                <w:szCs w:val="16"/>
              </w:rPr>
              <w:t>Loans - amortised cost and FVOCI</w:t>
            </w: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1035"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20"/>
                <w:szCs w:val="20"/>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1</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144,513</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18,544</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88,100</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14,956</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14,834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9,273</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15,282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305,502</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13,558</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1,642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11,353</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587</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545</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180</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27,868</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3</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1,902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2,037</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2,162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207</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121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169</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6,598</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individual</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68</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1,497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207</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158</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2,051</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collective</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1,902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1,969</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665</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4,547</w:t>
            </w:r>
          </w:p>
        </w:tc>
      </w:tr>
      <w:tr w:rsidR="00130A6D">
        <w:trPr>
          <w:trHeight w:val="195"/>
        </w:trPr>
        <w:tc>
          <w:tcPr>
            <w:tcW w:w="27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000000"/>
                <w:sz w:val="16"/>
                <w:szCs w:val="16"/>
              </w:rPr>
            </w:pP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159,973</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22,223</w:t>
            </w: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101,615</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15,750</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15,500</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9,622</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15,285</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339,968</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5E10B1"/>
                <w:sz w:val="16"/>
                <w:szCs w:val="16"/>
              </w:rPr>
            </w:pPr>
            <w:r>
              <w:rPr>
                <w:rStyle w:val="font510"/>
              </w:rPr>
              <w:t>ECL provisions</w:t>
            </w:r>
            <w:r>
              <w:rPr>
                <w:rStyle w:val="font20"/>
              </w:rPr>
              <w:t xml:space="preserve"> </w:t>
            </w: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1</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29</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322</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467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53</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214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752</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3</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823</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693</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1,021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29</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131</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2,718</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individual</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602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29</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21</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122</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796</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 collective</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823</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671</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419</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1,922</w:t>
            </w:r>
          </w:p>
        </w:tc>
      </w:tr>
      <w:tr w:rsidR="00130A6D">
        <w:trPr>
          <w:trHeight w:val="195"/>
        </w:trPr>
        <w:tc>
          <w:tcPr>
            <w:tcW w:w="27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000000"/>
                <w:sz w:val="16"/>
                <w:szCs w:val="16"/>
              </w:rPr>
            </w:pP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1,404</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775</w:t>
            </w: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1,387</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43</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146</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3,792</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5E10B1"/>
                <w:sz w:val="16"/>
                <w:szCs w:val="16"/>
              </w:rPr>
            </w:pPr>
            <w:r>
              <w:rPr>
                <w:rStyle w:val="font510"/>
              </w:rPr>
              <w:t>ECL provisions coverage</w:t>
            </w:r>
            <w:r>
              <w:rPr>
                <w:rStyle w:val="font20"/>
              </w:rPr>
              <w:t xml:space="preserve"> </w:t>
            </w: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7B4FAC" w:rsidRDefault="007B4FAC">
            <w:pPr>
              <w:spacing w:line="240" w:lineRule="auto"/>
              <w:contextualSpacing/>
              <w:jc w:val="right"/>
              <w:rPr>
                <w:rFonts w:eastAsia="Arial" w:cs="Arial"/>
                <w:color w:val="000000"/>
                <w:sz w:val="16"/>
                <w:szCs w:val="16"/>
              </w:rPr>
            </w:pP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1 (%)</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0.08</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0.16</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0.17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0.05</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0.03</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0.11</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0.04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0.11</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2 (%)</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3.44</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3.23</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1.88</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1.19</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1.10</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2.78</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2.70</w:t>
            </w:r>
          </w:p>
        </w:tc>
      </w:tr>
      <w:tr w:rsidR="00130A6D">
        <w:trPr>
          <w:trHeight w:val="195"/>
        </w:trPr>
        <w:tc>
          <w:tcPr>
            <w:tcW w:w="2760" w:type="dxa"/>
            <w:shd w:val="clear" w:color="auto" w:fill="FFFFFF"/>
            <w:tcMar>
              <w:top w:w="0" w:type="dxa"/>
              <w:left w:w="5" w:type="dxa"/>
              <w:bottom w:w="0" w:type="dxa"/>
              <w:right w:w="5" w:type="dxa"/>
            </w:tcMar>
            <w:vAlign w:val="center"/>
            <w:hideMark/>
          </w:tcPr>
          <w:p w:rsidR="007B4FAC" w:rsidRDefault="004160AB">
            <w:pPr>
              <w:spacing w:line="240" w:lineRule="auto"/>
              <w:contextualSpacing/>
              <w:rPr>
                <w:rFonts w:eastAsia="Arial" w:cs="Arial"/>
                <w:color w:val="000000"/>
                <w:sz w:val="16"/>
                <w:szCs w:val="16"/>
              </w:rPr>
            </w:pPr>
            <w:r>
              <w:rPr>
                <w:rFonts w:eastAsia="Arial" w:cs="Arial"/>
                <w:color w:val="000000"/>
                <w:sz w:val="16"/>
                <w:szCs w:val="16"/>
              </w:rPr>
              <w:t>Stage 3 (%)</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43.27</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34.02</w:t>
            </w:r>
          </w:p>
        </w:tc>
        <w:tc>
          <w:tcPr>
            <w:tcW w:w="96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47.22</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14.01</w:t>
            </w:r>
          </w:p>
        </w:tc>
        <w:tc>
          <w:tcPr>
            <w:tcW w:w="1035"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17.36</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77.51</w:t>
            </w:r>
          </w:p>
        </w:tc>
        <w:tc>
          <w:tcPr>
            <w:tcW w:w="11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41.19</w:t>
            </w:r>
          </w:p>
        </w:tc>
      </w:tr>
      <w:tr w:rsidR="00130A6D">
        <w:trPr>
          <w:trHeight w:val="195"/>
        </w:trPr>
        <w:tc>
          <w:tcPr>
            <w:tcW w:w="27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7B4FAC">
            <w:pPr>
              <w:spacing w:line="240" w:lineRule="auto"/>
              <w:contextualSpacing/>
              <w:rPr>
                <w:rFonts w:eastAsia="Arial" w:cs="Arial"/>
                <w:color w:val="000000"/>
                <w:sz w:val="16"/>
                <w:szCs w:val="16"/>
              </w:rPr>
            </w:pP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0.88</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3.49</w:t>
            </w:r>
          </w:p>
        </w:tc>
        <w:tc>
          <w:tcPr>
            <w:tcW w:w="9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1.36</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0.27</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0.20</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1.52</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0.04</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7B4FAC" w:rsidRDefault="004160AB">
            <w:pPr>
              <w:spacing w:line="240" w:lineRule="auto"/>
              <w:contextualSpacing/>
              <w:jc w:val="right"/>
              <w:rPr>
                <w:rFonts w:eastAsia="Arial" w:cs="Arial"/>
                <w:color w:val="000000"/>
                <w:sz w:val="16"/>
                <w:szCs w:val="16"/>
              </w:rPr>
            </w:pPr>
            <w:r>
              <w:rPr>
                <w:rFonts w:eastAsia="Arial" w:cs="Arial"/>
                <w:color w:val="000000"/>
                <w:sz w:val="16"/>
                <w:szCs w:val="16"/>
              </w:rPr>
              <w:t>1.12</w:t>
            </w:r>
          </w:p>
        </w:tc>
      </w:tr>
    </w:tbl>
    <w:p w:rsidR="005879A5" w:rsidRDefault="005879A5" w:rsidP="006961F4">
      <w:pPr>
        <w:rPr>
          <w:rFonts w:eastAsia="Calibri" w:cs="Arial"/>
          <w:bCs/>
          <w:sz w:val="14"/>
          <w:szCs w:val="14"/>
        </w:rPr>
      </w:pPr>
    </w:p>
    <w:p w:rsidR="006961F4" w:rsidRPr="006961F4" w:rsidRDefault="004160AB" w:rsidP="006961F4">
      <w:pPr>
        <w:rPr>
          <w:rFonts w:eastAsia="Calibri" w:cs="Arial"/>
          <w:bCs/>
          <w:sz w:val="14"/>
          <w:szCs w:val="14"/>
        </w:rPr>
      </w:pPr>
      <w:r w:rsidRPr="006961F4">
        <w:rPr>
          <w:rFonts w:eastAsia="Calibri" w:cs="Arial"/>
          <w:bCs/>
          <w:sz w:val="14"/>
          <w:szCs w:val="14"/>
        </w:rPr>
        <w:t>Notes:</w:t>
      </w:r>
    </w:p>
    <w:p w:rsidR="006961F4" w:rsidRDefault="004160AB" w:rsidP="006961F4">
      <w:pPr>
        <w:pStyle w:val="ListParagraph"/>
        <w:numPr>
          <w:ilvl w:val="0"/>
          <w:numId w:val="12"/>
        </w:numPr>
        <w:spacing w:after="0" w:line="240" w:lineRule="auto"/>
        <w:contextualSpacing w:val="0"/>
        <w:rPr>
          <w:rFonts w:ascii="Arial" w:eastAsia="Times New Roman" w:hAnsi="Arial" w:cs="Arial"/>
          <w:sz w:val="14"/>
          <w:szCs w:val="14"/>
        </w:rPr>
      </w:pPr>
      <w:r>
        <w:rPr>
          <w:rFonts w:ascii="Arial" w:eastAsia="Times New Roman" w:hAnsi="Arial" w:cs="Arial"/>
          <w:sz w:val="14"/>
          <w:szCs w:val="14"/>
        </w:rPr>
        <w:t>Fair value through other comprehensive income.</w:t>
      </w:r>
    </w:p>
    <w:p w:rsidR="0054110B" w:rsidRDefault="004160AB" w:rsidP="006961F4">
      <w:pPr>
        <w:pStyle w:val="ListParagraph"/>
        <w:numPr>
          <w:ilvl w:val="0"/>
          <w:numId w:val="12"/>
        </w:numPr>
        <w:spacing w:after="0" w:line="240" w:lineRule="auto"/>
        <w:contextualSpacing w:val="0"/>
        <w:rPr>
          <w:rFonts w:ascii="Arial" w:eastAsia="Times New Roman" w:hAnsi="Arial" w:cs="Arial"/>
          <w:sz w:val="14"/>
          <w:szCs w:val="14"/>
        </w:rPr>
      </w:pPr>
      <w:r w:rsidRPr="0054110B">
        <w:rPr>
          <w:rFonts w:ascii="Arial" w:eastAsia="Times New Roman" w:hAnsi="Arial" w:cs="Arial"/>
          <w:sz w:val="14"/>
          <w:szCs w:val="14"/>
        </w:rPr>
        <w:t xml:space="preserve">During Q3 2020, £5.1 billion of loans and advances to banks were reclassified from Ulster Bank </w:t>
      </w:r>
      <w:proofErr w:type="spellStart"/>
      <w:r w:rsidRPr="0054110B">
        <w:rPr>
          <w:rFonts w:ascii="Arial" w:eastAsia="Times New Roman" w:hAnsi="Arial" w:cs="Arial"/>
          <w:sz w:val="14"/>
          <w:szCs w:val="14"/>
        </w:rPr>
        <w:t>RoI</w:t>
      </w:r>
      <w:proofErr w:type="spellEnd"/>
      <w:r w:rsidRPr="0054110B">
        <w:rPr>
          <w:rFonts w:ascii="Arial" w:eastAsia="Times New Roman" w:hAnsi="Arial" w:cs="Arial"/>
          <w:sz w:val="14"/>
          <w:szCs w:val="14"/>
        </w:rPr>
        <w:t xml:space="preserve"> to Central items &amp; other.</w:t>
      </w:r>
    </w:p>
    <w:p w:rsidR="00481017" w:rsidRDefault="00481017" w:rsidP="00481017">
      <w:pPr>
        <w:spacing w:line="240" w:lineRule="auto"/>
        <w:rPr>
          <w:rFonts w:eastAsia="Times New Roman" w:cs="Arial"/>
          <w:sz w:val="14"/>
          <w:szCs w:val="14"/>
        </w:rPr>
      </w:pPr>
    </w:p>
    <w:p w:rsidR="00D7488D" w:rsidRDefault="004160AB">
      <w:pPr>
        <w:spacing w:after="200"/>
        <w:rPr>
          <w:rFonts w:eastAsia="Calibri"/>
          <w:bCs/>
          <w:color w:val="5E10B1"/>
          <w:szCs w:val="18"/>
        </w:rPr>
      </w:pPr>
      <w:r>
        <w:rPr>
          <w:rFonts w:eastAsia="Calibri"/>
          <w:bCs/>
          <w:color w:val="5E10B1"/>
          <w:szCs w:val="18"/>
        </w:rPr>
        <w:br w:type="page"/>
      </w:r>
    </w:p>
    <w:p w:rsidR="00D7488D" w:rsidRPr="00AA3A8E" w:rsidRDefault="004160AB" w:rsidP="00D7488D">
      <w:pPr>
        <w:pStyle w:val="Normal200"/>
        <w:spacing w:line="276" w:lineRule="auto"/>
        <w:ind w:right="98"/>
        <w:rPr>
          <w:rFonts w:eastAsia="Calibri"/>
          <w:b/>
          <w:color w:val="42145F"/>
          <w:sz w:val="18"/>
          <w:szCs w:val="18"/>
        </w:rPr>
      </w:pPr>
      <w:r w:rsidRPr="00AA3A8E">
        <w:rPr>
          <w:rFonts w:eastAsia="Calibri"/>
          <w:b/>
          <w:color w:val="42145F"/>
          <w:sz w:val="18"/>
          <w:szCs w:val="18"/>
        </w:rPr>
        <w:lastRenderedPageBreak/>
        <w:t>Capital and risk management</w:t>
      </w:r>
    </w:p>
    <w:p w:rsidR="00D7488D" w:rsidRPr="00AA3A8E" w:rsidRDefault="004160AB" w:rsidP="00D7488D">
      <w:pPr>
        <w:pStyle w:val="Normal200"/>
        <w:spacing w:line="276" w:lineRule="auto"/>
        <w:ind w:right="98"/>
        <w:rPr>
          <w:rFonts w:eastAsia="Calibri"/>
          <w:b/>
          <w:color w:val="5E10B1"/>
          <w:sz w:val="18"/>
          <w:szCs w:val="18"/>
        </w:rPr>
      </w:pPr>
      <w:r>
        <w:rPr>
          <w:rFonts w:eastAsia="Calibri"/>
          <w:b/>
          <w:color w:val="5E10B1"/>
          <w:sz w:val="18"/>
          <w:szCs w:val="18"/>
        </w:rPr>
        <w:t>Credit risk continued</w:t>
      </w:r>
    </w:p>
    <w:p w:rsidR="00D7488D" w:rsidRPr="00AA3A8E" w:rsidRDefault="004160AB" w:rsidP="00D7488D">
      <w:pPr>
        <w:pStyle w:val="Normal200"/>
        <w:spacing w:line="276" w:lineRule="auto"/>
        <w:ind w:right="98"/>
        <w:rPr>
          <w:rFonts w:eastAsia="Calibri"/>
          <w:color w:val="5E10B1"/>
          <w:sz w:val="18"/>
          <w:szCs w:val="18"/>
        </w:rPr>
      </w:pPr>
      <w:r w:rsidRPr="00AA3A8E">
        <w:rPr>
          <w:rFonts w:eastAsia="Calibri"/>
          <w:color w:val="5E10B1"/>
          <w:sz w:val="18"/>
          <w:szCs w:val="18"/>
        </w:rPr>
        <w:t>Portfolio summary – segment analysis</w:t>
      </w:r>
    </w:p>
    <w:p w:rsidR="005879A5" w:rsidRPr="00F7642D" w:rsidRDefault="004160AB" w:rsidP="00F7642D">
      <w:pPr>
        <w:rPr>
          <w:rFonts w:eastAsia="Calibri"/>
          <w:bCs/>
          <w:color w:val="5E10B1"/>
          <w:szCs w:val="18"/>
        </w:rPr>
      </w:pPr>
      <w:r w:rsidRPr="00F7642D">
        <w:rPr>
          <w:rFonts w:eastAsia="Calibri"/>
          <w:bCs/>
          <w:color w:val="5E10B1"/>
          <w:szCs w:val="18"/>
        </w:rPr>
        <w:t xml:space="preserve">Key points </w:t>
      </w:r>
    </w:p>
    <w:p w:rsidR="005879A5" w:rsidRPr="00D80CB8" w:rsidRDefault="004160AB" w:rsidP="005879A5">
      <w:pPr>
        <w:pStyle w:val="ListParagraph"/>
        <w:numPr>
          <w:ilvl w:val="0"/>
          <w:numId w:val="13"/>
        </w:numPr>
        <w:rPr>
          <w:rFonts w:ascii="Arial" w:hAnsi="Arial" w:cs="Arial"/>
          <w:color w:val="000000"/>
          <w:sz w:val="18"/>
          <w:szCs w:val="18"/>
        </w:rPr>
      </w:pPr>
      <w:r w:rsidRPr="00D80CB8">
        <w:rPr>
          <w:rFonts w:ascii="Arial" w:hAnsi="Arial" w:cs="Arial"/>
          <w:color w:val="000000"/>
          <w:sz w:val="18"/>
          <w:szCs w:val="18"/>
        </w:rPr>
        <w:t>The rise in total ECL in the period was mainly due to increased ECL on Stage 1 and Stage 2 exposures in H1 2020, and reflective of the significantly deteriorated economic environment arising from Covid-19. Overall, Stage 3 ECL has been broadly stable year-to-date, with the various government support schemes mitigating actual portfolio deterioration in the short-term and therefore delaying default emergence.</w:t>
      </w:r>
    </w:p>
    <w:p w:rsidR="005879A5" w:rsidRPr="00D80CB8" w:rsidRDefault="004160AB" w:rsidP="005879A5">
      <w:pPr>
        <w:pStyle w:val="ListParagraph"/>
        <w:numPr>
          <w:ilvl w:val="0"/>
          <w:numId w:val="13"/>
        </w:numPr>
        <w:rPr>
          <w:rFonts w:ascii="Arial" w:hAnsi="Arial" w:cs="Arial"/>
          <w:color w:val="000000"/>
          <w:sz w:val="18"/>
          <w:szCs w:val="18"/>
        </w:rPr>
      </w:pPr>
      <w:r w:rsidRPr="00D80CB8">
        <w:rPr>
          <w:rFonts w:ascii="Arial" w:hAnsi="Arial" w:cs="Arial"/>
          <w:color w:val="000000"/>
          <w:sz w:val="18"/>
          <w:szCs w:val="18"/>
        </w:rPr>
        <w:t xml:space="preserve">The significant uplift in loan balances in Stage 2 was driven by deterioration in forward-looking customer probability of default (PD), also reflecting the deteriorated economic outlook, and resulted in a significant migration of exposures from Stage 1 to Stage 2 as at 30 June 2020. </w:t>
      </w:r>
    </w:p>
    <w:p w:rsidR="005879A5" w:rsidRPr="00D80CB8" w:rsidRDefault="004160AB" w:rsidP="005879A5">
      <w:pPr>
        <w:pStyle w:val="ListParagraph"/>
        <w:numPr>
          <w:ilvl w:val="0"/>
          <w:numId w:val="13"/>
        </w:numPr>
        <w:tabs>
          <w:tab w:val="left" w:pos="384"/>
        </w:tabs>
        <w:spacing w:before="60"/>
        <w:rPr>
          <w:rFonts w:ascii="Arial" w:hAnsi="Arial" w:cs="Arial"/>
          <w:color w:val="000000"/>
          <w:sz w:val="18"/>
          <w:szCs w:val="18"/>
        </w:rPr>
      </w:pPr>
      <w:r w:rsidRPr="00D80CB8">
        <w:rPr>
          <w:rFonts w:ascii="Arial" w:hAnsi="Arial" w:cs="Arial"/>
          <w:color w:val="000000"/>
          <w:sz w:val="18"/>
          <w:szCs w:val="18"/>
        </w:rPr>
        <w:t>Total ECL remained broadly stable during Q3 2020, largely reflective of maintaining the underlying economics unchanged from Q2 2020. The movement in Stage 2 balances was also less volatile in Q3 2020 (refer to the following page for further details).</w:t>
      </w:r>
    </w:p>
    <w:p w:rsidR="005879A5" w:rsidRPr="00D80CB8" w:rsidRDefault="004160AB" w:rsidP="005879A5">
      <w:pPr>
        <w:pStyle w:val="ListParagraph"/>
        <w:numPr>
          <w:ilvl w:val="0"/>
          <w:numId w:val="13"/>
        </w:numPr>
        <w:tabs>
          <w:tab w:val="left" w:pos="384"/>
        </w:tabs>
        <w:spacing w:before="60"/>
        <w:rPr>
          <w:rFonts w:ascii="Arial" w:hAnsi="Arial" w:cs="Arial"/>
          <w:color w:val="000000"/>
          <w:sz w:val="18"/>
          <w:szCs w:val="18"/>
        </w:rPr>
      </w:pPr>
      <w:r w:rsidRPr="00D80CB8">
        <w:rPr>
          <w:rFonts w:ascii="Arial" w:hAnsi="Arial" w:cs="Arial"/>
          <w:color w:val="000000"/>
          <w:sz w:val="18"/>
          <w:szCs w:val="18"/>
        </w:rPr>
        <w:t>The economic scenarios driving the ECL requirement, as well as the model performance considerations, are consistent with those described in the NatWest Group Interim Results 2020 along with further detail on various aspects of the IFRS 9 process.</w:t>
      </w:r>
    </w:p>
    <w:p w:rsidR="005B5C5A" w:rsidRPr="00157FE4" w:rsidRDefault="004160AB" w:rsidP="005879A5">
      <w:pPr>
        <w:spacing w:after="200"/>
        <w:rPr>
          <w:rFonts w:eastAsia="Calibri"/>
          <w:b/>
          <w:color w:val="42145F"/>
          <w:sz w:val="14"/>
          <w:szCs w:val="14"/>
        </w:rPr>
      </w:pPr>
      <w:r>
        <w:rPr>
          <w:rFonts w:eastAsia="Calibri"/>
          <w:b/>
          <w:color w:val="42145F"/>
          <w:sz w:val="20"/>
          <w:szCs w:val="20"/>
        </w:rPr>
        <w:br w:type="page"/>
      </w:r>
    </w:p>
    <w:p w:rsidR="00092F94" w:rsidRPr="00AA3A8E" w:rsidRDefault="004160AB" w:rsidP="00092F94">
      <w:pPr>
        <w:pStyle w:val="Normal200"/>
        <w:spacing w:line="276" w:lineRule="auto"/>
        <w:ind w:right="98"/>
        <w:rPr>
          <w:rFonts w:eastAsia="Calibri"/>
          <w:b/>
          <w:color w:val="42145F"/>
          <w:sz w:val="18"/>
          <w:szCs w:val="18"/>
        </w:rPr>
      </w:pPr>
      <w:r w:rsidRPr="00AA3A8E">
        <w:rPr>
          <w:rFonts w:eastAsia="Calibri"/>
          <w:b/>
          <w:color w:val="42145F"/>
          <w:sz w:val="18"/>
          <w:szCs w:val="18"/>
        </w:rPr>
        <w:lastRenderedPageBreak/>
        <w:t>Capital and risk management</w:t>
      </w:r>
    </w:p>
    <w:p w:rsidR="00092F94" w:rsidRPr="00AA3A8E" w:rsidRDefault="004160AB" w:rsidP="00092F94">
      <w:pPr>
        <w:pStyle w:val="Normal200"/>
        <w:spacing w:line="276" w:lineRule="auto"/>
        <w:ind w:right="98"/>
        <w:rPr>
          <w:rFonts w:eastAsia="Calibri"/>
          <w:b/>
          <w:color w:val="5E10B1"/>
          <w:sz w:val="18"/>
          <w:szCs w:val="18"/>
        </w:rPr>
      </w:pPr>
      <w:r w:rsidRPr="00AA3A8E">
        <w:rPr>
          <w:rFonts w:eastAsia="Calibri"/>
          <w:b/>
          <w:color w:val="5E10B1"/>
          <w:sz w:val="18"/>
          <w:szCs w:val="18"/>
        </w:rPr>
        <w:t xml:space="preserve">Credit risk </w:t>
      </w:r>
      <w:r w:rsidRPr="00AA3A8E">
        <w:rPr>
          <w:rFonts w:eastAsia="Calibri"/>
          <w:color w:val="5E10B1"/>
          <w:sz w:val="18"/>
          <w:szCs w:val="18"/>
        </w:rPr>
        <w:t>continued</w:t>
      </w:r>
    </w:p>
    <w:p w:rsidR="00092F94" w:rsidRPr="00AA3A8E" w:rsidRDefault="004160AB" w:rsidP="00CC5FA7">
      <w:pPr>
        <w:pStyle w:val="Normal200"/>
        <w:spacing w:line="276" w:lineRule="auto"/>
        <w:ind w:right="98"/>
        <w:rPr>
          <w:rFonts w:eastAsia="Calibri"/>
          <w:color w:val="5E10B1"/>
          <w:sz w:val="18"/>
          <w:szCs w:val="18"/>
        </w:rPr>
      </w:pPr>
      <w:r w:rsidRPr="00AA3A8E">
        <w:rPr>
          <w:rFonts w:eastAsia="Calibri"/>
          <w:color w:val="5E10B1"/>
          <w:sz w:val="18"/>
          <w:szCs w:val="18"/>
        </w:rPr>
        <w:t>Segmental loans</w:t>
      </w:r>
    </w:p>
    <w:p w:rsidR="005B5C5A" w:rsidRPr="006F7636" w:rsidRDefault="004160AB" w:rsidP="005B5C5A">
      <w:pPr>
        <w:autoSpaceDE w:val="0"/>
        <w:autoSpaceDN w:val="0"/>
        <w:rPr>
          <w:rFonts w:cs="Arial"/>
          <w:color w:val="000000"/>
          <w:szCs w:val="18"/>
        </w:rPr>
      </w:pPr>
      <w:r w:rsidRPr="006F7636">
        <w:rPr>
          <w:rFonts w:cs="Arial"/>
          <w:color w:val="000000"/>
          <w:szCs w:val="18"/>
        </w:rPr>
        <w:t>The table below shows gross loans by days past due, by segment and stage, within the scope of the ECL framework.</w:t>
      </w:r>
    </w:p>
    <w:tbl>
      <w:tblPr>
        <w:tblStyle w:val="table"/>
        <w:tblW w:w="10080" w:type="dxa"/>
        <w:tblInd w:w="5" w:type="dxa"/>
        <w:tblCellMar>
          <w:left w:w="0" w:type="dxa"/>
          <w:right w:w="0" w:type="dxa"/>
        </w:tblCellMar>
        <w:tblLook w:val="05E0" w:firstRow="1" w:lastRow="1" w:firstColumn="1" w:lastColumn="1" w:noHBand="0" w:noVBand="1"/>
      </w:tblPr>
      <w:tblGrid>
        <w:gridCol w:w="3465"/>
        <w:gridCol w:w="945"/>
        <w:gridCol w:w="945"/>
        <w:gridCol w:w="945"/>
        <w:gridCol w:w="945"/>
        <w:gridCol w:w="945"/>
        <w:gridCol w:w="945"/>
        <w:gridCol w:w="945"/>
      </w:tblGrid>
      <w:tr w:rsidR="00130A6D">
        <w:trPr>
          <w:trHeight w:val="195"/>
        </w:trPr>
        <w:tc>
          <w:tcPr>
            <w:tcW w:w="3465" w:type="dxa"/>
            <w:shd w:val="clear" w:color="auto" w:fill="FFFFFF"/>
            <w:tcMar>
              <w:top w:w="0" w:type="dxa"/>
              <w:left w:w="5" w:type="dxa"/>
              <w:bottom w:w="0" w:type="dxa"/>
              <w:right w:w="5" w:type="dxa"/>
            </w:tcMar>
            <w:vAlign w:val="center"/>
            <w:hideMark/>
          </w:tcPr>
          <w:p w:rsidR="00AF231A" w:rsidRDefault="00AF231A">
            <w:pPr>
              <w:spacing w:line="240" w:lineRule="auto"/>
              <w:contextualSpacing/>
              <w:rPr>
                <w:rFonts w:eastAsia="Arial" w:cs="Arial"/>
                <w:color w:val="5E10B1"/>
                <w:sz w:val="12"/>
                <w:szCs w:val="12"/>
              </w:rPr>
            </w:pPr>
          </w:p>
        </w:tc>
        <w:tc>
          <w:tcPr>
            <w:tcW w:w="6615" w:type="dxa"/>
            <w:gridSpan w:val="7"/>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center"/>
              <w:rPr>
                <w:rFonts w:eastAsia="Arial" w:cs="Arial"/>
                <w:b/>
                <w:bCs/>
                <w:color w:val="5E10B1"/>
                <w:sz w:val="12"/>
                <w:szCs w:val="12"/>
              </w:rPr>
            </w:pPr>
            <w:r>
              <w:rPr>
                <w:rFonts w:eastAsia="Arial" w:cs="Arial"/>
                <w:b/>
                <w:bCs/>
                <w:color w:val="5E10B1"/>
                <w:sz w:val="12"/>
                <w:szCs w:val="12"/>
              </w:rPr>
              <w:t>Gross loans</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AF231A">
            <w:pPr>
              <w:spacing w:line="240" w:lineRule="auto"/>
              <w:contextualSpacing/>
              <w:rPr>
                <w:rFonts w:eastAsia="Arial" w:cs="Arial"/>
                <w:color w:val="5E10B1"/>
                <w:sz w:val="12"/>
                <w:szCs w:val="12"/>
              </w:rPr>
            </w:pP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5E10B1"/>
                <w:sz w:val="12"/>
                <w:szCs w:val="12"/>
              </w:rPr>
            </w:pPr>
          </w:p>
        </w:tc>
        <w:tc>
          <w:tcPr>
            <w:tcW w:w="945" w:type="dxa"/>
            <w:gridSpan w:val="4"/>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center"/>
              <w:rPr>
                <w:rFonts w:eastAsia="Arial" w:cs="Arial"/>
                <w:b/>
                <w:bCs/>
                <w:color w:val="5E10B1"/>
                <w:sz w:val="12"/>
                <w:szCs w:val="12"/>
              </w:rPr>
            </w:pPr>
            <w:r>
              <w:rPr>
                <w:rStyle w:val="font31"/>
              </w:rPr>
              <w:t>Stage 2</w:t>
            </w:r>
            <w:r>
              <w:rPr>
                <w:rStyle w:val="font20"/>
              </w:rPr>
              <w:t xml:space="preserve"> </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5E10B1"/>
                <w:sz w:val="12"/>
                <w:szCs w:val="12"/>
              </w:rPr>
            </w:pP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5E10B1"/>
                <w:sz w:val="12"/>
                <w:szCs w:val="12"/>
              </w:rPr>
            </w:pP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AF231A">
            <w:pPr>
              <w:spacing w:line="240" w:lineRule="auto"/>
              <w:contextualSpacing/>
              <w:rPr>
                <w:rFonts w:eastAsia="Arial" w:cs="Arial"/>
                <w:color w:val="5E10B1"/>
                <w:sz w:val="12"/>
                <w:szCs w:val="12"/>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2"/>
                <w:szCs w:val="12"/>
              </w:rPr>
            </w:pP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Not past</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1-29</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&gt;30</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2"/>
                <w:szCs w:val="12"/>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2"/>
                <w:szCs w:val="12"/>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2"/>
                <w:szCs w:val="12"/>
              </w:rPr>
            </w:pP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AF231A">
            <w:pPr>
              <w:spacing w:line="240" w:lineRule="auto"/>
              <w:contextualSpacing/>
              <w:rPr>
                <w:rFonts w:eastAsia="Arial" w:cs="Arial"/>
                <w:color w:val="5E10B1"/>
                <w:sz w:val="12"/>
                <w:szCs w:val="12"/>
              </w:rPr>
            </w:pP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Stage 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due</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DPD</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DPD</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Total</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Stage 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Total</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b/>
                <w:bCs/>
                <w:color w:val="000000"/>
                <w:sz w:val="16"/>
                <w:szCs w:val="16"/>
              </w:rPr>
            </w:pPr>
            <w:r>
              <w:rPr>
                <w:rFonts w:eastAsia="Arial" w:cs="Arial"/>
                <w:b/>
                <w:bCs/>
                <w:color w:val="000000"/>
                <w:sz w:val="16"/>
                <w:szCs w:val="16"/>
              </w:rPr>
              <w:t>30 September 2020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£m</w:t>
            </w:r>
          </w:p>
        </w:tc>
      </w:tr>
      <w:tr w:rsidR="00130A6D">
        <w:trPr>
          <w:trHeight w:val="195"/>
        </w:trPr>
        <w:tc>
          <w:tcPr>
            <w:tcW w:w="346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Retail Banking</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133,208</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31,774</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1,015</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500</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33,289</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2,036</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168,533</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 xml:space="preserve">Ulster Bank </w:t>
            </w:r>
            <w:proofErr w:type="spellStart"/>
            <w:r>
              <w:rPr>
                <w:rFonts w:eastAsia="Arial" w:cs="Arial"/>
                <w:color w:val="5E10B1"/>
                <w:sz w:val="16"/>
                <w:szCs w:val="16"/>
              </w:rPr>
              <w:t>RoI</w:t>
            </w:r>
            <w:proofErr w:type="spellEnd"/>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13,916</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3,824</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157</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241</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4,222</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1,333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19,471</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Style w:val="font9"/>
              </w:rPr>
              <w:t>Personal</w:t>
            </w:r>
            <w:r>
              <w:rPr>
                <w:rStyle w:val="font1020"/>
              </w:rPr>
              <w:t xml:space="preserve"> </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10,793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1,897</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123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150</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2,170</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1,170</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14,133</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3,123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1,927</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34</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91</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2,052</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163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5,338</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Commercial Banking</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57,513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50,885</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783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52,291</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2,750</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112,554</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Private Banking</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14,637</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1,868</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1,911</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290</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16,838</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Personal</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12,311</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164</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20</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19</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203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252</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12,766</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2,326</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1,704</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1,708</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38</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4,072</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RBS International</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12,219</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1,805</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1,834</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14,256</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Personal</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2,725</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20</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14</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7</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41</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76</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2,842</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9,494</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1,785</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1,793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127</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11,414</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NatWest Markets</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9,288</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1,771</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98</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w:t>
            </w:r>
            <w:r>
              <w:rPr>
                <w:rFonts w:ascii="Times New Roman" w:eastAsia="Times New Roman" w:hAnsi="Times New Roman" w:cs="Times New Roman"/>
                <w:b/>
                <w:bCs/>
                <w:color w:val="000000"/>
                <w:sz w:val="16"/>
                <w:szCs w:val="16"/>
              </w:rPr>
              <w:t xml:space="preserve">   </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1,869</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195</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11,352</w:t>
            </w:r>
          </w:p>
        </w:tc>
      </w:tr>
      <w:tr w:rsidR="00130A6D">
        <w:trPr>
          <w:trHeight w:val="195"/>
        </w:trPr>
        <w:tc>
          <w:tcPr>
            <w:tcW w:w="346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Central items &amp; other</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27,454</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111</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w:t>
            </w:r>
            <w:r>
              <w:rPr>
                <w:rFonts w:ascii="Times New Roman" w:eastAsia="Times New Roman" w:hAnsi="Times New Roman" w:cs="Times New Roman"/>
                <w:b/>
                <w:bCs/>
                <w:color w:val="000000"/>
                <w:sz w:val="16"/>
                <w:szCs w:val="16"/>
              </w:rPr>
              <w:t xml:space="preserve">   </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w:t>
            </w:r>
            <w:r>
              <w:rPr>
                <w:rFonts w:ascii="Times New Roman" w:eastAsia="Times New Roman" w:hAnsi="Times New Roman" w:cs="Times New Roman"/>
                <w:b/>
                <w:bCs/>
                <w:color w:val="000000"/>
                <w:sz w:val="16"/>
                <w:szCs w:val="16"/>
              </w:rPr>
              <w:t xml:space="preserve">   </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111</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w:t>
            </w:r>
            <w:r>
              <w:rPr>
                <w:rFonts w:ascii="Times New Roman" w:eastAsia="Times New Roman" w:hAnsi="Times New Roman" w:cs="Times New Roman"/>
                <w:b/>
                <w:bCs/>
                <w:color w:val="000000"/>
                <w:sz w:val="16"/>
                <w:szCs w:val="16"/>
              </w:rPr>
              <w:t xml:space="preserve">   </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27,565</w:t>
            </w:r>
          </w:p>
        </w:tc>
      </w:tr>
      <w:tr w:rsidR="00130A6D">
        <w:trPr>
          <w:trHeight w:val="195"/>
        </w:trPr>
        <w:tc>
          <w:tcPr>
            <w:tcW w:w="346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000000"/>
                <w:sz w:val="16"/>
                <w:szCs w:val="16"/>
              </w:rPr>
            </w:pPr>
            <w:r>
              <w:rPr>
                <w:rFonts w:eastAsia="Arial" w:cs="Arial"/>
                <w:color w:val="000000"/>
                <w:sz w:val="16"/>
                <w:szCs w:val="16"/>
              </w:rPr>
              <w:t>Total loans</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268,235</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92,038</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1,932</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1,557</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95,527</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6,807</w:t>
            </w:r>
          </w:p>
        </w:tc>
        <w:tc>
          <w:tcPr>
            <w:tcW w:w="945" w:type="dxa"/>
            <w:tcBorders>
              <w:top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370,569</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w:t>
            </w:r>
          </w:p>
        </w:tc>
        <w:tc>
          <w:tcPr>
            <w:tcW w:w="945" w:type="dxa"/>
            <w:shd w:val="clear" w:color="auto" w:fill="F4F0E8"/>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6"/>
                <w:szCs w:val="16"/>
              </w:rPr>
            </w:pPr>
          </w:p>
        </w:tc>
        <w:tc>
          <w:tcPr>
            <w:tcW w:w="945" w:type="dxa"/>
            <w:shd w:val="clear" w:color="auto" w:fill="F4F0E8"/>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6"/>
                <w:szCs w:val="16"/>
              </w:rPr>
            </w:pPr>
          </w:p>
        </w:tc>
        <w:tc>
          <w:tcPr>
            <w:tcW w:w="945" w:type="dxa"/>
            <w:shd w:val="clear" w:color="auto" w:fill="F4F0E8"/>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6"/>
                <w:szCs w:val="16"/>
              </w:rPr>
            </w:pPr>
          </w:p>
        </w:tc>
        <w:tc>
          <w:tcPr>
            <w:tcW w:w="945" w:type="dxa"/>
            <w:shd w:val="clear" w:color="auto" w:fill="F4F0E8"/>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6"/>
                <w:szCs w:val="16"/>
              </w:rPr>
            </w:pPr>
          </w:p>
        </w:tc>
        <w:tc>
          <w:tcPr>
            <w:tcW w:w="945" w:type="dxa"/>
            <w:shd w:val="clear" w:color="auto" w:fill="F4F0E8"/>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6"/>
                <w:szCs w:val="16"/>
              </w:rPr>
            </w:pPr>
          </w:p>
        </w:tc>
        <w:tc>
          <w:tcPr>
            <w:tcW w:w="945" w:type="dxa"/>
            <w:shd w:val="clear" w:color="auto" w:fill="F4F0E8"/>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6"/>
                <w:szCs w:val="16"/>
              </w:rPr>
            </w:pPr>
          </w:p>
        </w:tc>
        <w:tc>
          <w:tcPr>
            <w:tcW w:w="945" w:type="dxa"/>
            <w:shd w:val="clear" w:color="auto" w:fill="F4F0E8"/>
            <w:tcMar>
              <w:top w:w="0" w:type="dxa"/>
              <w:left w:w="5" w:type="dxa"/>
              <w:bottom w:w="0" w:type="dxa"/>
              <w:right w:w="5" w:type="dxa"/>
            </w:tcMar>
            <w:vAlign w:val="center"/>
            <w:hideMark/>
          </w:tcPr>
          <w:p w:rsidR="00AF231A" w:rsidRDefault="00AF231A">
            <w:pPr>
              <w:spacing w:line="240" w:lineRule="auto"/>
              <w:contextualSpacing/>
              <w:jc w:val="right"/>
              <w:rPr>
                <w:rFonts w:eastAsia="Arial" w:cs="Arial"/>
                <w:b/>
                <w:bCs/>
                <w:color w:val="000000"/>
                <w:sz w:val="16"/>
                <w:szCs w:val="16"/>
              </w:rPr>
            </w:pP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Personal</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159,037</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33,855</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1,172</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676</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35,703</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3,534</w:t>
            </w:r>
          </w:p>
        </w:tc>
        <w:tc>
          <w:tcPr>
            <w:tcW w:w="945" w:type="dxa"/>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198,274</w:t>
            </w:r>
          </w:p>
        </w:tc>
      </w:tr>
      <w:tr w:rsidR="00130A6D">
        <w:trPr>
          <w:trHeight w:val="195"/>
        </w:trPr>
        <w:tc>
          <w:tcPr>
            <w:tcW w:w="346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109,198</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58,183</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760</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881</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59,824</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3,273</w:t>
            </w:r>
          </w:p>
        </w:tc>
        <w:tc>
          <w:tcPr>
            <w:tcW w:w="945" w:type="dxa"/>
            <w:tcBorders>
              <w:bottom w:val="single" w:sz="6" w:space="0" w:color="000000"/>
            </w:tcBorders>
            <w:shd w:val="clear" w:color="auto" w:fill="F4F0E8"/>
            <w:tcMar>
              <w:top w:w="0" w:type="dxa"/>
              <w:left w:w="5" w:type="dxa"/>
              <w:bottom w:w="0" w:type="dxa"/>
              <w:right w:w="5" w:type="dxa"/>
            </w:tcMar>
            <w:vAlign w:val="center"/>
            <w:hideMark/>
          </w:tcPr>
          <w:p w:rsidR="00AF231A"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172,295</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000000"/>
                <w:sz w:val="16"/>
                <w:szCs w:val="16"/>
              </w:rPr>
            </w:pPr>
            <w:r>
              <w:rPr>
                <w:rFonts w:eastAsia="Arial" w:cs="Arial"/>
                <w:color w:val="000000"/>
                <w:sz w:val="16"/>
                <w:szCs w:val="16"/>
              </w:rPr>
              <w:t>30 June 2020</w:t>
            </w:r>
          </w:p>
        </w:tc>
        <w:tc>
          <w:tcPr>
            <w:tcW w:w="6615" w:type="dxa"/>
            <w:gridSpan w:val="7"/>
            <w:tcBorders>
              <w:bottom w:val="single" w:sz="6" w:space="0" w:color="000000"/>
            </w:tcBorders>
            <w:shd w:val="clear" w:color="auto" w:fill="FFFFFF"/>
            <w:tcMar>
              <w:top w:w="0" w:type="dxa"/>
              <w:left w:w="5" w:type="dxa"/>
              <w:bottom w:w="0" w:type="dxa"/>
              <w:right w:w="5" w:type="dxa"/>
            </w:tcMar>
            <w:vAlign w:val="center"/>
            <w:hideMark/>
          </w:tcPr>
          <w:p w:rsidR="00AF231A" w:rsidRDefault="00AF231A">
            <w:pPr>
              <w:spacing w:line="240" w:lineRule="auto"/>
              <w:contextualSpacing/>
              <w:jc w:val="center"/>
              <w:rPr>
                <w:rFonts w:eastAsia="Arial" w:cs="Arial"/>
                <w:color w:val="5E10B1"/>
                <w:sz w:val="12"/>
                <w:szCs w:val="12"/>
              </w:rPr>
            </w:pPr>
          </w:p>
        </w:tc>
      </w:tr>
      <w:tr w:rsidR="00130A6D">
        <w:trPr>
          <w:trHeight w:val="195"/>
        </w:trPr>
        <w:tc>
          <w:tcPr>
            <w:tcW w:w="346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Retail Banking</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136,065</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26,597</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1,017</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656</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28,270</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2,052</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166,387</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 xml:space="preserve">Ulster Bank </w:t>
            </w:r>
            <w:proofErr w:type="spellStart"/>
            <w:r>
              <w:rPr>
                <w:rFonts w:eastAsia="Arial" w:cs="Arial"/>
                <w:color w:val="5E10B1"/>
                <w:sz w:val="16"/>
                <w:szCs w:val="16"/>
              </w:rPr>
              <w:t>RoI</w:t>
            </w:r>
            <w:proofErr w:type="spellEnd"/>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18,642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4,122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206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4,478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1,547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24,667</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Style w:val="font9"/>
              </w:rPr>
              <w:t>Personal</w:t>
            </w:r>
            <w:r>
              <w:rPr>
                <w:rStyle w:val="font1020"/>
              </w:rPr>
              <w:t xml:space="preserve"> </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10,602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2,015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2,279</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1,384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14,265</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8,040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2,107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2,199</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10,402</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Commercial Banking</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53,514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55,593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1,934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847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58,374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2,806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114,694</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Private Banking</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14,465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1,545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1,567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256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16,288</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Personal</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11,972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243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12,402</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2,493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1,377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1,380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3,886</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RBS International</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12,697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1,792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1,825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195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14,717</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Personal</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2,793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2,903</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9,904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1,774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1,783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11,814</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NatWest Markets</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10,197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2,363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2,381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178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12,756</w:t>
            </w:r>
          </w:p>
        </w:tc>
      </w:tr>
      <w:tr w:rsidR="00130A6D">
        <w:trPr>
          <w:trHeight w:val="195"/>
        </w:trPr>
        <w:tc>
          <w:tcPr>
            <w:tcW w:w="346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Central items &amp; other</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20,864</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20,979</w:t>
            </w:r>
          </w:p>
        </w:tc>
      </w:tr>
      <w:tr w:rsidR="00130A6D">
        <w:trPr>
          <w:trHeight w:val="195"/>
        </w:trPr>
        <w:tc>
          <w:tcPr>
            <w:tcW w:w="346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000000"/>
                <w:sz w:val="16"/>
                <w:szCs w:val="16"/>
              </w:rPr>
            </w:pPr>
            <w:r>
              <w:rPr>
                <w:rFonts w:eastAsia="Arial" w:cs="Arial"/>
                <w:color w:val="000000"/>
                <w:sz w:val="16"/>
                <w:szCs w:val="16"/>
              </w:rPr>
              <w:t>Total loans</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266,444</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92,127</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3,130</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1,753</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97,010</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7,034</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370,488</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w:t>
            </w: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Personal</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161,432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28,798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1,173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807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30,778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3,747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195,957</w:t>
            </w:r>
          </w:p>
        </w:tc>
      </w:tr>
      <w:tr w:rsidR="00130A6D">
        <w:trPr>
          <w:trHeight w:val="195"/>
        </w:trPr>
        <w:tc>
          <w:tcPr>
            <w:tcW w:w="346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105,012</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63,329</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1,957</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946</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66,232</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3,287</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174,531</w:t>
            </w:r>
          </w:p>
        </w:tc>
      </w:tr>
    </w:tbl>
    <w:p w:rsidR="00092F94" w:rsidRPr="009603BC" w:rsidRDefault="00092F94" w:rsidP="00CC5FA7">
      <w:pPr>
        <w:pStyle w:val="Normal200"/>
        <w:spacing w:line="276" w:lineRule="auto"/>
        <w:ind w:right="98"/>
        <w:rPr>
          <w:rFonts w:eastAsia="Calibri"/>
          <w:color w:val="5E10B1"/>
          <w:sz w:val="4"/>
          <w:szCs w:val="4"/>
        </w:rPr>
      </w:pPr>
    </w:p>
    <w:tbl>
      <w:tblPr>
        <w:tblStyle w:val="table"/>
        <w:tblW w:w="10080" w:type="dxa"/>
        <w:tblInd w:w="5" w:type="dxa"/>
        <w:tblCellMar>
          <w:left w:w="0" w:type="dxa"/>
          <w:right w:w="0" w:type="dxa"/>
        </w:tblCellMar>
        <w:tblLook w:val="05E0" w:firstRow="1" w:lastRow="1" w:firstColumn="1" w:lastColumn="1" w:noHBand="0" w:noVBand="1"/>
      </w:tblPr>
      <w:tblGrid>
        <w:gridCol w:w="3465"/>
        <w:gridCol w:w="945"/>
        <w:gridCol w:w="945"/>
        <w:gridCol w:w="945"/>
        <w:gridCol w:w="945"/>
        <w:gridCol w:w="945"/>
        <w:gridCol w:w="945"/>
        <w:gridCol w:w="945"/>
      </w:tblGrid>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000000"/>
                <w:sz w:val="16"/>
                <w:szCs w:val="16"/>
              </w:rPr>
            </w:pPr>
            <w:r>
              <w:rPr>
                <w:rFonts w:eastAsia="Arial" w:cs="Arial"/>
                <w:color w:val="000000"/>
                <w:sz w:val="16"/>
                <w:szCs w:val="16"/>
              </w:rPr>
              <w:t>31 December 2019</w:t>
            </w:r>
          </w:p>
        </w:tc>
        <w:tc>
          <w:tcPr>
            <w:tcW w:w="6615" w:type="dxa"/>
            <w:gridSpan w:val="7"/>
            <w:tcBorders>
              <w:bottom w:val="single" w:sz="6" w:space="0" w:color="000000"/>
            </w:tcBorders>
            <w:shd w:val="clear" w:color="auto" w:fill="FFFFFF"/>
            <w:tcMar>
              <w:top w:w="0" w:type="dxa"/>
              <w:left w:w="5" w:type="dxa"/>
              <w:bottom w:w="0" w:type="dxa"/>
              <w:right w:w="5" w:type="dxa"/>
            </w:tcMar>
            <w:vAlign w:val="center"/>
            <w:hideMark/>
          </w:tcPr>
          <w:p w:rsidR="00AF231A" w:rsidRDefault="00AF231A">
            <w:pPr>
              <w:spacing w:line="240" w:lineRule="auto"/>
              <w:contextualSpacing/>
              <w:jc w:val="center"/>
              <w:rPr>
                <w:rFonts w:eastAsia="Arial" w:cs="Arial"/>
                <w:color w:val="5E10B1"/>
                <w:sz w:val="12"/>
                <w:szCs w:val="12"/>
              </w:rPr>
            </w:pPr>
          </w:p>
        </w:tc>
      </w:tr>
      <w:tr w:rsidR="00130A6D">
        <w:trPr>
          <w:trHeight w:val="195"/>
        </w:trPr>
        <w:tc>
          <w:tcPr>
            <w:tcW w:w="346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Retail Banking</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144,513</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11,921</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1,034</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603</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13,558</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1,902</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159,973</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 xml:space="preserve">Ulster Bank </w:t>
            </w:r>
            <w:proofErr w:type="spellStart"/>
            <w:r>
              <w:rPr>
                <w:rFonts w:eastAsia="Arial" w:cs="Arial"/>
                <w:color w:val="5E10B1"/>
                <w:sz w:val="16"/>
                <w:szCs w:val="16"/>
              </w:rPr>
              <w:t>RoI</w:t>
            </w:r>
            <w:proofErr w:type="spellEnd"/>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18,544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1,405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104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133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1,642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2,037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22,223</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Style w:val="font9"/>
              </w:rPr>
              <w:t>Personal</w:t>
            </w:r>
            <w:r>
              <w:rPr>
                <w:rStyle w:val="font1020"/>
              </w:rPr>
              <w:t xml:space="preserve"> </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10,858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944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105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1,145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1,877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13,880</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7,686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461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497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8,343</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Commercial Banking</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88,100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10,837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254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262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11,353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2,162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101,615</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Private Banking</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14,956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478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63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46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587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207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15,750</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Personal</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11,630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281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12,103</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3,326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298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306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3,647</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RBS International</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14,834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520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545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121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15,500</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Personal</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2,799</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2,914</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12,035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493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495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12,586</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NatWest Markets</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9,273</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176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180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169</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9,622</w:t>
            </w:r>
          </w:p>
        </w:tc>
      </w:tr>
      <w:tr w:rsidR="00130A6D">
        <w:trPr>
          <w:trHeight w:val="195"/>
        </w:trPr>
        <w:tc>
          <w:tcPr>
            <w:tcW w:w="346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5E10B1"/>
                <w:sz w:val="16"/>
                <w:szCs w:val="16"/>
              </w:rPr>
            </w:pPr>
            <w:r>
              <w:rPr>
                <w:rFonts w:eastAsia="Arial" w:cs="Arial"/>
                <w:color w:val="5E10B1"/>
                <w:sz w:val="16"/>
                <w:szCs w:val="16"/>
              </w:rPr>
              <w:t>Central items &amp; other</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15,282</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15,285</w:t>
            </w:r>
          </w:p>
        </w:tc>
      </w:tr>
      <w:tr w:rsidR="00130A6D">
        <w:trPr>
          <w:trHeight w:val="195"/>
        </w:trPr>
        <w:tc>
          <w:tcPr>
            <w:tcW w:w="346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color w:val="000000"/>
                <w:sz w:val="16"/>
                <w:szCs w:val="16"/>
              </w:rPr>
            </w:pPr>
            <w:r>
              <w:rPr>
                <w:rFonts w:eastAsia="Arial" w:cs="Arial"/>
                <w:color w:val="000000"/>
                <w:sz w:val="16"/>
                <w:szCs w:val="16"/>
              </w:rPr>
              <w:t>Total loans</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305,502</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25,340</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1,477</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1,051</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27,868</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6,598</w:t>
            </w:r>
          </w:p>
        </w:tc>
        <w:tc>
          <w:tcPr>
            <w:tcW w:w="945" w:type="dxa"/>
            <w:tcBorders>
              <w:top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color w:val="000000"/>
                <w:sz w:val="16"/>
                <w:szCs w:val="16"/>
              </w:rPr>
            </w:pPr>
            <w:r>
              <w:rPr>
                <w:rFonts w:eastAsia="Arial" w:cs="Arial"/>
                <w:color w:val="000000"/>
                <w:sz w:val="16"/>
                <w:szCs w:val="16"/>
              </w:rPr>
              <w:t>339,968</w:t>
            </w: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Of which:</w:t>
            </w: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AF231A" w:rsidRDefault="00AF231A">
            <w:pPr>
              <w:spacing w:line="240" w:lineRule="auto"/>
              <w:contextualSpacing/>
              <w:jc w:val="right"/>
              <w:rPr>
                <w:rFonts w:eastAsia="Arial" w:cs="Arial"/>
                <w:color w:val="000000"/>
                <w:sz w:val="16"/>
                <w:szCs w:val="16"/>
              </w:rPr>
            </w:pPr>
          </w:p>
        </w:tc>
      </w:tr>
      <w:tr w:rsidR="00130A6D">
        <w:trPr>
          <w:trHeight w:val="195"/>
        </w:trPr>
        <w:tc>
          <w:tcPr>
            <w:tcW w:w="3465" w:type="dxa"/>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Personal</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169,800</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13,072</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1,207</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755</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15,034</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4,036</w:t>
            </w:r>
          </w:p>
        </w:tc>
        <w:tc>
          <w:tcPr>
            <w:tcW w:w="945" w:type="dxa"/>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188,870</w:t>
            </w:r>
          </w:p>
        </w:tc>
      </w:tr>
      <w:tr w:rsidR="00130A6D">
        <w:trPr>
          <w:trHeight w:val="195"/>
        </w:trPr>
        <w:tc>
          <w:tcPr>
            <w:tcW w:w="346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rPr>
                <w:rFonts w:eastAsia="Arial" w:cs="Arial"/>
                <w:i/>
                <w:iCs/>
                <w:color w:val="000000"/>
                <w:sz w:val="16"/>
                <w:szCs w:val="16"/>
              </w:rPr>
            </w:pPr>
            <w:r>
              <w:rPr>
                <w:rFonts w:eastAsia="Arial" w:cs="Arial"/>
                <w:i/>
                <w:iCs/>
                <w:color w:val="000000"/>
                <w:sz w:val="16"/>
                <w:szCs w:val="16"/>
              </w:rPr>
              <w:t>Wholesale</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135,702</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12,268</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270</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296</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12,834</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2,562</w:t>
            </w:r>
          </w:p>
        </w:tc>
        <w:tc>
          <w:tcPr>
            <w:tcW w:w="945" w:type="dxa"/>
            <w:tcBorders>
              <w:bottom w:val="single" w:sz="6" w:space="0" w:color="000000"/>
            </w:tcBorders>
            <w:shd w:val="clear" w:color="auto" w:fill="FFFFFF"/>
            <w:tcMar>
              <w:top w:w="0" w:type="dxa"/>
              <w:left w:w="5" w:type="dxa"/>
              <w:bottom w:w="0" w:type="dxa"/>
              <w:right w:w="5" w:type="dxa"/>
            </w:tcMar>
            <w:vAlign w:val="center"/>
            <w:hideMark/>
          </w:tcPr>
          <w:p w:rsidR="00AF231A"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151,098</w:t>
            </w:r>
          </w:p>
        </w:tc>
      </w:tr>
    </w:tbl>
    <w:p w:rsidR="00D7488D" w:rsidRDefault="004160AB">
      <w:pPr>
        <w:spacing w:after="200"/>
        <w:rPr>
          <w:rFonts w:eastAsia="Calibri"/>
          <w:bCs/>
          <w:color w:val="5E10B1"/>
          <w:szCs w:val="18"/>
        </w:rPr>
      </w:pPr>
      <w:r>
        <w:rPr>
          <w:rFonts w:eastAsia="Calibri"/>
          <w:bCs/>
          <w:color w:val="5E10B1"/>
          <w:szCs w:val="18"/>
        </w:rPr>
        <w:br w:type="page"/>
      </w:r>
    </w:p>
    <w:p w:rsidR="00D7488D" w:rsidRPr="00344FD2" w:rsidRDefault="004160AB" w:rsidP="00D7488D">
      <w:pPr>
        <w:pStyle w:val="Normal200"/>
        <w:spacing w:line="276" w:lineRule="auto"/>
        <w:ind w:right="98"/>
        <w:rPr>
          <w:rFonts w:eastAsia="Calibri"/>
          <w:b/>
          <w:color w:val="42145F"/>
          <w:sz w:val="18"/>
          <w:szCs w:val="18"/>
        </w:rPr>
      </w:pPr>
      <w:r w:rsidRPr="00344FD2">
        <w:rPr>
          <w:rFonts w:eastAsia="Calibri"/>
          <w:b/>
          <w:color w:val="42145F"/>
          <w:sz w:val="18"/>
          <w:szCs w:val="18"/>
        </w:rPr>
        <w:lastRenderedPageBreak/>
        <w:t>Capital and risk management</w:t>
      </w:r>
    </w:p>
    <w:p w:rsidR="00D7488D" w:rsidRPr="00344FD2" w:rsidRDefault="004160AB" w:rsidP="00D7488D">
      <w:pPr>
        <w:pStyle w:val="Normal200"/>
        <w:spacing w:line="276" w:lineRule="auto"/>
        <w:ind w:right="98"/>
        <w:rPr>
          <w:rFonts w:eastAsia="Calibri"/>
          <w:b/>
          <w:color w:val="5E10B1"/>
          <w:sz w:val="18"/>
          <w:szCs w:val="18"/>
        </w:rPr>
      </w:pPr>
      <w:r w:rsidRPr="00344FD2">
        <w:rPr>
          <w:rFonts w:eastAsia="Calibri"/>
          <w:b/>
          <w:color w:val="5E10B1"/>
          <w:sz w:val="18"/>
          <w:szCs w:val="18"/>
        </w:rPr>
        <w:t xml:space="preserve">Credit risk </w:t>
      </w:r>
      <w:r w:rsidRPr="00344FD2">
        <w:rPr>
          <w:rFonts w:eastAsia="Calibri"/>
          <w:color w:val="5E10B1"/>
          <w:sz w:val="18"/>
          <w:szCs w:val="18"/>
        </w:rPr>
        <w:t>continued</w:t>
      </w:r>
    </w:p>
    <w:p w:rsidR="00D7488D" w:rsidRPr="00344FD2" w:rsidRDefault="004160AB" w:rsidP="00D7488D">
      <w:pPr>
        <w:pStyle w:val="Normal200"/>
        <w:spacing w:line="276" w:lineRule="auto"/>
        <w:ind w:right="98"/>
        <w:rPr>
          <w:rFonts w:eastAsia="Calibri"/>
          <w:color w:val="5E10B1"/>
          <w:sz w:val="18"/>
          <w:szCs w:val="18"/>
        </w:rPr>
      </w:pPr>
      <w:r w:rsidRPr="00344FD2">
        <w:rPr>
          <w:rFonts w:eastAsia="Calibri"/>
          <w:color w:val="5E10B1"/>
          <w:sz w:val="18"/>
          <w:szCs w:val="18"/>
        </w:rPr>
        <w:t>Segmental loans</w:t>
      </w:r>
    </w:p>
    <w:p w:rsidR="00A71411" w:rsidRPr="00344FD2" w:rsidRDefault="004160AB" w:rsidP="00A71411">
      <w:pPr>
        <w:rPr>
          <w:rFonts w:eastAsia="Calibri" w:cs="Arial"/>
          <w:bCs/>
          <w:color w:val="5E10B1"/>
          <w:szCs w:val="18"/>
        </w:rPr>
      </w:pPr>
      <w:r w:rsidRPr="00344FD2">
        <w:rPr>
          <w:rFonts w:eastAsia="Calibri" w:cs="Arial"/>
          <w:bCs/>
          <w:color w:val="5E10B1"/>
          <w:szCs w:val="18"/>
        </w:rPr>
        <w:t xml:space="preserve">Key points </w:t>
      </w:r>
    </w:p>
    <w:p w:rsidR="005879A5" w:rsidRPr="00344FD2" w:rsidRDefault="004160AB" w:rsidP="00D7488D">
      <w:pPr>
        <w:pStyle w:val="ListParagraph"/>
        <w:numPr>
          <w:ilvl w:val="0"/>
          <w:numId w:val="13"/>
        </w:numPr>
        <w:tabs>
          <w:tab w:val="left" w:pos="384"/>
        </w:tabs>
        <w:spacing w:before="60"/>
        <w:ind w:left="238" w:hanging="238"/>
        <w:rPr>
          <w:rFonts w:ascii="Arial" w:hAnsi="Arial" w:cs="Arial"/>
          <w:sz w:val="18"/>
          <w:szCs w:val="18"/>
        </w:rPr>
      </w:pPr>
      <w:r w:rsidRPr="00344FD2">
        <w:rPr>
          <w:rFonts w:ascii="Arial" w:hAnsi="Arial" w:cs="Arial"/>
          <w:color w:val="5E10B1"/>
          <w:sz w:val="18"/>
          <w:szCs w:val="18"/>
        </w:rPr>
        <w:t>Retail Banking</w:t>
      </w:r>
      <w:r w:rsidRPr="00344FD2">
        <w:rPr>
          <w:rFonts w:ascii="Arial" w:hAnsi="Arial" w:cs="Arial"/>
          <w:sz w:val="18"/>
          <w:szCs w:val="18"/>
        </w:rPr>
        <w:t>: Balance sheet growth since 2019 year-end was driven by mortgages, with strong growth pre-Covid-19 in Q1 2020 that moderated significantly in Q2 2020, before picking up in Q3 2020 as lockdown measures eased. Unsecured lending balances reduced in Q2 2020 as customer spend and demand for borrowing reduced as a result of lockdown and customers made repayments. During Q3 2020, overall unsecured balances flattened, with a slight growth in credit cards offsetting further reductions in other unsecured lending. Loan balances in Stage 2 increased significantly, driven by deterioration in forward-looking customer PDs primarily at the half-year point and reflected the deteriorated economic environment. The movement in Stage 2 balances was less pronounced in Q3 2020. However, there was a further increase driven by the significant increase in credit risk (SICR) policy criteria that meant retail exposures must remain in Stage 2 for at least three months after the customer PD has reduced below the SICR trigger level, meaning flows back to Stage 1 were subdued. The various Covid-19 related customer support schemes (for example, loan repayment holidays and the government job retention scheme) are mitigating actual portfolio deterioration in the short-term, with the days past due, and flows to Stage 3 metrics, yet to be materially affected.</w:t>
      </w:r>
    </w:p>
    <w:p w:rsidR="00D7488D" w:rsidRPr="00344FD2" w:rsidRDefault="004160AB" w:rsidP="00D7488D">
      <w:pPr>
        <w:pStyle w:val="ListParagraph"/>
        <w:numPr>
          <w:ilvl w:val="0"/>
          <w:numId w:val="13"/>
        </w:numPr>
        <w:tabs>
          <w:tab w:val="left" w:pos="384"/>
        </w:tabs>
        <w:spacing w:before="60"/>
        <w:ind w:left="238" w:hanging="238"/>
        <w:rPr>
          <w:rFonts w:ascii="Arial" w:hAnsi="Arial" w:cs="Arial"/>
          <w:sz w:val="18"/>
          <w:szCs w:val="18"/>
        </w:rPr>
      </w:pPr>
      <w:r w:rsidRPr="00344FD2">
        <w:rPr>
          <w:rFonts w:ascii="Arial" w:hAnsi="Arial" w:cs="Arial"/>
          <w:color w:val="5E10B1"/>
          <w:sz w:val="18"/>
          <w:szCs w:val="18"/>
        </w:rPr>
        <w:t xml:space="preserve">Ulster Bank </w:t>
      </w:r>
      <w:proofErr w:type="spellStart"/>
      <w:r w:rsidRPr="00344FD2">
        <w:rPr>
          <w:rFonts w:ascii="Arial" w:hAnsi="Arial" w:cs="Arial"/>
          <w:color w:val="5E10B1"/>
          <w:sz w:val="18"/>
          <w:szCs w:val="18"/>
        </w:rPr>
        <w:t>RoI</w:t>
      </w:r>
      <w:proofErr w:type="spellEnd"/>
      <w:r w:rsidRPr="00344FD2">
        <w:rPr>
          <w:rFonts w:ascii="Arial" w:hAnsi="Arial" w:cs="Arial"/>
          <w:sz w:val="18"/>
          <w:szCs w:val="18"/>
        </w:rPr>
        <w:t xml:space="preserve">: </w:t>
      </w:r>
      <w:proofErr w:type="gramStart"/>
      <w:r w:rsidRPr="00344FD2">
        <w:rPr>
          <w:rFonts w:ascii="Arial" w:hAnsi="Arial" w:cs="Arial"/>
          <w:sz w:val="18"/>
          <w:szCs w:val="18"/>
        </w:rPr>
        <w:t>Similar to</w:t>
      </w:r>
      <w:proofErr w:type="gramEnd"/>
      <w:r w:rsidRPr="00344FD2">
        <w:rPr>
          <w:rFonts w:ascii="Arial" w:hAnsi="Arial" w:cs="Arial"/>
          <w:sz w:val="18"/>
          <w:szCs w:val="18"/>
        </w:rPr>
        <w:t xml:space="preserve"> Retail Banking, the increase in both ECL and balances in Stage 2 was mainly due to the deteriorated economic outlook primarily at the half-year point. The reduction in Stage 3 ECL and balances reflected the de-recognition of non-performing exposures following the execution of three tranches of a previously agreed portfolio sale and continued improvements in the portfolio.</w:t>
      </w:r>
    </w:p>
    <w:p w:rsidR="0054756B" w:rsidRPr="00344FD2" w:rsidRDefault="004160AB" w:rsidP="00D7488D">
      <w:pPr>
        <w:pStyle w:val="ListParagraph"/>
        <w:numPr>
          <w:ilvl w:val="0"/>
          <w:numId w:val="13"/>
        </w:numPr>
        <w:tabs>
          <w:tab w:val="left" w:pos="384"/>
        </w:tabs>
        <w:spacing w:before="60"/>
        <w:ind w:left="238" w:hanging="238"/>
        <w:rPr>
          <w:rFonts w:ascii="Arial" w:hAnsi="Arial" w:cs="Arial"/>
          <w:sz w:val="18"/>
          <w:szCs w:val="18"/>
        </w:rPr>
      </w:pPr>
      <w:r w:rsidRPr="00344FD2">
        <w:rPr>
          <w:rFonts w:ascii="Arial" w:hAnsi="Arial" w:cs="Arial"/>
          <w:color w:val="5E10B1"/>
          <w:sz w:val="18"/>
          <w:szCs w:val="18"/>
        </w:rPr>
        <w:t>Commercial Banking</w:t>
      </w:r>
      <w:r w:rsidRPr="00344FD2">
        <w:rPr>
          <w:rFonts w:ascii="Arial" w:hAnsi="Arial" w:cs="Arial"/>
          <w:sz w:val="18"/>
          <w:szCs w:val="18"/>
        </w:rPr>
        <w:t xml:space="preserve">: Balance sheet growth during 2020 mainly occurred in the first half of the year and was primarily due to drawdowns on existing facilities and new lending under government support schemes. In line with the other business segments, Stage 2 balances increased significantly during Q2 2020 when revised economics materially affected the forward-looking IFRS 9 PDs. Consistent with previous periods, PD deterioration remained the largest contributor to Stage 2 migration. Although there has been an increase in past due exposures, the flow to Stage 3 remained stable in Q3 2020, as government interventions and relief mitigate against defaults at this point. Stage 1 loans increased during Q3 2020, mainly reflecting increased government scheme lending.  </w:t>
      </w:r>
    </w:p>
    <w:p w:rsidR="006E0F9A" w:rsidRDefault="004160AB">
      <w:pPr>
        <w:spacing w:after="200"/>
        <w:rPr>
          <w:rFonts w:eastAsia="Calibri"/>
          <w:b/>
          <w:color w:val="5E10B1"/>
          <w:szCs w:val="20"/>
        </w:rPr>
      </w:pPr>
      <w:r>
        <w:rPr>
          <w:rFonts w:eastAsia="Calibri"/>
          <w:b/>
          <w:color w:val="5E10B1"/>
          <w:szCs w:val="20"/>
        </w:rPr>
        <w:br w:type="page"/>
      </w:r>
    </w:p>
    <w:p w:rsidR="006E0F9A" w:rsidRPr="00AA3A8E" w:rsidRDefault="004160AB" w:rsidP="001C79B9">
      <w:pPr>
        <w:pStyle w:val="Normal200"/>
        <w:spacing w:line="259" w:lineRule="auto"/>
        <w:ind w:right="98"/>
        <w:rPr>
          <w:rFonts w:eastAsia="Calibri"/>
          <w:b/>
          <w:color w:val="42145F"/>
          <w:sz w:val="18"/>
          <w:szCs w:val="18"/>
        </w:rPr>
      </w:pPr>
      <w:r w:rsidRPr="00AA3A8E">
        <w:rPr>
          <w:rFonts w:eastAsia="Calibri"/>
          <w:b/>
          <w:color w:val="42145F"/>
          <w:sz w:val="18"/>
          <w:szCs w:val="18"/>
        </w:rPr>
        <w:lastRenderedPageBreak/>
        <w:t>Capital and risk management</w:t>
      </w:r>
    </w:p>
    <w:p w:rsidR="00092F94" w:rsidRPr="006E0F9A" w:rsidRDefault="004160AB" w:rsidP="001C79B9">
      <w:pPr>
        <w:pStyle w:val="Normal200"/>
        <w:spacing w:line="259" w:lineRule="auto"/>
        <w:ind w:right="98"/>
        <w:rPr>
          <w:rFonts w:eastAsia="Calibri"/>
          <w:color w:val="5E10B1"/>
          <w:sz w:val="18"/>
          <w:szCs w:val="18"/>
        </w:rPr>
      </w:pPr>
      <w:r w:rsidRPr="00AA3A8E">
        <w:rPr>
          <w:rFonts w:eastAsia="Calibri"/>
          <w:b/>
          <w:color w:val="5E10B1"/>
          <w:sz w:val="18"/>
          <w:szCs w:val="18"/>
        </w:rPr>
        <w:t xml:space="preserve">Credit risk </w:t>
      </w:r>
      <w:r w:rsidRPr="00AA3A8E">
        <w:rPr>
          <w:rFonts w:eastAsia="Calibri"/>
          <w:color w:val="5E10B1"/>
          <w:sz w:val="18"/>
          <w:szCs w:val="18"/>
        </w:rPr>
        <w:t>continued</w:t>
      </w:r>
    </w:p>
    <w:p w:rsidR="00175EEA" w:rsidRPr="00AA3A8E" w:rsidRDefault="004160AB" w:rsidP="001C79B9">
      <w:pPr>
        <w:pStyle w:val="Normal200"/>
        <w:spacing w:line="259" w:lineRule="auto"/>
        <w:ind w:right="98"/>
        <w:rPr>
          <w:color w:val="5E10B1"/>
          <w:sz w:val="18"/>
          <w:szCs w:val="20"/>
        </w:rPr>
      </w:pPr>
      <w:bookmarkStart w:id="19" w:name="NWG_SEC"/>
      <w:r w:rsidRPr="00AA3A8E">
        <w:rPr>
          <w:rFonts w:eastAsia="Calibri"/>
          <w:color w:val="5E10B1"/>
          <w:sz w:val="18"/>
          <w:szCs w:val="20"/>
        </w:rPr>
        <w:t>S</w:t>
      </w:r>
      <w:r w:rsidRPr="00AA3A8E">
        <w:rPr>
          <w:color w:val="5E10B1"/>
          <w:sz w:val="18"/>
          <w:szCs w:val="20"/>
        </w:rPr>
        <w:t>ector analysis</w:t>
      </w:r>
    </w:p>
    <w:bookmarkEnd w:id="19"/>
    <w:p w:rsidR="00175EEA" w:rsidRPr="00AA3A8E" w:rsidRDefault="004160AB" w:rsidP="001C79B9">
      <w:pPr>
        <w:autoSpaceDE w:val="0"/>
        <w:autoSpaceDN w:val="0"/>
        <w:spacing w:line="259" w:lineRule="auto"/>
        <w:rPr>
          <w:rFonts w:cs="Arial"/>
          <w:szCs w:val="20"/>
        </w:rPr>
      </w:pPr>
      <w:r w:rsidRPr="00AA3A8E">
        <w:rPr>
          <w:rFonts w:cs="Arial"/>
          <w:szCs w:val="20"/>
        </w:rPr>
        <w:t xml:space="preserve">The table below shows ECL by stage, for the Personal portfolios and key sectors of the Wholesale portfolios, that continue to be affected by Covid-19. </w:t>
      </w:r>
    </w:p>
    <w:tbl>
      <w:tblPr>
        <w:tblStyle w:val="table"/>
        <w:tblW w:w="10020" w:type="dxa"/>
        <w:tblInd w:w="5" w:type="dxa"/>
        <w:tblCellMar>
          <w:left w:w="0" w:type="dxa"/>
          <w:right w:w="0" w:type="dxa"/>
        </w:tblCellMar>
        <w:tblLook w:val="05E0" w:firstRow="1" w:lastRow="1" w:firstColumn="1" w:lastColumn="1" w:noHBand="0" w:noVBand="1"/>
      </w:tblPr>
      <w:tblGrid>
        <w:gridCol w:w="2460"/>
        <w:gridCol w:w="660"/>
        <w:gridCol w:w="660"/>
        <w:gridCol w:w="660"/>
        <w:gridCol w:w="660"/>
        <w:gridCol w:w="1410"/>
        <w:gridCol w:w="60"/>
        <w:gridCol w:w="960"/>
        <w:gridCol w:w="60"/>
        <w:gridCol w:w="585"/>
        <w:gridCol w:w="675"/>
        <w:gridCol w:w="660"/>
        <w:gridCol w:w="510"/>
      </w:tblGrid>
      <w:tr w:rsidR="00130A6D">
        <w:trPr>
          <w:trHeight w:val="135"/>
        </w:trPr>
        <w:tc>
          <w:tcPr>
            <w:tcW w:w="24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2640" w:type="dxa"/>
            <w:gridSpan w:val="4"/>
            <w:shd w:val="clear" w:color="auto" w:fill="FFFFFF"/>
            <w:tcMar>
              <w:top w:w="0" w:type="dxa"/>
              <w:left w:w="5" w:type="dxa"/>
              <w:bottom w:w="0" w:type="dxa"/>
              <w:right w:w="5" w:type="dxa"/>
            </w:tcMar>
            <w:vAlign w:val="bottom"/>
            <w:hideMark/>
          </w:tcPr>
          <w:p w:rsidR="00830841" w:rsidRDefault="00830841">
            <w:pPr>
              <w:spacing w:line="240" w:lineRule="auto"/>
              <w:contextualSpacing/>
              <w:jc w:val="center"/>
              <w:rPr>
                <w:rFonts w:eastAsia="Arial" w:cs="Arial"/>
                <w:b/>
                <w:bCs/>
                <w:color w:val="5E10B1"/>
                <w:sz w:val="16"/>
                <w:szCs w:val="16"/>
              </w:rPr>
            </w:pPr>
          </w:p>
        </w:tc>
        <w:tc>
          <w:tcPr>
            <w:tcW w:w="2430" w:type="dxa"/>
            <w:gridSpan w:val="3"/>
            <w:tcBorders>
              <w:bottom w:val="single" w:sz="6" w:space="0" w:color="000000"/>
            </w:tcBorders>
            <w:shd w:val="clear" w:color="auto" w:fill="FFFFFF"/>
            <w:noWrap/>
            <w:tcMar>
              <w:top w:w="0" w:type="dxa"/>
              <w:left w:w="5" w:type="dxa"/>
              <w:bottom w:w="0" w:type="dxa"/>
              <w:right w:w="5" w:type="dxa"/>
            </w:tcMar>
            <w:vAlign w:val="center"/>
            <w:hideMark/>
          </w:tcPr>
          <w:p w:rsidR="00830841"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Off-balance sheet</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b/>
                <w:bCs/>
                <w:color w:val="5E10B1"/>
                <w:sz w:val="16"/>
                <w:szCs w:val="16"/>
              </w:rPr>
            </w:pPr>
          </w:p>
        </w:tc>
        <w:tc>
          <w:tcPr>
            <w:tcW w:w="2430" w:type="dxa"/>
            <w:gridSpan w:val="4"/>
            <w:shd w:val="clear" w:color="auto" w:fill="FFFFFF"/>
            <w:noWrap/>
            <w:tcMar>
              <w:top w:w="0" w:type="dxa"/>
              <w:left w:w="5" w:type="dxa"/>
              <w:bottom w:w="0" w:type="dxa"/>
              <w:right w:w="5" w:type="dxa"/>
            </w:tcMar>
            <w:vAlign w:val="bottom"/>
            <w:hideMark/>
          </w:tcPr>
          <w:p w:rsidR="00830841" w:rsidRDefault="00830841">
            <w:pPr>
              <w:spacing w:line="240" w:lineRule="auto"/>
              <w:contextualSpacing/>
              <w:jc w:val="center"/>
              <w:rPr>
                <w:rFonts w:eastAsia="Arial" w:cs="Arial"/>
                <w:b/>
                <w:bCs/>
                <w:color w:val="5E10B1"/>
                <w:sz w:val="16"/>
                <w:szCs w:val="16"/>
              </w:rPr>
            </w:pPr>
          </w:p>
        </w:tc>
      </w:tr>
      <w:tr w:rsidR="00130A6D">
        <w:trPr>
          <w:trHeight w:val="135"/>
        </w:trPr>
        <w:tc>
          <w:tcPr>
            <w:tcW w:w="24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660" w:type="dxa"/>
            <w:gridSpan w:val="4"/>
            <w:tcBorders>
              <w:bottom w:val="single" w:sz="6" w:space="0" w:color="000000"/>
            </w:tcBorders>
            <w:shd w:val="clear" w:color="auto" w:fill="FFFFFF"/>
            <w:tcMar>
              <w:top w:w="0" w:type="dxa"/>
              <w:left w:w="5" w:type="dxa"/>
              <w:bottom w:w="0" w:type="dxa"/>
              <w:right w:w="5" w:type="dxa"/>
            </w:tcMar>
            <w:vAlign w:val="bottom"/>
            <w:hideMark/>
          </w:tcPr>
          <w:p w:rsidR="00830841"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Loans - amortised cost &amp; FVOCI</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Loan</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Contingent</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b/>
                <w:bCs/>
                <w:color w:val="000000"/>
                <w:sz w:val="16"/>
                <w:szCs w:val="16"/>
              </w:rPr>
            </w:pPr>
          </w:p>
        </w:tc>
        <w:tc>
          <w:tcPr>
            <w:tcW w:w="585" w:type="dxa"/>
            <w:gridSpan w:val="4"/>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center"/>
              <w:rPr>
                <w:rFonts w:eastAsia="Arial" w:cs="Arial"/>
                <w:b/>
                <w:bCs/>
                <w:color w:val="5E10B1"/>
                <w:sz w:val="16"/>
                <w:szCs w:val="16"/>
              </w:rPr>
            </w:pPr>
            <w:r>
              <w:rPr>
                <w:rStyle w:val="font61"/>
              </w:rPr>
              <w:t>ECL provisions</w:t>
            </w:r>
            <w:r>
              <w:rPr>
                <w:rStyle w:val="font41"/>
              </w:rPr>
              <w:t xml:space="preserve"> </w:t>
            </w:r>
          </w:p>
        </w:tc>
      </w:tr>
      <w:tr w:rsidR="00130A6D">
        <w:trPr>
          <w:trHeight w:val="135"/>
        </w:trPr>
        <w:tc>
          <w:tcPr>
            <w:tcW w:w="24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Stage 1</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Stage 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Stage 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Style w:val="font700"/>
              </w:rPr>
              <w:t xml:space="preserve">commitments </w:t>
            </w:r>
            <w:r>
              <w:rPr>
                <w:rStyle w:val="font500"/>
              </w:rPr>
              <w:t>(1)</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liabilities</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b/>
                <w:b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Stage 1</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Stage 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Stage 3</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w:t>
            </w:r>
          </w:p>
        </w:tc>
      </w:tr>
      <w:tr w:rsidR="00130A6D">
        <w:trPr>
          <w:trHeight w:val="13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b/>
                <w:bCs/>
                <w:color w:val="000000"/>
                <w:sz w:val="16"/>
                <w:szCs w:val="16"/>
              </w:rPr>
            </w:pPr>
            <w:r>
              <w:rPr>
                <w:rFonts w:eastAsia="Arial" w:cs="Arial"/>
                <w:b/>
                <w:bCs/>
                <w:color w:val="000000"/>
                <w:sz w:val="16"/>
                <w:szCs w:val="16"/>
              </w:rPr>
              <w:t>30 September 2020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b/>
                <w:b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r>
      <w:tr w:rsidR="00130A6D">
        <w:trPr>
          <w:trHeight w:val="135"/>
        </w:trPr>
        <w:tc>
          <w:tcPr>
            <w:tcW w:w="24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5E10B1"/>
                <w:sz w:val="16"/>
                <w:szCs w:val="16"/>
              </w:rPr>
            </w:pPr>
            <w:r>
              <w:rPr>
                <w:rFonts w:eastAsia="Arial" w:cs="Arial"/>
                <w:color w:val="5E10B1"/>
                <w:sz w:val="16"/>
                <w:szCs w:val="16"/>
              </w:rPr>
              <w:t>Personal</w:t>
            </w:r>
          </w:p>
        </w:tc>
        <w:tc>
          <w:tcPr>
            <w:tcW w:w="66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159,037</w:t>
            </w:r>
          </w:p>
        </w:tc>
        <w:tc>
          <w:tcPr>
            <w:tcW w:w="66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35,703</w:t>
            </w:r>
          </w:p>
        </w:tc>
        <w:tc>
          <w:tcPr>
            <w:tcW w:w="66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3,534</w:t>
            </w:r>
          </w:p>
        </w:tc>
        <w:tc>
          <w:tcPr>
            <w:tcW w:w="66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198,274</w:t>
            </w:r>
          </w:p>
        </w:tc>
        <w:tc>
          <w:tcPr>
            <w:tcW w:w="141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40,706</w:t>
            </w:r>
          </w:p>
        </w:tc>
        <w:tc>
          <w:tcPr>
            <w:tcW w:w="6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46</w:t>
            </w:r>
          </w:p>
        </w:tc>
        <w:tc>
          <w:tcPr>
            <w:tcW w:w="6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177</w:t>
            </w:r>
          </w:p>
        </w:tc>
        <w:tc>
          <w:tcPr>
            <w:tcW w:w="675"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1,011</w:t>
            </w:r>
          </w:p>
        </w:tc>
        <w:tc>
          <w:tcPr>
            <w:tcW w:w="66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1,358</w:t>
            </w:r>
          </w:p>
        </w:tc>
        <w:tc>
          <w:tcPr>
            <w:tcW w:w="510" w:type="dxa"/>
            <w:tcBorders>
              <w:top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2,546</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Mortgages</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150,944</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30,896</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2,671</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184,511</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12,489</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286</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651</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969</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Credit cards</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2,526</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1,323</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107</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3,956</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15,474</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50</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245</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380</w:t>
            </w:r>
          </w:p>
        </w:tc>
      </w:tr>
      <w:tr w:rsidR="00130A6D">
        <w:trPr>
          <w:trHeight w:val="195"/>
        </w:trPr>
        <w:tc>
          <w:tcPr>
            <w:tcW w:w="24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Other personal</w:t>
            </w:r>
          </w:p>
        </w:tc>
        <w:tc>
          <w:tcPr>
            <w:tcW w:w="66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5,567</w:t>
            </w:r>
          </w:p>
        </w:tc>
        <w:tc>
          <w:tcPr>
            <w:tcW w:w="66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3,484</w:t>
            </w:r>
          </w:p>
        </w:tc>
        <w:tc>
          <w:tcPr>
            <w:tcW w:w="66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756</w:t>
            </w:r>
          </w:p>
        </w:tc>
        <w:tc>
          <w:tcPr>
            <w:tcW w:w="66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9,807</w:t>
            </w:r>
          </w:p>
        </w:tc>
        <w:tc>
          <w:tcPr>
            <w:tcW w:w="141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12,743</w:t>
            </w:r>
          </w:p>
        </w:tc>
        <w:tc>
          <w:tcPr>
            <w:tcW w:w="6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w:t>
            </w:r>
          </w:p>
        </w:tc>
        <w:tc>
          <w:tcPr>
            <w:tcW w:w="6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95</w:t>
            </w:r>
          </w:p>
        </w:tc>
        <w:tc>
          <w:tcPr>
            <w:tcW w:w="675"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480</w:t>
            </w:r>
          </w:p>
        </w:tc>
        <w:tc>
          <w:tcPr>
            <w:tcW w:w="66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622</w:t>
            </w:r>
          </w:p>
        </w:tc>
        <w:tc>
          <w:tcPr>
            <w:tcW w:w="510" w:type="dxa"/>
            <w:tcBorders>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1,197</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5E10B1"/>
                <w:sz w:val="16"/>
                <w:szCs w:val="16"/>
              </w:rPr>
            </w:pPr>
            <w:r>
              <w:rPr>
                <w:rFonts w:eastAsia="Arial" w:cs="Arial"/>
                <w:color w:val="5E10B1"/>
                <w:sz w:val="16"/>
                <w:szCs w:val="16"/>
              </w:rPr>
              <w:t>Wholesale</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109,198</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59,824</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3,273</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172,295</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91,240</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4,746</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370</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2,050</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1,407</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3,827</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Property</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25,489</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12,299</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1,424</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39,212</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16,666</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577</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144</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461</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532</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1,137</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Financial institutions</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39,624</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3,434</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43,092</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17,084</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1,105</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72</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104</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Sovereign</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9,670</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104</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9,779</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1,022</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Corporate</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34,415</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43,987</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1,810</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80,212</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56,468</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3,062</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187</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1,517</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866</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2,570</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Of which:</w:t>
            </w:r>
          </w:p>
        </w:tc>
        <w:tc>
          <w:tcPr>
            <w:tcW w:w="6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6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6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6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141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675"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6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1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 xml:space="preserve">Airlines and aerospace </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378</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1,833</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41</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2,252</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1,931</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227</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61</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26</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90</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Automotive</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2,475</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4,352</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83</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6,910</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4,217</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106</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13</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115</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19</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147</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Education</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593</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1,067</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62</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1,722</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819</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16</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37</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18</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58</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Health</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2,286</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3,470</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155</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5,911</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689</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14</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11</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141</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56</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208</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Land transport and logistics</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1,448</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3,396</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119</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4,963</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3,697</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210</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10</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98</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39</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147</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Leisure</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3,242</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6,541</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526</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10,309</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2,085</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124</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33</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350</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244</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627</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Oil and gas</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454</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1,279</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87</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1,820</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2,410</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347</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43</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57</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105</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Retail</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5,052</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4,238</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117</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9,407</w:t>
            </w:r>
          </w:p>
        </w:tc>
        <w:tc>
          <w:tcPr>
            <w:tcW w:w="14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6,219</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9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504</w:t>
            </w:r>
          </w:p>
        </w:tc>
        <w:tc>
          <w:tcPr>
            <w:tcW w:w="60" w:type="dxa"/>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i/>
                <w:iCs/>
                <w:color w:val="000000"/>
                <w:sz w:val="16"/>
                <w:szCs w:val="16"/>
              </w:rPr>
            </w:pPr>
          </w:p>
        </w:tc>
        <w:tc>
          <w:tcPr>
            <w:tcW w:w="58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19</w:t>
            </w:r>
          </w:p>
        </w:tc>
        <w:tc>
          <w:tcPr>
            <w:tcW w:w="675"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147</w:t>
            </w:r>
          </w:p>
        </w:tc>
        <w:tc>
          <w:tcPr>
            <w:tcW w:w="66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99</w:t>
            </w:r>
          </w:p>
        </w:tc>
        <w:tc>
          <w:tcPr>
            <w:tcW w:w="510" w:type="dxa"/>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i/>
                <w:iCs/>
                <w:color w:val="000000"/>
                <w:sz w:val="16"/>
                <w:szCs w:val="16"/>
              </w:rPr>
            </w:pPr>
            <w:r>
              <w:rPr>
                <w:rFonts w:eastAsia="Arial" w:cs="Arial"/>
                <w:b/>
                <w:bCs/>
                <w:i/>
                <w:iCs/>
                <w:color w:val="000000"/>
                <w:sz w:val="16"/>
                <w:szCs w:val="16"/>
              </w:rPr>
              <w:t>265</w:t>
            </w:r>
          </w:p>
        </w:tc>
      </w:tr>
      <w:tr w:rsidR="00130A6D">
        <w:trPr>
          <w:trHeight w:val="210"/>
        </w:trPr>
        <w:tc>
          <w:tcPr>
            <w:tcW w:w="24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eastAsia="Arial" w:cs="Arial"/>
                <w:color w:val="000000"/>
                <w:sz w:val="16"/>
                <w:szCs w:val="16"/>
              </w:rPr>
              <w:t>Total</w:t>
            </w:r>
          </w:p>
        </w:tc>
        <w:tc>
          <w:tcPr>
            <w:tcW w:w="6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268,235</w:t>
            </w:r>
          </w:p>
        </w:tc>
        <w:tc>
          <w:tcPr>
            <w:tcW w:w="6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95,527</w:t>
            </w:r>
          </w:p>
        </w:tc>
        <w:tc>
          <w:tcPr>
            <w:tcW w:w="6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6,807</w:t>
            </w:r>
          </w:p>
        </w:tc>
        <w:tc>
          <w:tcPr>
            <w:tcW w:w="6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370,569</w:t>
            </w:r>
          </w:p>
        </w:tc>
        <w:tc>
          <w:tcPr>
            <w:tcW w:w="141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131,946</w:t>
            </w:r>
          </w:p>
        </w:tc>
        <w:tc>
          <w:tcPr>
            <w:tcW w:w="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4,792</w:t>
            </w:r>
          </w:p>
        </w:tc>
        <w:tc>
          <w:tcPr>
            <w:tcW w:w="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830841">
            <w:pPr>
              <w:spacing w:line="240" w:lineRule="auto"/>
              <w:contextualSpacing/>
              <w:rPr>
                <w:rFonts w:eastAsia="Arial" w:cs="Arial"/>
                <w:b/>
                <w:bCs/>
                <w:color w:val="000000"/>
                <w:sz w:val="16"/>
                <w:szCs w:val="16"/>
              </w:rPr>
            </w:pPr>
          </w:p>
        </w:tc>
        <w:tc>
          <w:tcPr>
            <w:tcW w:w="585"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547</w:t>
            </w:r>
          </w:p>
        </w:tc>
        <w:tc>
          <w:tcPr>
            <w:tcW w:w="675"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3,061</w:t>
            </w:r>
          </w:p>
        </w:tc>
        <w:tc>
          <w:tcPr>
            <w:tcW w:w="6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2,765</w:t>
            </w:r>
          </w:p>
        </w:tc>
        <w:tc>
          <w:tcPr>
            <w:tcW w:w="51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6,373</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eastAsia="Arial" w:cs="Arial"/>
                <w:color w:val="000000"/>
                <w:sz w:val="16"/>
                <w:szCs w:val="16"/>
              </w:rPr>
              <w:t>30 June 2020</w:t>
            </w: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141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75"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51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r>
      <w:tr w:rsidR="00130A6D">
        <w:trPr>
          <w:trHeight w:val="195"/>
        </w:trPr>
        <w:tc>
          <w:tcPr>
            <w:tcW w:w="24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5E10B1"/>
                <w:sz w:val="16"/>
                <w:szCs w:val="16"/>
              </w:rPr>
            </w:pPr>
            <w:r>
              <w:rPr>
                <w:rFonts w:eastAsia="Arial" w:cs="Arial"/>
                <w:color w:val="5E10B1"/>
                <w:sz w:val="16"/>
                <w:szCs w:val="16"/>
              </w:rPr>
              <w:t>Personal</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161,432</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30,778</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3,747</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195,957</w:t>
            </w:r>
          </w:p>
        </w:tc>
        <w:tc>
          <w:tcPr>
            <w:tcW w:w="141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41,279</w:t>
            </w:r>
          </w:p>
        </w:tc>
        <w:tc>
          <w:tcPr>
            <w:tcW w:w="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48</w:t>
            </w:r>
          </w:p>
        </w:tc>
        <w:tc>
          <w:tcPr>
            <w:tcW w:w="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178</w:t>
            </w:r>
          </w:p>
        </w:tc>
        <w:tc>
          <w:tcPr>
            <w:tcW w:w="675"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1,010</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1,404</w:t>
            </w:r>
          </w:p>
        </w:tc>
        <w:tc>
          <w:tcPr>
            <w:tcW w:w="51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2,592</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Mortgages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152,947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26,292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2,903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182,142</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11,158</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292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706</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1,032</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Credit cards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2,387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1,321</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110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3,818</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17,481</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47</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243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86</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376</w:t>
            </w:r>
          </w:p>
        </w:tc>
      </w:tr>
      <w:tr w:rsidR="00130A6D">
        <w:trPr>
          <w:trHeight w:val="195"/>
        </w:trPr>
        <w:tc>
          <w:tcPr>
            <w:tcW w:w="24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Other personal</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6,098</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3,165</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734</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9,997</w:t>
            </w:r>
          </w:p>
        </w:tc>
        <w:tc>
          <w:tcPr>
            <w:tcW w:w="141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12,640</w:t>
            </w: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45</w:t>
            </w: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97</w:t>
            </w:r>
          </w:p>
        </w:tc>
        <w:tc>
          <w:tcPr>
            <w:tcW w:w="675"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475</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612</w:t>
            </w:r>
          </w:p>
        </w:tc>
        <w:tc>
          <w:tcPr>
            <w:tcW w:w="51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1,184</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5E10B1"/>
                <w:sz w:val="16"/>
                <w:szCs w:val="16"/>
              </w:rPr>
            </w:pPr>
            <w:r>
              <w:rPr>
                <w:rFonts w:eastAsia="Arial" w:cs="Arial"/>
                <w:color w:val="5E10B1"/>
                <w:sz w:val="16"/>
                <w:szCs w:val="16"/>
              </w:rPr>
              <w:t>Wholesale</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105,012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66,232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3,287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174,531</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89,151</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5,038</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291</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2,015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1,456</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3,762</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Property</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26,782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12,400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1,259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40,441</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15,423</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607</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126</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392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513</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1,031</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Financial institutions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39,133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3,789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42,932</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17,500</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1,130</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96</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Sovereign</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9,436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9,443</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1,129</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Corporate</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29,661</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50,042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2,012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81,715</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55,099</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3,299</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133</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1,554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938</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2,625</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Of which:</w:t>
            </w: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141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75"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1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 xml:space="preserve">Airlines and aerospace </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495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1,839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38</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2,372</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1,829</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233</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26</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83</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Automotive</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2,000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5,437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146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7,583</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3,547</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93</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108</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135</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Education</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704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919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1,706</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725</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45</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Health</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2,055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3,650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168</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5,873</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515</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139</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145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60</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214</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Land transport and logistics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1,149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3,334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4,593</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3,919</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206</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43</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145</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Leisure</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2,755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6,739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534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10,028</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1,841</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126</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22</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303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249</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574</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Oil and gas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465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1,535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2,089</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2,627</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382</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61</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120</w:t>
            </w:r>
          </w:p>
        </w:tc>
      </w:tr>
      <w:tr w:rsidR="00130A6D">
        <w:trPr>
          <w:trHeight w:val="195"/>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Retail</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2,647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5,059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221</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7,927</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5,858</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507</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158</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170</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341</w:t>
            </w:r>
          </w:p>
        </w:tc>
      </w:tr>
      <w:tr w:rsidR="00130A6D">
        <w:trPr>
          <w:trHeight w:val="195"/>
        </w:trPr>
        <w:tc>
          <w:tcPr>
            <w:tcW w:w="24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eastAsia="Arial" w:cs="Arial"/>
                <w:color w:val="000000"/>
                <w:sz w:val="16"/>
                <w:szCs w:val="16"/>
              </w:rPr>
              <w:t>Total</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266,444</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97,010</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7,034</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370,488</w:t>
            </w:r>
          </w:p>
        </w:tc>
        <w:tc>
          <w:tcPr>
            <w:tcW w:w="14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130,430</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5,086</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469</w:t>
            </w:r>
          </w:p>
        </w:tc>
        <w:tc>
          <w:tcPr>
            <w:tcW w:w="675"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3,025</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2,860</w:t>
            </w:r>
          </w:p>
        </w:tc>
        <w:tc>
          <w:tcPr>
            <w:tcW w:w="5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6,354</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eastAsia="Arial" w:cs="Arial"/>
                <w:color w:val="000000"/>
                <w:sz w:val="16"/>
                <w:szCs w:val="16"/>
              </w:rPr>
              <w:t>31 December 2019</w:t>
            </w: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141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75"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c>
          <w:tcPr>
            <w:tcW w:w="51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jc w:val="right"/>
              <w:rPr>
                <w:rFonts w:eastAsia="Arial" w:cs="Arial"/>
                <w:color w:val="000000"/>
                <w:sz w:val="16"/>
                <w:szCs w:val="16"/>
              </w:rPr>
            </w:pPr>
          </w:p>
        </w:tc>
      </w:tr>
      <w:tr w:rsidR="00130A6D">
        <w:trPr>
          <w:trHeight w:val="210"/>
        </w:trPr>
        <w:tc>
          <w:tcPr>
            <w:tcW w:w="24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5E10B1"/>
                <w:sz w:val="16"/>
                <w:szCs w:val="16"/>
              </w:rPr>
            </w:pPr>
            <w:r>
              <w:rPr>
                <w:rFonts w:eastAsia="Arial" w:cs="Arial"/>
                <w:color w:val="5E10B1"/>
                <w:sz w:val="16"/>
                <w:szCs w:val="16"/>
              </w:rPr>
              <w:t>Personal</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169,800</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15,034</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4,036</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188,870</w:t>
            </w:r>
          </w:p>
        </w:tc>
        <w:tc>
          <w:tcPr>
            <w:tcW w:w="141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43,316</w:t>
            </w:r>
          </w:p>
        </w:tc>
        <w:tc>
          <w:tcPr>
            <w:tcW w:w="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130</w:t>
            </w:r>
          </w:p>
        </w:tc>
        <w:tc>
          <w:tcPr>
            <w:tcW w:w="675"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503</w:t>
            </w:r>
          </w:p>
        </w:tc>
        <w:tc>
          <w:tcPr>
            <w:tcW w:w="66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1,449</w:t>
            </w:r>
          </w:p>
        </w:tc>
        <w:tc>
          <w:tcPr>
            <w:tcW w:w="510" w:type="dxa"/>
            <w:tcBorders>
              <w:top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2,082</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Mortgages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159,261</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11,465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3,277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174,003</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14,345</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25</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118</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821</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964</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Credit cards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3,103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1,259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116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4,478</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16,686</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40</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132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89</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261</w:t>
            </w:r>
          </w:p>
        </w:tc>
      </w:tr>
      <w:tr w:rsidR="00130A6D">
        <w:trPr>
          <w:trHeight w:val="210"/>
        </w:trPr>
        <w:tc>
          <w:tcPr>
            <w:tcW w:w="24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Other personal</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7,436</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2,310</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643</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10,389</w:t>
            </w:r>
          </w:p>
        </w:tc>
        <w:tc>
          <w:tcPr>
            <w:tcW w:w="141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12,285</w:t>
            </w: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47</w:t>
            </w: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65</w:t>
            </w:r>
          </w:p>
        </w:tc>
        <w:tc>
          <w:tcPr>
            <w:tcW w:w="675"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253</w:t>
            </w: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539</w:t>
            </w:r>
          </w:p>
        </w:tc>
        <w:tc>
          <w:tcPr>
            <w:tcW w:w="510" w:type="dxa"/>
            <w:tcBorders>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857</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5E10B1"/>
                <w:sz w:val="16"/>
                <w:szCs w:val="16"/>
              </w:rPr>
            </w:pPr>
            <w:r>
              <w:rPr>
                <w:rFonts w:eastAsia="Arial" w:cs="Arial"/>
                <w:color w:val="5E10B1"/>
                <w:sz w:val="16"/>
                <w:szCs w:val="16"/>
              </w:rPr>
              <w:t>Wholesale</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135,702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12,834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2,562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151,098</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79,060</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5,477</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192</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249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1,269</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1,710</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Property</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32,896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2,580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895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36,371</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14,739</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644</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45</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402</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494</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Financial institutions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35,707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546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36,266</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15,417</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1,325</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16</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28</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Sovereign</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7,410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7,419</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1,021</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Corporate</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59,689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9,704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1,649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71,042</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47,883</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3,507</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124</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198</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859</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1,181</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Of which:</w:t>
            </w: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141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75"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6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1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Style w:val="font1010"/>
                <w:rFonts w:ascii="Times New Roman" w:eastAsia="Times New Roman" w:hAnsi="Times New Roman" w:cs="Times New Roman"/>
              </w:rPr>
              <w:t xml:space="preserve">        </w:t>
            </w:r>
            <w:r>
              <w:rPr>
                <w:rStyle w:val="font1010"/>
              </w:rPr>
              <w:t xml:space="preserve">Airlines and aerospace </w:t>
            </w:r>
            <w:r>
              <w:rPr>
                <w:rStyle w:val="font1300"/>
              </w:rPr>
              <w:t>(2)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1,412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261</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1,713</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1,716</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271</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55</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60</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Automotive</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5,062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1,143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6,225</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3,815</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98</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11</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38</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Education</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1,426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1,592</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654</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Health</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4,695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844</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5,706</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534</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9</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52</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77</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Land transport and logistics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3,477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316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3,846</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3,301</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249</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21</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39</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Leisure</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6,323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1,253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377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7,953</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2,876</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135</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25</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175</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227</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Oil and gas</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1,923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140</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86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2,149</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2,400</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358</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3</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55</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63</w:t>
            </w:r>
          </w:p>
        </w:tc>
      </w:tr>
      <w:tr w:rsidR="00130A6D">
        <w:trPr>
          <w:trHeight w:val="210"/>
        </w:trPr>
        <w:tc>
          <w:tcPr>
            <w:tcW w:w="24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Retail</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6,397</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1,279</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215</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7,891</w:t>
            </w:r>
          </w:p>
        </w:tc>
        <w:tc>
          <w:tcPr>
            <w:tcW w:w="14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5,383</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9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560</w:t>
            </w:r>
          </w:p>
        </w:tc>
        <w:tc>
          <w:tcPr>
            <w:tcW w:w="60" w:type="dxa"/>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i/>
                <w:iCs/>
                <w:color w:val="000000"/>
                <w:sz w:val="16"/>
                <w:szCs w:val="16"/>
              </w:rPr>
            </w:pPr>
          </w:p>
        </w:tc>
        <w:tc>
          <w:tcPr>
            <w:tcW w:w="58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13</w:t>
            </w:r>
          </w:p>
        </w:tc>
        <w:tc>
          <w:tcPr>
            <w:tcW w:w="675"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16</w:t>
            </w:r>
          </w:p>
        </w:tc>
        <w:tc>
          <w:tcPr>
            <w:tcW w:w="66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180</w:t>
            </w:r>
          </w:p>
        </w:tc>
        <w:tc>
          <w:tcPr>
            <w:tcW w:w="510" w:type="dxa"/>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i/>
                <w:iCs/>
                <w:color w:val="000000"/>
                <w:sz w:val="16"/>
                <w:szCs w:val="16"/>
              </w:rPr>
            </w:pPr>
            <w:r>
              <w:rPr>
                <w:rFonts w:eastAsia="Arial" w:cs="Arial"/>
                <w:i/>
                <w:iCs/>
                <w:color w:val="000000"/>
                <w:sz w:val="16"/>
                <w:szCs w:val="16"/>
              </w:rPr>
              <w:t>209</w:t>
            </w:r>
          </w:p>
        </w:tc>
      </w:tr>
      <w:tr w:rsidR="00130A6D">
        <w:trPr>
          <w:trHeight w:val="210"/>
        </w:trPr>
        <w:tc>
          <w:tcPr>
            <w:tcW w:w="24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rPr>
                <w:rFonts w:eastAsia="Arial" w:cs="Arial"/>
                <w:color w:val="000000"/>
                <w:sz w:val="16"/>
                <w:szCs w:val="16"/>
              </w:rPr>
            </w:pPr>
            <w:r>
              <w:rPr>
                <w:rFonts w:eastAsia="Arial" w:cs="Arial"/>
                <w:color w:val="000000"/>
                <w:sz w:val="16"/>
                <w:szCs w:val="16"/>
              </w:rPr>
              <w:t>Total</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305,502</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27,868</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6,598</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339,968</w:t>
            </w:r>
          </w:p>
        </w:tc>
        <w:tc>
          <w:tcPr>
            <w:tcW w:w="14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122,376</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9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5,527</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830841">
            <w:pPr>
              <w:spacing w:line="240" w:lineRule="auto"/>
              <w:contextualSpacing/>
              <w:rPr>
                <w:rFonts w:eastAsia="Arial" w:cs="Arial"/>
                <w:color w:val="000000"/>
                <w:sz w:val="16"/>
                <w:szCs w:val="16"/>
              </w:rPr>
            </w:pPr>
          </w:p>
        </w:tc>
        <w:tc>
          <w:tcPr>
            <w:tcW w:w="585"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322</w:t>
            </w:r>
          </w:p>
        </w:tc>
        <w:tc>
          <w:tcPr>
            <w:tcW w:w="675"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752</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2,718</w:t>
            </w:r>
          </w:p>
        </w:tc>
        <w:tc>
          <w:tcPr>
            <w:tcW w:w="5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830841" w:rsidRDefault="004160AB">
            <w:pPr>
              <w:spacing w:line="240" w:lineRule="auto"/>
              <w:contextualSpacing/>
              <w:jc w:val="right"/>
              <w:rPr>
                <w:rFonts w:eastAsia="Arial" w:cs="Arial"/>
                <w:color w:val="000000"/>
                <w:sz w:val="16"/>
                <w:szCs w:val="16"/>
              </w:rPr>
            </w:pPr>
            <w:r>
              <w:rPr>
                <w:rFonts w:eastAsia="Arial" w:cs="Arial"/>
                <w:color w:val="000000"/>
                <w:sz w:val="16"/>
                <w:szCs w:val="16"/>
              </w:rPr>
              <w:t>3,792</w:t>
            </w:r>
          </w:p>
        </w:tc>
      </w:tr>
    </w:tbl>
    <w:p w:rsidR="00792AC3" w:rsidRPr="007371A5" w:rsidRDefault="004160AB" w:rsidP="006961F4">
      <w:pPr>
        <w:rPr>
          <w:rFonts w:cs="Arial"/>
          <w:bCs/>
          <w:color w:val="000000" w:themeColor="text1"/>
          <w:sz w:val="14"/>
          <w:szCs w:val="14"/>
        </w:rPr>
      </w:pPr>
      <w:r w:rsidRPr="007371A5">
        <w:rPr>
          <w:rFonts w:cs="Arial"/>
          <w:bCs/>
          <w:color w:val="000000" w:themeColor="text1"/>
          <w:sz w:val="14"/>
          <w:szCs w:val="14"/>
        </w:rPr>
        <w:t>Notes:</w:t>
      </w:r>
    </w:p>
    <w:p w:rsidR="00792AC3" w:rsidRPr="007371A5" w:rsidRDefault="004160AB" w:rsidP="00792AC3">
      <w:pPr>
        <w:pStyle w:val="ListParagraph"/>
        <w:numPr>
          <w:ilvl w:val="0"/>
          <w:numId w:val="14"/>
        </w:numPr>
        <w:autoSpaceDE w:val="0"/>
        <w:autoSpaceDN w:val="0"/>
        <w:adjustRightInd w:val="0"/>
        <w:spacing w:line="240" w:lineRule="auto"/>
        <w:rPr>
          <w:rFonts w:ascii="Arial" w:eastAsia="SimSun" w:hAnsi="Arial" w:cs="Arial"/>
          <w:color w:val="000000" w:themeColor="text1"/>
          <w:sz w:val="14"/>
          <w:szCs w:val="14"/>
        </w:rPr>
      </w:pPr>
      <w:r w:rsidRPr="007371A5">
        <w:rPr>
          <w:rFonts w:ascii="Arial" w:hAnsi="Arial" w:cs="Arial"/>
          <w:sz w:val="14"/>
          <w:szCs w:val="14"/>
        </w:rPr>
        <w:t>Includes £3.8 billion of commercial cards related balances, as at 30 September 2020 (£4.1 billion as at 30 June 2020), which were brought into scope of ECL calculations during 2020.</w:t>
      </w:r>
    </w:p>
    <w:p w:rsidR="00344FD2" w:rsidRPr="00344FD2" w:rsidRDefault="004160AB" w:rsidP="00344FD2">
      <w:pPr>
        <w:pStyle w:val="ListParagraph"/>
        <w:numPr>
          <w:ilvl w:val="0"/>
          <w:numId w:val="14"/>
        </w:numPr>
        <w:spacing w:after="0"/>
        <w:rPr>
          <w:rFonts w:ascii="Arial" w:hAnsi="Arial" w:cs="Arial"/>
          <w:sz w:val="14"/>
          <w:szCs w:val="14"/>
        </w:rPr>
      </w:pPr>
      <w:r w:rsidRPr="007371A5">
        <w:rPr>
          <w:rFonts w:ascii="Arial" w:hAnsi="Arial" w:cs="Arial"/>
          <w:sz w:val="14"/>
          <w:szCs w:val="14"/>
        </w:rPr>
        <w:t>Stage 3 ECL at 31 December 2019 included £27 million of ECL related to contingent liabilities.</w:t>
      </w:r>
    </w:p>
    <w:p w:rsidR="00344FD2" w:rsidRDefault="004160AB">
      <w:pPr>
        <w:spacing w:after="200"/>
        <w:rPr>
          <w:rFonts w:eastAsia="Calibri" w:cs="Arial"/>
          <w:b/>
          <w:color w:val="42145F"/>
          <w:szCs w:val="18"/>
          <w:lang w:eastAsia="en-GB"/>
        </w:rPr>
      </w:pPr>
      <w:r>
        <w:rPr>
          <w:rFonts w:eastAsia="Calibri"/>
          <w:b/>
          <w:color w:val="42145F"/>
          <w:szCs w:val="18"/>
        </w:rPr>
        <w:br w:type="page"/>
      </w:r>
    </w:p>
    <w:p w:rsidR="009603BC" w:rsidRPr="00AA3A8E" w:rsidRDefault="004160AB" w:rsidP="009603BC">
      <w:pPr>
        <w:pStyle w:val="Normal200"/>
        <w:spacing w:line="276" w:lineRule="auto"/>
        <w:ind w:right="98"/>
        <w:rPr>
          <w:rFonts w:eastAsia="Calibri"/>
          <w:b/>
          <w:color w:val="42145F"/>
          <w:sz w:val="18"/>
          <w:szCs w:val="18"/>
        </w:rPr>
      </w:pPr>
      <w:r w:rsidRPr="00AA3A8E">
        <w:rPr>
          <w:rFonts w:eastAsia="Calibri"/>
          <w:b/>
          <w:color w:val="42145F"/>
          <w:sz w:val="18"/>
          <w:szCs w:val="18"/>
        </w:rPr>
        <w:lastRenderedPageBreak/>
        <w:t>Capital and risk management</w:t>
      </w:r>
    </w:p>
    <w:p w:rsidR="009603BC" w:rsidRDefault="004160AB" w:rsidP="009603BC">
      <w:pPr>
        <w:pStyle w:val="Normal200"/>
        <w:spacing w:line="276" w:lineRule="auto"/>
        <w:ind w:right="98"/>
        <w:rPr>
          <w:rFonts w:eastAsia="Calibri"/>
          <w:color w:val="5E10B1"/>
          <w:sz w:val="18"/>
          <w:szCs w:val="18"/>
        </w:rPr>
      </w:pPr>
      <w:r w:rsidRPr="00AA3A8E">
        <w:rPr>
          <w:rFonts w:eastAsia="Calibri"/>
          <w:b/>
          <w:color w:val="5E10B1"/>
          <w:sz w:val="18"/>
          <w:szCs w:val="18"/>
        </w:rPr>
        <w:t xml:space="preserve">Credit risk </w:t>
      </w:r>
      <w:r w:rsidRPr="00AA3A8E">
        <w:rPr>
          <w:rFonts w:eastAsia="Calibri"/>
          <w:color w:val="5E10B1"/>
          <w:sz w:val="18"/>
          <w:szCs w:val="18"/>
        </w:rPr>
        <w:t>continued</w:t>
      </w:r>
    </w:p>
    <w:p w:rsidR="00D7488D" w:rsidRPr="00D7488D" w:rsidRDefault="004160AB" w:rsidP="00D7488D">
      <w:pPr>
        <w:pStyle w:val="Normal200"/>
        <w:spacing w:line="259" w:lineRule="auto"/>
        <w:ind w:right="98"/>
        <w:rPr>
          <w:color w:val="5E10B1"/>
          <w:sz w:val="18"/>
          <w:szCs w:val="20"/>
        </w:rPr>
      </w:pPr>
      <w:r w:rsidRPr="00AA3A8E">
        <w:rPr>
          <w:rFonts w:eastAsia="Calibri"/>
          <w:color w:val="5E10B1"/>
          <w:sz w:val="18"/>
          <w:szCs w:val="20"/>
        </w:rPr>
        <w:t>S</w:t>
      </w:r>
      <w:r w:rsidRPr="00AA3A8E">
        <w:rPr>
          <w:color w:val="5E10B1"/>
          <w:sz w:val="18"/>
          <w:szCs w:val="20"/>
        </w:rPr>
        <w:t>ector analysis</w:t>
      </w:r>
    </w:p>
    <w:p w:rsidR="00266526" w:rsidRPr="00A71411" w:rsidRDefault="004160AB" w:rsidP="00266526">
      <w:pPr>
        <w:rPr>
          <w:rFonts w:eastAsia="Calibri"/>
          <w:bCs/>
          <w:color w:val="5E10B1"/>
          <w:szCs w:val="18"/>
        </w:rPr>
      </w:pPr>
      <w:r w:rsidRPr="00A71411">
        <w:rPr>
          <w:rFonts w:eastAsia="Calibri"/>
          <w:bCs/>
          <w:color w:val="5E10B1"/>
          <w:szCs w:val="18"/>
        </w:rPr>
        <w:t xml:space="preserve">Key points </w:t>
      </w:r>
    </w:p>
    <w:p w:rsidR="00266526" w:rsidRPr="00D80CB8" w:rsidRDefault="004160AB" w:rsidP="00D7488D">
      <w:pPr>
        <w:pStyle w:val="ListParagraph"/>
        <w:numPr>
          <w:ilvl w:val="0"/>
          <w:numId w:val="13"/>
        </w:numPr>
        <w:tabs>
          <w:tab w:val="left" w:pos="384"/>
        </w:tabs>
        <w:spacing w:before="60"/>
        <w:ind w:left="238" w:hanging="238"/>
        <w:rPr>
          <w:rFonts w:ascii="Arial" w:hAnsi="Arial" w:cs="Arial"/>
          <w:color w:val="000000"/>
          <w:sz w:val="18"/>
          <w:szCs w:val="18"/>
        </w:rPr>
      </w:pPr>
      <w:r w:rsidRPr="00D80CB8">
        <w:rPr>
          <w:rFonts w:ascii="Arial" w:eastAsia="Calibri" w:hAnsi="Arial" w:cs="Arial"/>
          <w:bCs/>
          <w:color w:val="5E10B1"/>
          <w:sz w:val="18"/>
          <w:szCs w:val="18"/>
        </w:rPr>
        <w:t xml:space="preserve">Personal: </w:t>
      </w:r>
      <w:r w:rsidRPr="00D80CB8">
        <w:rPr>
          <w:rFonts w:ascii="Arial" w:hAnsi="Arial" w:cs="Arial"/>
          <w:color w:val="000000"/>
          <w:sz w:val="18"/>
          <w:szCs w:val="18"/>
        </w:rPr>
        <w:t xml:space="preserve">As noted earlier, both the increased ECL on Stage 1 and Stage 2 exposures, and the migration of assets from Stage 1 to Stage 2, were mainly a result of deterioration in forward-looking customer PDs primarily at the half-year point and reflected the deteriorated economic environment. The ECL requirements were broadly stable during Q3 2020 largely reflective of maintaining the underlying economics unchanged from Q2 2020, and the mitigating effects on portfolio deterioration of Covid-19 related customer support schemes, as previously described. The reduction in mortgage Stage 3 ECL and balances reflected the de-recognition in Ulster Bank </w:t>
      </w:r>
      <w:proofErr w:type="spellStart"/>
      <w:r w:rsidRPr="00D80CB8">
        <w:rPr>
          <w:rFonts w:ascii="Arial" w:hAnsi="Arial" w:cs="Arial"/>
          <w:color w:val="000000"/>
          <w:sz w:val="18"/>
          <w:szCs w:val="18"/>
        </w:rPr>
        <w:t>RoI</w:t>
      </w:r>
      <w:proofErr w:type="spellEnd"/>
      <w:r w:rsidRPr="00D80CB8">
        <w:rPr>
          <w:rFonts w:ascii="Arial" w:hAnsi="Arial" w:cs="Arial"/>
          <w:color w:val="000000"/>
          <w:sz w:val="18"/>
          <w:szCs w:val="18"/>
        </w:rPr>
        <w:t xml:space="preserve"> of non-performing exposures following the execution of three tranches of a previously agreed portfolio sale and continued improvements in the portfolio.</w:t>
      </w:r>
    </w:p>
    <w:p w:rsidR="0054756B" w:rsidRPr="00344FD2" w:rsidRDefault="004160AB" w:rsidP="00344FD2">
      <w:pPr>
        <w:pStyle w:val="ListParagraph"/>
        <w:numPr>
          <w:ilvl w:val="0"/>
          <w:numId w:val="13"/>
        </w:numPr>
        <w:tabs>
          <w:tab w:val="left" w:pos="384"/>
        </w:tabs>
        <w:spacing w:after="0"/>
        <w:ind w:left="238" w:hanging="238"/>
        <w:rPr>
          <w:rFonts w:ascii="Arial" w:hAnsi="Arial" w:cs="Arial"/>
          <w:bCs/>
          <w:color w:val="5E10B1"/>
          <w:sz w:val="20"/>
          <w:szCs w:val="20"/>
        </w:rPr>
      </w:pPr>
      <w:r w:rsidRPr="00D80CB8">
        <w:rPr>
          <w:rFonts w:ascii="Arial" w:eastAsia="Calibri" w:hAnsi="Arial" w:cs="Arial"/>
          <w:bCs/>
          <w:color w:val="5E10B1"/>
          <w:sz w:val="18"/>
          <w:szCs w:val="18"/>
        </w:rPr>
        <w:t>Wholesale:</w:t>
      </w:r>
      <w:r w:rsidRPr="00D80CB8">
        <w:rPr>
          <w:rFonts w:ascii="Arial" w:eastAsia="Calibri" w:hAnsi="Arial" w:cs="Arial"/>
          <w:bCs/>
          <w:color w:val="42145F"/>
          <w:sz w:val="18"/>
          <w:szCs w:val="18"/>
        </w:rPr>
        <w:t xml:space="preserve"> </w:t>
      </w:r>
      <w:r w:rsidRPr="00D80CB8">
        <w:rPr>
          <w:rFonts w:ascii="Arial" w:hAnsi="Arial" w:cs="Arial"/>
          <w:color w:val="000000"/>
          <w:sz w:val="18"/>
          <w:szCs w:val="18"/>
        </w:rPr>
        <w:t>On and off-balance sheet growth since the 2019 year-end was mainly due to further drawdowns on existing facilities and new lending (drawn and undrawn) agreed under the Covid-19 government lending schemes. A further £2.9 billion increase in government lending schemes occurred in Q3 (refer to the table on the following page for further information). Construction (within Property), Retail and Leisure represented the top three sectors for borrowers accessing the various government lending schemes. Sector appetite continues to be regularly reviewed and where appropriate has been adjusted for those sectors most affected by the Covid-19 pandemic.</w:t>
      </w:r>
    </w:p>
    <w:p w:rsidR="00344FD2" w:rsidRPr="00344FD2" w:rsidRDefault="00344FD2" w:rsidP="00344FD2">
      <w:pPr>
        <w:tabs>
          <w:tab w:val="left" w:pos="384"/>
        </w:tabs>
        <w:rPr>
          <w:rFonts w:cs="Arial"/>
          <w:bCs/>
          <w:color w:val="5E10B1"/>
          <w:sz w:val="20"/>
          <w:szCs w:val="20"/>
        </w:rPr>
      </w:pPr>
    </w:p>
    <w:p w:rsidR="00A30B5B" w:rsidRPr="00344FD2" w:rsidRDefault="004160AB" w:rsidP="0077767D">
      <w:pPr>
        <w:tabs>
          <w:tab w:val="left" w:pos="384"/>
        </w:tabs>
        <w:spacing w:before="60"/>
        <w:ind w:left="238"/>
        <w:rPr>
          <w:rFonts w:cs="Arial"/>
          <w:bCs/>
          <w:color w:val="5E10B1"/>
          <w:sz w:val="20"/>
          <w:szCs w:val="20"/>
        </w:rPr>
      </w:pPr>
      <w:r w:rsidRPr="00344FD2">
        <w:rPr>
          <w:rFonts w:cs="Arial"/>
          <w:color w:val="000000"/>
          <w:szCs w:val="18"/>
        </w:rPr>
        <w:t>As described in the NatWest Group Interim Results 2020, NatWest Group adopted a nuanced response to capture the sector ECL impact from the Covid-19 crisis by using sector specific credit cycle indices in its Wholesale methodology. As a result, a more adverse impact is seen in sectors experiencing the most disruption through this period with an increase in both Stage 2 and ECL balances. This impact was seen during Q2 2020 when revised economics were implemented. During Q3 2020, exposures reduced with relatively low ECL charges. Performing book charges reflected model recalibrations taking account of portfolio changes and the moving closer to the predicted worst point in the economic cycle. As government relief schemes reduce, defaults are expected to rise with cases moving from Stage 2 to Stage 3.</w:t>
      </w:r>
    </w:p>
    <w:p w:rsidR="00D7488D" w:rsidRDefault="00D7488D" w:rsidP="00175EEA">
      <w:pPr>
        <w:rPr>
          <w:rFonts w:eastAsia="Arial" w:cs="Arial"/>
          <w:color w:val="5E10B1"/>
          <w:szCs w:val="20"/>
          <w:lang w:eastAsia="en-GB"/>
        </w:rPr>
      </w:pPr>
    </w:p>
    <w:p w:rsidR="00D7488D" w:rsidRDefault="004160AB">
      <w:pPr>
        <w:spacing w:after="200"/>
        <w:rPr>
          <w:rFonts w:eastAsia="Arial" w:cs="Arial"/>
          <w:color w:val="5E10B1"/>
          <w:szCs w:val="20"/>
          <w:lang w:eastAsia="en-GB"/>
        </w:rPr>
      </w:pPr>
      <w:r>
        <w:rPr>
          <w:rFonts w:eastAsia="Arial" w:cs="Arial"/>
          <w:color w:val="5E10B1"/>
          <w:szCs w:val="20"/>
          <w:lang w:eastAsia="en-GB"/>
        </w:rPr>
        <w:br w:type="page"/>
      </w:r>
    </w:p>
    <w:p w:rsidR="00D7488D" w:rsidRPr="00AA3A8E" w:rsidRDefault="004160AB" w:rsidP="00D7488D">
      <w:pPr>
        <w:pStyle w:val="Normal200"/>
        <w:spacing w:line="276" w:lineRule="auto"/>
        <w:ind w:right="98"/>
        <w:rPr>
          <w:rFonts w:eastAsia="Calibri"/>
          <w:b/>
          <w:color w:val="42145F"/>
          <w:sz w:val="18"/>
          <w:szCs w:val="18"/>
        </w:rPr>
      </w:pPr>
      <w:r w:rsidRPr="00AA3A8E">
        <w:rPr>
          <w:rFonts w:eastAsia="Calibri"/>
          <w:b/>
          <w:color w:val="42145F"/>
          <w:sz w:val="18"/>
          <w:szCs w:val="18"/>
        </w:rPr>
        <w:lastRenderedPageBreak/>
        <w:t>Capital and risk management</w:t>
      </w:r>
    </w:p>
    <w:p w:rsidR="00D7488D" w:rsidRDefault="004160AB" w:rsidP="00D7488D">
      <w:pPr>
        <w:pStyle w:val="Normal200"/>
        <w:spacing w:line="276" w:lineRule="auto"/>
        <w:ind w:right="98"/>
        <w:rPr>
          <w:rFonts w:eastAsia="Calibri"/>
          <w:color w:val="5E10B1"/>
          <w:sz w:val="18"/>
          <w:szCs w:val="18"/>
        </w:rPr>
      </w:pPr>
      <w:r w:rsidRPr="00AA3A8E">
        <w:rPr>
          <w:rFonts w:eastAsia="Calibri"/>
          <w:b/>
          <w:color w:val="5E10B1"/>
          <w:sz w:val="18"/>
          <w:szCs w:val="18"/>
        </w:rPr>
        <w:t xml:space="preserve">Credit risk </w:t>
      </w:r>
      <w:r w:rsidRPr="00AA3A8E">
        <w:rPr>
          <w:rFonts w:eastAsia="Calibri"/>
          <w:color w:val="5E10B1"/>
          <w:sz w:val="18"/>
          <w:szCs w:val="18"/>
        </w:rPr>
        <w:t>continued</w:t>
      </w:r>
    </w:p>
    <w:p w:rsidR="007C152B" w:rsidRPr="00AA3A8E" w:rsidRDefault="004160AB" w:rsidP="00175EEA">
      <w:pPr>
        <w:rPr>
          <w:rFonts w:eastAsia="Arial" w:cs="Arial"/>
          <w:color w:val="5E10B1"/>
          <w:szCs w:val="20"/>
          <w:lang w:eastAsia="en-GB"/>
        </w:rPr>
      </w:pPr>
      <w:bookmarkStart w:id="20" w:name="NWG_WHOLE"/>
      <w:r w:rsidRPr="00AA3A8E">
        <w:rPr>
          <w:rFonts w:eastAsia="Arial" w:cs="Arial"/>
          <w:color w:val="5E10B1"/>
          <w:szCs w:val="20"/>
          <w:lang w:eastAsia="en-GB"/>
        </w:rPr>
        <w:t>Wholesale support schemes</w:t>
      </w:r>
    </w:p>
    <w:bookmarkEnd w:id="20"/>
    <w:p w:rsidR="00764363" w:rsidRDefault="004160AB" w:rsidP="00764363">
      <w:pPr>
        <w:autoSpaceDE w:val="0"/>
        <w:autoSpaceDN w:val="0"/>
        <w:rPr>
          <w:rFonts w:ascii="ArialMT" w:hAnsi="ArialMT"/>
          <w:sz w:val="14"/>
          <w:szCs w:val="14"/>
        </w:rPr>
      </w:pPr>
      <w:r w:rsidRPr="00764363">
        <w:t>The table below shows the uptake of Bounce Back Loan Scheme (BBLS), Coronavirus Business Interruption Loan Scheme (CBILS) and Coronavirus Large Business Interruption Loan Scheme (CLBILS) in Wholesale, by sector.</w:t>
      </w:r>
    </w:p>
    <w:p w:rsidR="00155EA1" w:rsidRPr="007C152B" w:rsidRDefault="00155EA1" w:rsidP="00175EEA">
      <w:pPr>
        <w:rPr>
          <w:rFonts w:eastAsia="Arial" w:cs="Arial"/>
          <w:color w:val="5E10B1"/>
          <w:sz w:val="20"/>
          <w:szCs w:val="20"/>
          <w:lang w:eastAsia="en-GB"/>
        </w:rPr>
      </w:pPr>
    </w:p>
    <w:tbl>
      <w:tblPr>
        <w:tblStyle w:val="table"/>
        <w:tblW w:w="10020" w:type="dxa"/>
        <w:tblInd w:w="5" w:type="dxa"/>
        <w:tblCellMar>
          <w:left w:w="0" w:type="dxa"/>
          <w:right w:w="0" w:type="dxa"/>
        </w:tblCellMar>
        <w:tblLook w:val="05E0" w:firstRow="1" w:lastRow="1" w:firstColumn="1" w:lastColumn="1" w:noHBand="0" w:noVBand="1"/>
      </w:tblPr>
      <w:tblGrid>
        <w:gridCol w:w="2160"/>
        <w:gridCol w:w="660"/>
        <w:gridCol w:w="960"/>
        <w:gridCol w:w="960"/>
        <w:gridCol w:w="60"/>
        <w:gridCol w:w="660"/>
        <w:gridCol w:w="960"/>
        <w:gridCol w:w="960"/>
        <w:gridCol w:w="60"/>
        <w:gridCol w:w="660"/>
        <w:gridCol w:w="960"/>
        <w:gridCol w:w="960"/>
      </w:tblGrid>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2580" w:type="dxa"/>
            <w:gridSpan w:val="3"/>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2"/>
                <w:szCs w:val="12"/>
              </w:rPr>
            </w:pPr>
            <w:r>
              <w:rPr>
                <w:rFonts w:eastAsia="Arial" w:cs="Arial"/>
                <w:b/>
                <w:bCs/>
                <w:color w:val="5E10B1"/>
                <w:sz w:val="12"/>
                <w:szCs w:val="12"/>
              </w:rPr>
              <w:t>BBLS</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5E10B1"/>
                <w:sz w:val="12"/>
                <w:szCs w:val="12"/>
              </w:rPr>
            </w:pPr>
          </w:p>
        </w:tc>
        <w:tc>
          <w:tcPr>
            <w:tcW w:w="2580" w:type="dxa"/>
            <w:gridSpan w:val="3"/>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2"/>
                <w:szCs w:val="12"/>
              </w:rPr>
            </w:pPr>
            <w:r>
              <w:rPr>
                <w:rFonts w:eastAsia="Arial" w:cs="Arial"/>
                <w:b/>
                <w:bCs/>
                <w:color w:val="5E10B1"/>
                <w:sz w:val="12"/>
                <w:szCs w:val="12"/>
              </w:rPr>
              <w:t>CBILS</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5E10B1"/>
                <w:sz w:val="12"/>
                <w:szCs w:val="12"/>
              </w:rPr>
            </w:pPr>
          </w:p>
        </w:tc>
        <w:tc>
          <w:tcPr>
            <w:tcW w:w="2580" w:type="dxa"/>
            <w:gridSpan w:val="3"/>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2"/>
                <w:szCs w:val="12"/>
              </w:rPr>
            </w:pPr>
            <w:r>
              <w:rPr>
                <w:rFonts w:eastAsia="Arial" w:cs="Arial"/>
                <w:b/>
                <w:bCs/>
                <w:color w:val="5E10B1"/>
                <w:sz w:val="12"/>
                <w:szCs w:val="12"/>
              </w:rPr>
              <w:t>CLBILS</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Approved</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 xml:space="preserve">Drawdown </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 of BBLS to</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2"/>
                <w:szCs w:val="12"/>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Approved</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 xml:space="preserve">Drawdown </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 of CBILS to</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2"/>
                <w:szCs w:val="12"/>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Approved</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 xml:space="preserve">Drawdown </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 of CLBILS to</w:t>
            </w:r>
          </w:p>
        </w:tc>
      </w:tr>
      <w:tr w:rsidR="00130A6D">
        <w:trPr>
          <w:trHeight w:val="195"/>
        </w:trPr>
        <w:tc>
          <w:tcPr>
            <w:tcW w:w="21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000000"/>
                <w:sz w:val="16"/>
                <w:szCs w:val="16"/>
              </w:rPr>
            </w:pPr>
            <w:r>
              <w:rPr>
                <w:rFonts w:eastAsia="Arial" w:cs="Arial"/>
                <w:b/>
                <w:bCs/>
                <w:color w:val="000000"/>
                <w:sz w:val="16"/>
                <w:szCs w:val="16"/>
              </w:rPr>
              <w:t>30 September 2020</w:t>
            </w:r>
          </w:p>
        </w:tc>
        <w:tc>
          <w:tcPr>
            <w:tcW w:w="66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Volume</w:t>
            </w: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amount (£m)</w:t>
            </w: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sector loans</w:t>
            </w: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2"/>
                <w:szCs w:val="12"/>
              </w:rPr>
            </w:pP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Volume</w:t>
            </w: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amount (£m)</w:t>
            </w: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sector loans</w:t>
            </w: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2"/>
                <w:szCs w:val="12"/>
              </w:rPr>
            </w:pPr>
          </w:p>
        </w:tc>
        <w:tc>
          <w:tcPr>
            <w:tcW w:w="6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Volume</w:t>
            </w: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amount (£m)</w:t>
            </w: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2"/>
                <w:szCs w:val="12"/>
              </w:rPr>
            </w:pPr>
            <w:r>
              <w:rPr>
                <w:rFonts w:eastAsia="Arial" w:cs="Arial"/>
                <w:b/>
                <w:bCs/>
                <w:color w:val="000000"/>
                <w:sz w:val="12"/>
                <w:szCs w:val="12"/>
              </w:rPr>
              <w:t>sector loans</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5E10B1"/>
                <w:sz w:val="16"/>
                <w:szCs w:val="16"/>
              </w:rPr>
            </w:pPr>
            <w:r>
              <w:rPr>
                <w:rFonts w:eastAsia="Arial" w:cs="Arial"/>
                <w:color w:val="5E10B1"/>
                <w:sz w:val="16"/>
                <w:szCs w:val="16"/>
              </w:rPr>
              <w:t>Wholesale lending by sector</w:t>
            </w:r>
          </w:p>
        </w:tc>
        <w:tc>
          <w:tcPr>
            <w:tcW w:w="6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Airlines and aerospace</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223</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0.27%</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0.31%</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130A6D">
        <w:trPr>
          <w:trHeight w:val="195"/>
        </w:trPr>
        <w:tc>
          <w:tcPr>
            <w:tcW w:w="2160"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Automotive</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11,531</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5.57%</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538</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1.81%</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0.68%</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Education</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1,766</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2.73%</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3.14%</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2.03%</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Health</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9,035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289</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4.89%</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573</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89</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1.51%</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0.41%</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Land transport and logistics</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7,991</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4.74%</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341</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0.10%</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Leisure</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28,778</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902</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8.75%</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1,869</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429</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4.16%</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94</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0.91%</w:t>
            </w:r>
          </w:p>
        </w:tc>
      </w:tr>
      <w:tr w:rsidR="00130A6D">
        <w:trPr>
          <w:trHeight w:val="195"/>
        </w:trPr>
        <w:tc>
          <w:tcPr>
            <w:tcW w:w="2160"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Oil and gas</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271</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0.44%</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0.33%</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Retail</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29,425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999</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10.62%</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1,493</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391</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4.16%</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0.80%</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2"/>
                <w:rFonts w:ascii="Times New Roman" w:eastAsia="Times New Roman" w:hAnsi="Times New Roman" w:cs="Times New Roman"/>
              </w:rPr>
              <w:t xml:space="preserve">  </w:t>
            </w:r>
            <w:r>
              <w:rPr>
                <w:rStyle w:val="font2"/>
              </w:rPr>
              <w:t xml:space="preserve">Property </w:t>
            </w:r>
            <w:r>
              <w:rPr>
                <w:rStyle w:val="font7"/>
              </w:rPr>
              <w:t>(3)</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53,841</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1,514</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3.86%</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2,224</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605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1.54%</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0.29%</w:t>
            </w:r>
          </w:p>
        </w:tc>
      </w:tr>
      <w:tr w:rsidR="00130A6D">
        <w:trPr>
          <w:trHeight w:val="195"/>
        </w:trPr>
        <w:tc>
          <w:tcPr>
            <w:tcW w:w="2160"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Other (including Business </w:t>
            </w:r>
          </w:p>
        </w:tc>
        <w:tc>
          <w:tcPr>
            <w:tcW w:w="6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195"/>
        </w:trPr>
        <w:tc>
          <w:tcPr>
            <w:tcW w:w="2160"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Banking)</w:t>
            </w: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118,645</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3,127</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3.48%</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8,100</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1,450</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1.61%</w:t>
            </w:r>
          </w:p>
        </w:tc>
        <w:tc>
          <w:tcPr>
            <w:tcW w:w="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77</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180</w:t>
            </w:r>
          </w:p>
        </w:tc>
        <w:tc>
          <w:tcPr>
            <w:tcW w:w="9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0.20%</w:t>
            </w:r>
          </w:p>
        </w:tc>
      </w:tr>
      <w:tr w:rsidR="00130A6D">
        <w:trPr>
          <w:trHeight w:val="195"/>
        </w:trPr>
        <w:tc>
          <w:tcPr>
            <w:tcW w:w="21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w:t>
            </w:r>
          </w:p>
        </w:tc>
        <w:tc>
          <w:tcPr>
            <w:tcW w:w="6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261,506</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7,512</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4.36%</w:t>
            </w:r>
          </w:p>
        </w:tc>
        <w:tc>
          <w:tcPr>
            <w:tcW w:w="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15,278</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3,238</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1.88%</w:t>
            </w:r>
          </w:p>
        </w:tc>
        <w:tc>
          <w:tcPr>
            <w:tcW w:w="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217</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572</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0.33%</w:t>
            </w:r>
          </w:p>
        </w:tc>
      </w:tr>
      <w:tr w:rsidR="00130A6D">
        <w:trPr>
          <w:trHeight w:val="195"/>
        </w:trPr>
        <w:tc>
          <w:tcPr>
            <w:tcW w:w="21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30 June 2020</w:t>
            </w:r>
          </w:p>
        </w:tc>
        <w:tc>
          <w:tcPr>
            <w:tcW w:w="2580" w:type="dxa"/>
            <w:gridSpan w:val="3"/>
            <w:tcBorders>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center"/>
              <w:rPr>
                <w:rFonts w:eastAsia="Arial" w:cs="Arial"/>
                <w:color w:val="5E10B1"/>
                <w:sz w:val="12"/>
                <w:szCs w:val="12"/>
              </w:rPr>
            </w:pP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5E10B1"/>
                <w:sz w:val="12"/>
                <w:szCs w:val="12"/>
              </w:rPr>
            </w:pPr>
          </w:p>
        </w:tc>
        <w:tc>
          <w:tcPr>
            <w:tcW w:w="2580" w:type="dxa"/>
            <w:gridSpan w:val="3"/>
            <w:tcBorders>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center"/>
              <w:rPr>
                <w:rFonts w:eastAsia="Arial" w:cs="Arial"/>
                <w:color w:val="5E10B1"/>
                <w:sz w:val="12"/>
                <w:szCs w:val="12"/>
              </w:rPr>
            </w:pPr>
          </w:p>
        </w:tc>
        <w:tc>
          <w:tcPr>
            <w:tcW w:w="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5E10B1"/>
                <w:sz w:val="12"/>
                <w:szCs w:val="12"/>
              </w:rPr>
            </w:pPr>
          </w:p>
        </w:tc>
        <w:tc>
          <w:tcPr>
            <w:tcW w:w="2580" w:type="dxa"/>
            <w:gridSpan w:val="3"/>
            <w:tcBorders>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center"/>
              <w:rPr>
                <w:rFonts w:eastAsia="Arial" w:cs="Arial"/>
                <w:color w:val="5E10B1"/>
                <w:sz w:val="12"/>
                <w:szCs w:val="12"/>
              </w:rPr>
            </w:pP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5E10B1"/>
                <w:sz w:val="16"/>
                <w:szCs w:val="16"/>
              </w:rPr>
            </w:pPr>
            <w:r>
              <w:rPr>
                <w:rFonts w:eastAsia="Arial" w:cs="Arial"/>
                <w:color w:val="5E10B1"/>
                <w:sz w:val="16"/>
                <w:szCs w:val="16"/>
              </w:rPr>
              <w:t>Wholesale lending by sector</w:t>
            </w:r>
          </w:p>
        </w:tc>
        <w:tc>
          <w:tcPr>
            <w:tcW w:w="6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Airlines and aerospace</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175</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0.21%</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0.17%</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2160"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Automotive</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9,267</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309</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4.07%</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495</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111</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1.46%</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0.29%</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Education</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1,347</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2.11%</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83</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1.23%</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1.76%</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Health</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6,976</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222</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3.78%</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543</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1.17%</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0.09%</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Land transport and logistics</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6,222</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181</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3.94%</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306</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1.44%</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0.07%</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Leisure</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22,776</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715</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7.13%</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1,697</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305</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3.04%</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0.11%</w:t>
            </w:r>
          </w:p>
        </w:tc>
      </w:tr>
      <w:tr w:rsidR="00130A6D">
        <w:trPr>
          <w:trHeight w:val="195"/>
        </w:trPr>
        <w:tc>
          <w:tcPr>
            <w:tcW w:w="2160"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Oil and gas</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197</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0.29%</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0.24%</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Retail</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23,824</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808</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10.19%</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1,395</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328</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4.14%</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48</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0.61%</w:t>
            </w:r>
          </w:p>
        </w:tc>
      </w:tr>
      <w:tr w:rsidR="00130A6D">
        <w:trPr>
          <w:trHeight w:val="195"/>
        </w:trPr>
        <w:tc>
          <w:tcPr>
            <w:tcW w:w="21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2"/>
                <w:rFonts w:ascii="Times New Roman" w:eastAsia="Times New Roman" w:hAnsi="Times New Roman" w:cs="Times New Roman"/>
              </w:rPr>
              <w:t xml:space="preserve">  </w:t>
            </w:r>
            <w:r>
              <w:rPr>
                <w:rStyle w:val="font2"/>
              </w:rPr>
              <w:t xml:space="preserve">Property </w:t>
            </w:r>
            <w:r>
              <w:rPr>
                <w:rStyle w:val="font7"/>
              </w:rPr>
              <w:t>(3)</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41,233</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1,170</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2.89%</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2,018</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456</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1.13%</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0.08%</w:t>
            </w:r>
          </w:p>
        </w:tc>
      </w:tr>
      <w:tr w:rsidR="00130A6D">
        <w:trPr>
          <w:trHeight w:val="195"/>
        </w:trPr>
        <w:tc>
          <w:tcPr>
            <w:tcW w:w="2160"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Other (including Business </w:t>
            </w:r>
          </w:p>
        </w:tc>
        <w:tc>
          <w:tcPr>
            <w:tcW w:w="6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9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2160"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Banking)</w:t>
            </w: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88,391</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2,343</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2.55%</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7,160</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1,035</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1.13%</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53</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9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0.03%</w:t>
            </w:r>
          </w:p>
        </w:tc>
      </w:tr>
      <w:tr w:rsidR="00130A6D">
        <w:trPr>
          <w:trHeight w:val="195"/>
        </w:trPr>
        <w:tc>
          <w:tcPr>
            <w:tcW w:w="21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Total</w:t>
            </w: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200,408</w:t>
            </w:r>
          </w:p>
        </w:tc>
        <w:tc>
          <w:tcPr>
            <w:tcW w:w="9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5,795</w:t>
            </w:r>
          </w:p>
        </w:tc>
        <w:tc>
          <w:tcPr>
            <w:tcW w:w="9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3.32%</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13,727</w:t>
            </w:r>
          </w:p>
        </w:tc>
        <w:tc>
          <w:tcPr>
            <w:tcW w:w="9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2,400</w:t>
            </w:r>
          </w:p>
        </w:tc>
        <w:tc>
          <w:tcPr>
            <w:tcW w:w="9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1.38%</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6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143</w:t>
            </w:r>
          </w:p>
        </w:tc>
        <w:tc>
          <w:tcPr>
            <w:tcW w:w="9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181</w:t>
            </w:r>
          </w:p>
        </w:tc>
        <w:tc>
          <w:tcPr>
            <w:tcW w:w="9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0.10%</w:t>
            </w:r>
          </w:p>
        </w:tc>
      </w:tr>
    </w:tbl>
    <w:p w:rsidR="00155EA1" w:rsidRDefault="00155EA1" w:rsidP="00155EA1">
      <w:pPr>
        <w:rPr>
          <w:rFonts w:cs="Arial"/>
          <w:bCs/>
          <w:color w:val="000000" w:themeColor="text1"/>
          <w:sz w:val="14"/>
          <w:szCs w:val="14"/>
        </w:rPr>
      </w:pPr>
    </w:p>
    <w:p w:rsidR="00792AC3" w:rsidRPr="007371A5" w:rsidRDefault="004160AB" w:rsidP="00792AC3">
      <w:pPr>
        <w:rPr>
          <w:rFonts w:cs="Arial"/>
          <w:bCs/>
          <w:color w:val="000000" w:themeColor="text1"/>
          <w:sz w:val="14"/>
          <w:szCs w:val="14"/>
        </w:rPr>
      </w:pPr>
      <w:r w:rsidRPr="007371A5">
        <w:rPr>
          <w:rFonts w:cs="Arial"/>
          <w:bCs/>
          <w:color w:val="000000" w:themeColor="text1"/>
          <w:sz w:val="14"/>
          <w:szCs w:val="14"/>
        </w:rPr>
        <w:t>Notes:</w:t>
      </w:r>
    </w:p>
    <w:p w:rsidR="00792AC3" w:rsidRPr="007371A5" w:rsidRDefault="004160AB" w:rsidP="00792AC3">
      <w:pPr>
        <w:pStyle w:val="ListParagraph"/>
        <w:numPr>
          <w:ilvl w:val="0"/>
          <w:numId w:val="15"/>
        </w:numPr>
        <w:autoSpaceDE w:val="0"/>
        <w:autoSpaceDN w:val="0"/>
        <w:adjustRightInd w:val="0"/>
        <w:spacing w:line="240" w:lineRule="auto"/>
        <w:rPr>
          <w:rFonts w:ascii="Arial" w:eastAsia="SimSun" w:hAnsi="Arial" w:cs="Arial"/>
          <w:color w:val="000000" w:themeColor="text1"/>
          <w:sz w:val="14"/>
          <w:szCs w:val="14"/>
        </w:rPr>
      </w:pPr>
      <w:r w:rsidRPr="007371A5">
        <w:rPr>
          <w:rFonts w:ascii="Arial" w:hAnsi="Arial" w:cs="Arial"/>
          <w:sz w:val="14"/>
          <w:szCs w:val="14"/>
        </w:rPr>
        <w:t>The table contains some cases which as at 30 September 2020 were approved but not yet drawn down.</w:t>
      </w:r>
    </w:p>
    <w:p w:rsidR="00383F5F" w:rsidRDefault="004160AB" w:rsidP="00383F5F">
      <w:pPr>
        <w:pStyle w:val="ListParagraph"/>
        <w:numPr>
          <w:ilvl w:val="0"/>
          <w:numId w:val="15"/>
        </w:numPr>
        <w:rPr>
          <w:rFonts w:ascii="Arial" w:hAnsi="Arial" w:cs="Arial"/>
          <w:sz w:val="14"/>
          <w:szCs w:val="14"/>
        </w:rPr>
      </w:pPr>
      <w:r w:rsidRPr="00383F5F">
        <w:rPr>
          <w:rFonts w:ascii="Arial" w:hAnsi="Arial" w:cs="Arial"/>
          <w:sz w:val="14"/>
          <w:szCs w:val="14"/>
        </w:rPr>
        <w:t>Approved limits as at 30 September 2020 were as follows: BBLS – £7.9 billion (95% drawn); CBILS – £3.9 billion (83% drawn); CLBILS – £1.2 billion (50% drawn).</w:t>
      </w:r>
    </w:p>
    <w:p w:rsidR="00F870F4" w:rsidRPr="00F870F4" w:rsidRDefault="004160AB" w:rsidP="00383F5F">
      <w:pPr>
        <w:pStyle w:val="ListParagraph"/>
        <w:numPr>
          <w:ilvl w:val="0"/>
          <w:numId w:val="15"/>
        </w:numPr>
        <w:rPr>
          <w:rFonts w:ascii="Arial" w:hAnsi="Arial" w:cs="Arial"/>
          <w:sz w:val="14"/>
          <w:szCs w:val="14"/>
        </w:rPr>
      </w:pPr>
      <w:r w:rsidRPr="00F870F4">
        <w:rPr>
          <w:rFonts w:ascii="Arial" w:hAnsi="Arial" w:cs="Arial"/>
          <w:sz w:val="14"/>
          <w:szCs w:val="14"/>
        </w:rPr>
        <w:t>Construction activities previously reported in Other (including Business Banking) have been reclassified as Property, to be consistent with other sector analysis provided. Comparatives have been restated.</w:t>
      </w:r>
    </w:p>
    <w:p w:rsidR="00381CC1" w:rsidRPr="00381CC1" w:rsidRDefault="004160AB" w:rsidP="00381CC1">
      <w:pPr>
        <w:rPr>
          <w:rFonts w:eastAsia="Calibri"/>
          <w:bCs/>
          <w:color w:val="5E10B1"/>
          <w:szCs w:val="18"/>
        </w:rPr>
      </w:pPr>
      <w:r w:rsidRPr="00381CC1">
        <w:rPr>
          <w:rFonts w:eastAsia="Calibri"/>
          <w:bCs/>
          <w:color w:val="5E10B1"/>
          <w:szCs w:val="18"/>
        </w:rPr>
        <w:t xml:space="preserve">Key points </w:t>
      </w:r>
    </w:p>
    <w:p w:rsidR="00191867" w:rsidRDefault="004160AB" w:rsidP="00D7488D">
      <w:pPr>
        <w:pStyle w:val="ListParagraph"/>
        <w:numPr>
          <w:ilvl w:val="0"/>
          <w:numId w:val="13"/>
        </w:numPr>
        <w:tabs>
          <w:tab w:val="left" w:pos="384"/>
        </w:tabs>
        <w:spacing w:before="60"/>
        <w:ind w:left="238" w:hanging="238"/>
        <w:rPr>
          <w:rFonts w:ascii="Arial" w:hAnsi="Arial"/>
          <w:sz w:val="18"/>
        </w:rPr>
      </w:pPr>
      <w:r w:rsidRPr="00191867">
        <w:rPr>
          <w:rFonts w:ascii="Arial" w:hAnsi="Arial"/>
          <w:sz w:val="18"/>
        </w:rPr>
        <w:t>The value and volume of lending under government support schemes continued to grow during Q3 2020, though at a slower rate than in Q2 2020.</w:t>
      </w:r>
    </w:p>
    <w:p w:rsidR="007C152B" w:rsidRPr="003A5799" w:rsidRDefault="004160AB" w:rsidP="00D7488D">
      <w:pPr>
        <w:pStyle w:val="ListParagraph"/>
        <w:numPr>
          <w:ilvl w:val="0"/>
          <w:numId w:val="13"/>
        </w:numPr>
        <w:tabs>
          <w:tab w:val="left" w:pos="384"/>
        </w:tabs>
        <w:spacing w:before="60"/>
        <w:ind w:left="238" w:hanging="238"/>
        <w:rPr>
          <w:rFonts w:cs="Arial"/>
          <w:sz w:val="20"/>
          <w:szCs w:val="20"/>
        </w:rPr>
        <w:sectPr w:rsidR="007C152B" w:rsidRPr="003A5799" w:rsidSect="00ED0D05">
          <w:headerReference w:type="even" r:id="rId46"/>
          <w:headerReference w:type="default" r:id="rId47"/>
          <w:footerReference w:type="even" r:id="rId48"/>
          <w:footerReference w:type="default" r:id="rId49"/>
          <w:headerReference w:type="first" r:id="rId50"/>
          <w:footerReference w:type="first" r:id="rId51"/>
          <w:type w:val="continuous"/>
          <w:pgSz w:w="11906" w:h="16838"/>
          <w:pgMar w:top="1134" w:right="851" w:bottom="680" w:left="851" w:header="708" w:footer="708" w:gutter="0"/>
          <w:cols w:space="708"/>
          <w:docGrid w:linePitch="360"/>
        </w:sectPr>
      </w:pPr>
      <w:r w:rsidRPr="00381CC1">
        <w:rPr>
          <w:rFonts w:ascii="Arial" w:hAnsi="Arial"/>
          <w:sz w:val="18"/>
        </w:rPr>
        <w:t>Customers seeking Covid-19 related support, including payment holidays, who were not subject to any wider SICR triggers and who are assessed as being viable and able to meet credit appetite metrics in the medium-term post-crisis, were not considered to have been granted forbearance. Completed forbearance flow for Wholesale remained elevated in Q3 2020, in line with Q2 2020. Property, Transport and Leisure represented the largest share of forbearance flow in Q3 2020, continuing an emerging trend from Q2 2020. The rise in Transport and Property results from forbearance completed on individually significant exposures. Payment holidays and covenant waivers remain the most common forms of forbearance granted. Heightened Monitoring and Risk of Credit Loss values increased in the quarter with a concentration towards borrowers in the Retail, Leisure and Property sectors which represented approximately 50% of the inflows to the framework (refer to page 134 of the NatWest Group plc’s Annual Report and Accounts 2019 for further details of the Risk of Credit Loss framework).</w:t>
      </w:r>
    </w:p>
    <w:p w:rsidR="00A73DAA" w:rsidRDefault="004160AB" w:rsidP="00F57394">
      <w:pPr>
        <w:pStyle w:val="Normal00"/>
        <w:rPr>
          <w:rFonts w:ascii="Arial" w:hAnsi="Arial" w:cs="Arial"/>
          <w:b/>
          <w:color w:val="0A2F64"/>
          <w:sz w:val="18"/>
          <w:szCs w:val="18"/>
        </w:rPr>
      </w:pPr>
      <w:r>
        <w:rPr>
          <w:rFonts w:ascii="Arial" w:hAnsi="Arial" w:cs="Arial"/>
          <w:b/>
          <w:color w:val="0A2F64"/>
          <w:sz w:val="18"/>
          <w:szCs w:val="18"/>
        </w:rPr>
        <w:br w:type="page"/>
      </w:r>
    </w:p>
    <w:p w:rsidR="00F57394" w:rsidRPr="00E37286" w:rsidRDefault="004160AB" w:rsidP="00F57394">
      <w:pPr>
        <w:pStyle w:val="Normal00"/>
        <w:rPr>
          <w:rFonts w:ascii="Arial" w:hAnsi="Arial" w:cs="Arial"/>
          <w:b/>
          <w:color w:val="5E10B1"/>
          <w:sz w:val="18"/>
          <w:szCs w:val="18"/>
        </w:rPr>
      </w:pPr>
      <w:r w:rsidRPr="009C20BA">
        <w:rPr>
          <w:rFonts w:ascii="Arial" w:hAnsi="Arial" w:cs="Arial"/>
          <w:b/>
          <w:color w:val="42145F"/>
          <w:sz w:val="18"/>
          <w:szCs w:val="20"/>
        </w:rPr>
        <w:lastRenderedPageBreak/>
        <w:t>Condensed consolidated income statement for the period ended 30 September 2020</w:t>
      </w:r>
      <w:r w:rsidRPr="00E37286">
        <w:rPr>
          <w:rFonts w:ascii="Arial" w:hAnsi="Arial" w:cs="Arial"/>
          <w:b/>
          <w:color w:val="5E10B1"/>
          <w:sz w:val="14"/>
          <w:szCs w:val="14"/>
        </w:rPr>
        <w:t xml:space="preserve"> </w:t>
      </w:r>
      <w:r w:rsidRPr="00E37286">
        <w:rPr>
          <w:rFonts w:ascii="Arial" w:hAnsi="Arial" w:cs="Arial"/>
          <w:color w:val="5E10B1"/>
          <w:sz w:val="14"/>
          <w:szCs w:val="14"/>
        </w:rPr>
        <w:t>(unaudited)</w:t>
      </w:r>
    </w:p>
    <w:p w:rsidR="00C36715" w:rsidRDefault="00C36715"/>
    <w:tbl>
      <w:tblPr>
        <w:tblStyle w:val="table"/>
        <w:tblW w:w="10080" w:type="dxa"/>
        <w:tblInd w:w="5" w:type="dxa"/>
        <w:tblCellMar>
          <w:left w:w="0" w:type="dxa"/>
          <w:right w:w="0" w:type="dxa"/>
        </w:tblCellMar>
        <w:tblLook w:val="05E0" w:firstRow="1" w:lastRow="1" w:firstColumn="1" w:lastColumn="1" w:noHBand="0" w:noVBand="1"/>
      </w:tblPr>
      <w:tblGrid>
        <w:gridCol w:w="4185"/>
        <w:gridCol w:w="1260"/>
        <w:gridCol w:w="1110"/>
        <w:gridCol w:w="75"/>
        <w:gridCol w:w="1245"/>
        <w:gridCol w:w="1110"/>
        <w:gridCol w:w="1110"/>
      </w:tblGrid>
      <w:tr w:rsidR="00130A6D">
        <w:trPr>
          <w:trHeight w:val="195"/>
        </w:trPr>
        <w:tc>
          <w:tcPr>
            <w:tcW w:w="4185" w:type="dxa"/>
            <w:shd w:val="clear" w:color="auto" w:fill="FFFFFF"/>
            <w:tcMar>
              <w:top w:w="0" w:type="dxa"/>
              <w:left w:w="5" w:type="dxa"/>
              <w:bottom w:w="0" w:type="dxa"/>
              <w:right w:w="5" w:type="dxa"/>
            </w:tcMar>
            <w:hideMark/>
          </w:tcPr>
          <w:p w:rsidR="00130A6D" w:rsidRDefault="00130A6D">
            <w:pPr>
              <w:spacing w:line="240" w:lineRule="auto"/>
              <w:contextualSpacing/>
              <w:rPr>
                <w:rFonts w:eastAsia="Arial" w:cs="Arial"/>
                <w:color w:val="003366"/>
                <w:sz w:val="16"/>
                <w:szCs w:val="16"/>
              </w:rPr>
            </w:pPr>
          </w:p>
        </w:tc>
        <w:tc>
          <w:tcPr>
            <w:tcW w:w="2370" w:type="dxa"/>
            <w:gridSpan w:val="2"/>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Nine months ended</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5E10B1"/>
                <w:sz w:val="16"/>
                <w:szCs w:val="16"/>
              </w:rPr>
            </w:pPr>
          </w:p>
        </w:tc>
        <w:tc>
          <w:tcPr>
            <w:tcW w:w="3465" w:type="dxa"/>
            <w:gridSpan w:val="3"/>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r>
      <w:tr w:rsidR="00130A6D">
        <w:trPr>
          <w:trHeight w:val="195"/>
        </w:trPr>
        <w:tc>
          <w:tcPr>
            <w:tcW w:w="4185" w:type="dxa"/>
            <w:shd w:val="clear" w:color="auto" w:fill="FFFFFF"/>
            <w:tcMar>
              <w:top w:w="0" w:type="dxa"/>
              <w:left w:w="5" w:type="dxa"/>
              <w:bottom w:w="0" w:type="dxa"/>
              <w:right w:w="5" w:type="dxa"/>
            </w:tcMar>
            <w:hideMark/>
          </w:tcPr>
          <w:p w:rsidR="00130A6D" w:rsidRDefault="00130A6D">
            <w:pPr>
              <w:spacing w:line="240" w:lineRule="auto"/>
              <w:contextualSpacing/>
              <w:rPr>
                <w:rFonts w:eastAsia="Arial" w:cs="Arial"/>
                <w:color w:val="003366"/>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7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3366"/>
                <w:sz w:val="16"/>
                <w:szCs w:val="16"/>
              </w:rPr>
            </w:pPr>
          </w:p>
        </w:tc>
        <w:tc>
          <w:tcPr>
            <w:tcW w:w="124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r>
      <w:tr w:rsidR="00130A6D">
        <w:trPr>
          <w:trHeight w:val="195"/>
        </w:trPr>
        <w:tc>
          <w:tcPr>
            <w:tcW w:w="4185" w:type="dxa"/>
            <w:shd w:val="clear" w:color="auto" w:fill="FFFFFF"/>
            <w:tcMar>
              <w:top w:w="0" w:type="dxa"/>
              <w:left w:w="5" w:type="dxa"/>
              <w:bottom w:w="0" w:type="dxa"/>
              <w:right w:w="5" w:type="dxa"/>
            </w:tcMar>
            <w:hideMark/>
          </w:tcPr>
          <w:p w:rsidR="00130A6D" w:rsidRDefault="00130A6D">
            <w:pPr>
              <w:spacing w:line="240" w:lineRule="auto"/>
              <w:contextualSpacing/>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7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3366"/>
                <w:sz w:val="16"/>
                <w:szCs w:val="16"/>
              </w:rPr>
            </w:pPr>
          </w:p>
        </w:tc>
        <w:tc>
          <w:tcPr>
            <w:tcW w:w="124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4185" w:type="dxa"/>
            <w:shd w:val="clear" w:color="auto" w:fill="FFFFFF"/>
            <w:tcMar>
              <w:top w:w="0" w:type="dxa"/>
              <w:left w:w="5" w:type="dxa"/>
              <w:bottom w:w="0" w:type="dxa"/>
              <w:right w:w="5" w:type="dxa"/>
            </w:tcMar>
            <w:hideMark/>
          </w:tcPr>
          <w:p w:rsidR="00130A6D" w:rsidRDefault="00130A6D">
            <w:pPr>
              <w:spacing w:line="240" w:lineRule="auto"/>
              <w:contextualSpacing/>
              <w:rPr>
                <w:rFonts w:eastAsia="Arial" w:cs="Arial"/>
                <w:color w:val="003366"/>
                <w:sz w:val="16"/>
                <w:szCs w:val="16"/>
              </w:rPr>
            </w:pP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 </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c>
          <w:tcPr>
            <w:tcW w:w="7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4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 </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r>
      <w:tr w:rsidR="00130A6D">
        <w:trPr>
          <w:trHeight w:val="195"/>
        </w:trPr>
        <w:tc>
          <w:tcPr>
            <w:tcW w:w="418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Interest receivable</w:t>
            </w:r>
          </w:p>
        </w:tc>
        <w:tc>
          <w:tcPr>
            <w:tcW w:w="1260" w:type="dxa"/>
            <w:tcBorders>
              <w:top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7,702</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8,474</w:t>
            </w:r>
          </w:p>
        </w:tc>
        <w:tc>
          <w:tcPr>
            <w:tcW w:w="7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top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2,512</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2,507</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2,921</w:t>
            </w:r>
          </w:p>
        </w:tc>
      </w:tr>
      <w:tr w:rsidR="00130A6D">
        <w:trPr>
          <w:trHeight w:val="195"/>
        </w:trPr>
        <w:tc>
          <w:tcPr>
            <w:tcW w:w="418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Interest payable</w:t>
            </w:r>
          </w:p>
        </w:tc>
        <w:tc>
          <w:tcPr>
            <w:tcW w:w="1260"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(1,924)</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(2,464)</w:t>
            </w:r>
          </w:p>
        </w:tc>
        <w:tc>
          <w:tcPr>
            <w:tcW w:w="75" w:type="dxa"/>
            <w:tcBorders>
              <w:bottom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(586)</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(597)</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(915)</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Net interest income </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5,778</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6,010</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1,926</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1,910</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2,006</w:t>
            </w:r>
          </w:p>
        </w:tc>
      </w:tr>
      <w:tr w:rsidR="00130A6D">
        <w:trPr>
          <w:trHeight w:val="195"/>
        </w:trPr>
        <w:tc>
          <w:tcPr>
            <w:tcW w:w="4185"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Fees and commissions receivable</w:t>
            </w:r>
          </w:p>
        </w:tc>
        <w:tc>
          <w:tcPr>
            <w:tcW w:w="1260" w:type="dxa"/>
            <w:tcBorders>
              <w:top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2,081</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2,570</w:t>
            </w:r>
          </w:p>
        </w:tc>
        <w:tc>
          <w:tcPr>
            <w:tcW w:w="7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top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651</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682</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808</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Fees and commissions payable</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(591)</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(673)</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(199)</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(217)</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(186)</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Income from trading activities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1,054</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794</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252</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210</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195</w:t>
            </w:r>
          </w:p>
        </w:tc>
      </w:tr>
      <w:tr w:rsidR="00130A6D">
        <w:trPr>
          <w:trHeight w:val="195"/>
        </w:trPr>
        <w:tc>
          <w:tcPr>
            <w:tcW w:w="418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720"/>
              </w:rPr>
              <w:t xml:space="preserve">Other operating income </w:t>
            </w:r>
            <w:r>
              <w:rPr>
                <w:rStyle w:val="font16400"/>
              </w:rPr>
              <w:t>(1)</w:t>
            </w:r>
          </w:p>
        </w:tc>
        <w:tc>
          <w:tcPr>
            <w:tcW w:w="1260"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1,319</w:t>
            </w:r>
          </w:p>
        </w:tc>
        <w:tc>
          <w:tcPr>
            <w:tcW w:w="75" w:type="dxa"/>
            <w:tcBorders>
              <w:bottom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(207)</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91</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80</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Non-interest income</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2,483</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4,010</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497</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766</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897</w:t>
            </w:r>
          </w:p>
        </w:tc>
      </w:tr>
      <w:tr w:rsidR="00130A6D">
        <w:trPr>
          <w:trHeight w:val="195"/>
        </w:trPr>
        <w:tc>
          <w:tcPr>
            <w:tcW w:w="4185"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income</w:t>
            </w:r>
          </w:p>
        </w:tc>
        <w:tc>
          <w:tcPr>
            <w:tcW w:w="1260" w:type="dxa"/>
            <w:tcBorders>
              <w:top w:val="single" w:sz="6" w:space="0" w:color="000000"/>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8,261</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10,020</w:t>
            </w:r>
          </w:p>
        </w:tc>
        <w:tc>
          <w:tcPr>
            <w:tcW w:w="75"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top w:val="single" w:sz="6" w:space="0" w:color="000000"/>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2,423</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2,676</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2,903</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Staff costs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(2,937)</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(3,028)</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(982)</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(963)</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(1,000)</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Premises and equipment</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(902)</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(823)</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(251)</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(393)</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(265)</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Other administrative expenses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(1,081)</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(2,085)</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(385)</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(298)</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(1,222)</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Depreciation and amortisation</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(635)</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(853)</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(194)</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(248)</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(232)</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of other intangible assets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r>
      <w:tr w:rsidR="00130A6D">
        <w:trPr>
          <w:trHeight w:val="195"/>
        </w:trPr>
        <w:tc>
          <w:tcPr>
            <w:tcW w:w="4185"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expenses</w:t>
            </w:r>
          </w:p>
        </w:tc>
        <w:tc>
          <w:tcPr>
            <w:tcW w:w="1260" w:type="dxa"/>
            <w:tcBorders>
              <w:top w:val="single" w:sz="6" w:space="0" w:color="000000"/>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(5,564)</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(6,798)</w:t>
            </w:r>
          </w:p>
        </w:tc>
        <w:tc>
          <w:tcPr>
            <w:tcW w:w="75"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top w:val="single" w:sz="6" w:space="0" w:color="000000"/>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(1,814)</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(1,909)</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(2,698)</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Profit before impairment losses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2,697</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3,222</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609</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767</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205</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(3,112)</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(536)</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(254)</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(2,056)</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(213)</w:t>
            </w:r>
          </w:p>
        </w:tc>
      </w:tr>
      <w:tr w:rsidR="00130A6D">
        <w:trPr>
          <w:trHeight w:val="195"/>
        </w:trPr>
        <w:tc>
          <w:tcPr>
            <w:tcW w:w="4185"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Operating (loss)/profit before tax</w:t>
            </w:r>
          </w:p>
        </w:tc>
        <w:tc>
          <w:tcPr>
            <w:tcW w:w="1260" w:type="dxa"/>
            <w:tcBorders>
              <w:top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(415)</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2,686</w:t>
            </w:r>
          </w:p>
        </w:tc>
        <w:tc>
          <w:tcPr>
            <w:tcW w:w="7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top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355</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(1,289)</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r>
      <w:tr w:rsidR="00130A6D">
        <w:trPr>
          <w:trHeight w:val="195"/>
        </w:trPr>
        <w:tc>
          <w:tcPr>
            <w:tcW w:w="418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Tax credit/(charge)</w:t>
            </w:r>
          </w:p>
        </w:tc>
        <w:tc>
          <w:tcPr>
            <w:tcW w:w="1260"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(395)</w:t>
            </w:r>
          </w:p>
        </w:tc>
        <w:tc>
          <w:tcPr>
            <w:tcW w:w="75" w:type="dxa"/>
            <w:tcBorders>
              <w:bottom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(207)</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396</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(Loss)/profit for the period</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(414)</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2,291</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148</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(893)</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(209)</w:t>
            </w:r>
          </w:p>
        </w:tc>
      </w:tr>
      <w:tr w:rsidR="00130A6D">
        <w:trPr>
          <w:trHeight w:val="75"/>
        </w:trPr>
        <w:tc>
          <w:tcPr>
            <w:tcW w:w="418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3366"/>
                <w:sz w:val="16"/>
                <w:szCs w:val="16"/>
              </w:rPr>
            </w:pPr>
          </w:p>
        </w:tc>
        <w:tc>
          <w:tcPr>
            <w:tcW w:w="1260" w:type="dxa"/>
            <w:tcBorders>
              <w:top w:val="single" w:sz="6" w:space="0" w:color="000000"/>
            </w:tcBorders>
            <w:shd w:val="clear" w:color="auto" w:fill="F4F0E8"/>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7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top w:val="single" w:sz="6" w:space="0" w:color="000000"/>
            </w:tcBorders>
            <w:shd w:val="clear" w:color="auto" w:fill="F4F0E8"/>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Attributable to:</w:t>
            </w:r>
          </w:p>
        </w:tc>
        <w:tc>
          <w:tcPr>
            <w:tcW w:w="1260" w:type="dxa"/>
            <w:shd w:val="clear" w:color="auto" w:fill="F4F0E8"/>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3366"/>
                <w:sz w:val="16"/>
                <w:szCs w:val="16"/>
              </w:rPr>
            </w:pPr>
          </w:p>
        </w:tc>
        <w:tc>
          <w:tcPr>
            <w:tcW w:w="1110"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3366"/>
                <w:sz w:val="16"/>
                <w:szCs w:val="16"/>
              </w:rPr>
            </w:pP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3366"/>
                <w:sz w:val="16"/>
                <w:szCs w:val="16"/>
              </w:rPr>
            </w:pPr>
          </w:p>
        </w:tc>
        <w:tc>
          <w:tcPr>
            <w:tcW w:w="1110"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3366"/>
                <w:sz w:val="16"/>
                <w:szCs w:val="16"/>
              </w:rPr>
            </w:pPr>
          </w:p>
        </w:tc>
        <w:tc>
          <w:tcPr>
            <w:tcW w:w="1110"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3366"/>
                <w:sz w:val="16"/>
                <w:szCs w:val="16"/>
              </w:rPr>
            </w:pP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Ordinary shareholders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(644)</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1,723</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(993)</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(315)</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Preference shareholders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Paid-in equity holders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272</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277</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80</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95</w:t>
            </w:r>
          </w:p>
        </w:tc>
      </w:tr>
      <w:tr w:rsidR="00130A6D">
        <w:trPr>
          <w:trHeight w:val="195"/>
        </w:trPr>
        <w:tc>
          <w:tcPr>
            <w:tcW w:w="418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1260"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261</w:t>
            </w:r>
          </w:p>
        </w:tc>
        <w:tc>
          <w:tcPr>
            <w:tcW w:w="75" w:type="dxa"/>
            <w:tcBorders>
              <w:bottom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w:t>
            </w:r>
          </w:p>
        </w:tc>
      </w:tr>
      <w:tr w:rsidR="00130A6D">
        <w:trPr>
          <w:trHeight w:val="195"/>
        </w:trPr>
        <w:tc>
          <w:tcPr>
            <w:tcW w:w="4185" w:type="dxa"/>
            <w:shd w:val="clear" w:color="auto" w:fill="FFFFFF"/>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(414)</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2,291</w:t>
            </w:r>
          </w:p>
        </w:tc>
        <w:tc>
          <w:tcPr>
            <w:tcW w:w="7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148</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(893)</w:t>
            </w:r>
          </w:p>
        </w:tc>
        <w:tc>
          <w:tcPr>
            <w:tcW w:w="111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(209)</w:t>
            </w:r>
          </w:p>
        </w:tc>
      </w:tr>
      <w:tr w:rsidR="00130A6D">
        <w:trPr>
          <w:trHeight w:val="195"/>
        </w:trPr>
        <w:tc>
          <w:tcPr>
            <w:tcW w:w="4185"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Style w:val="font162"/>
              </w:rPr>
              <w:t>Earnings per ordinary share</w:t>
            </w:r>
            <w:r>
              <w:rPr>
                <w:rStyle w:val="font16500"/>
              </w:rPr>
              <w:t xml:space="preserve"> </w:t>
            </w:r>
          </w:p>
        </w:tc>
        <w:tc>
          <w:tcPr>
            <w:tcW w:w="1260" w:type="dxa"/>
            <w:tcBorders>
              <w:top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(5.3p)</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14.3p</w:t>
            </w:r>
          </w:p>
        </w:tc>
        <w:tc>
          <w:tcPr>
            <w:tcW w:w="7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top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0.5p</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(8.2p)</w:t>
            </w:r>
          </w:p>
        </w:tc>
        <w:tc>
          <w:tcPr>
            <w:tcW w:w="111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(2.6p)</w:t>
            </w:r>
          </w:p>
        </w:tc>
      </w:tr>
      <w:tr w:rsidR="00130A6D">
        <w:trPr>
          <w:trHeight w:val="195"/>
        </w:trPr>
        <w:tc>
          <w:tcPr>
            <w:tcW w:w="418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Earnings per ordinary share - fully diluted</w:t>
            </w:r>
          </w:p>
        </w:tc>
        <w:tc>
          <w:tcPr>
            <w:tcW w:w="1260"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(5.3p)</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14.2p</w:t>
            </w:r>
          </w:p>
        </w:tc>
        <w:tc>
          <w:tcPr>
            <w:tcW w:w="75" w:type="dxa"/>
            <w:tcBorders>
              <w:bottom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245"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0.5p</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(8.2p)</w:t>
            </w:r>
          </w:p>
        </w:tc>
        <w:tc>
          <w:tcPr>
            <w:tcW w:w="111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(2.6p)</w:t>
            </w:r>
          </w:p>
        </w:tc>
      </w:tr>
    </w:tbl>
    <w:p w:rsidR="00C56885" w:rsidRDefault="00C56885" w:rsidP="00657792">
      <w:pPr>
        <w:rPr>
          <w:rFonts w:cs="Arial"/>
          <w:sz w:val="14"/>
          <w:szCs w:val="14"/>
        </w:rPr>
      </w:pPr>
    </w:p>
    <w:p w:rsidR="00FD787D" w:rsidRPr="00066AD9" w:rsidRDefault="004160AB" w:rsidP="00FD787D">
      <w:pPr>
        <w:rPr>
          <w:rFonts w:cs="Arial"/>
          <w:sz w:val="14"/>
          <w:szCs w:val="14"/>
        </w:rPr>
      </w:pPr>
      <w:r w:rsidRPr="00066AD9">
        <w:rPr>
          <w:rFonts w:cs="Arial"/>
          <w:sz w:val="14"/>
          <w:szCs w:val="14"/>
        </w:rPr>
        <w:t>Note:</w:t>
      </w:r>
    </w:p>
    <w:p w:rsidR="00FD787D" w:rsidRPr="00382E96" w:rsidRDefault="004160AB" w:rsidP="00FD787D">
      <w:pPr>
        <w:pStyle w:val="ListParagraph0"/>
        <w:numPr>
          <w:ilvl w:val="0"/>
          <w:numId w:val="16"/>
        </w:numPr>
        <w:spacing w:after="200"/>
        <w:rPr>
          <w:rFonts w:cs="Arial"/>
          <w:sz w:val="14"/>
          <w:szCs w:val="14"/>
        </w:rPr>
      </w:pPr>
      <w:r>
        <w:rPr>
          <w:rFonts w:cs="Arial"/>
          <w:sz w:val="14"/>
          <w:szCs w:val="14"/>
        </w:rPr>
        <w:t>Other operating income includes £324 million loss on redemption of own debt.</w:t>
      </w:r>
    </w:p>
    <w:p w:rsidR="00657792" w:rsidRDefault="004160AB">
      <w:pPr>
        <w:spacing w:after="200"/>
        <w:rPr>
          <w:rFonts w:cs="Arial"/>
          <w:sz w:val="16"/>
          <w:szCs w:val="16"/>
        </w:rPr>
      </w:pPr>
      <w:r>
        <w:rPr>
          <w:rFonts w:cs="Arial"/>
          <w:sz w:val="16"/>
          <w:szCs w:val="16"/>
        </w:rPr>
        <w:br w:type="page"/>
      </w:r>
    </w:p>
    <w:p w:rsidR="00F57394" w:rsidRDefault="004160AB">
      <w:pPr>
        <w:rPr>
          <w:rFonts w:cs="Arial"/>
          <w:color w:val="0A2F64"/>
          <w:sz w:val="14"/>
          <w:szCs w:val="14"/>
        </w:rPr>
      </w:pPr>
      <w:r w:rsidRPr="009C20BA">
        <w:rPr>
          <w:rFonts w:cs="Arial"/>
          <w:b/>
          <w:color w:val="42145F"/>
          <w:szCs w:val="20"/>
        </w:rPr>
        <w:lastRenderedPageBreak/>
        <w:t>Condensed consolidated statement of comprehensive income for the period ended 30 September 2020</w:t>
      </w:r>
      <w:r w:rsidRPr="009C20BA">
        <w:rPr>
          <w:rFonts w:cs="Arial"/>
          <w:color w:val="0A2F64"/>
          <w:sz w:val="12"/>
          <w:szCs w:val="14"/>
        </w:rPr>
        <w:t xml:space="preserve"> </w:t>
      </w:r>
      <w:r w:rsidRPr="00E37286">
        <w:rPr>
          <w:rFonts w:cs="Arial"/>
          <w:color w:val="5E10B1"/>
          <w:sz w:val="14"/>
          <w:szCs w:val="14"/>
        </w:rPr>
        <w:t>(unaudited)</w:t>
      </w:r>
    </w:p>
    <w:p w:rsidR="005F51C4" w:rsidRDefault="005F51C4">
      <w:pPr>
        <w:rPr>
          <w:rFonts w:cs="Arial"/>
          <w:color w:val="0A2F64"/>
          <w:sz w:val="14"/>
          <w:szCs w:val="14"/>
        </w:rPr>
      </w:pPr>
    </w:p>
    <w:tbl>
      <w:tblPr>
        <w:tblStyle w:val="table"/>
        <w:tblW w:w="10080" w:type="dxa"/>
        <w:tblInd w:w="5" w:type="dxa"/>
        <w:tblCellMar>
          <w:left w:w="0" w:type="dxa"/>
          <w:right w:w="0" w:type="dxa"/>
        </w:tblCellMar>
        <w:tblLook w:val="05E0" w:firstRow="1" w:lastRow="1" w:firstColumn="1" w:lastColumn="1" w:noHBand="0" w:noVBand="1"/>
      </w:tblPr>
      <w:tblGrid>
        <w:gridCol w:w="4260"/>
        <w:gridCol w:w="1260"/>
        <w:gridCol w:w="1110"/>
        <w:gridCol w:w="60"/>
        <w:gridCol w:w="1260"/>
        <w:gridCol w:w="1035"/>
        <w:gridCol w:w="1110"/>
      </w:tblGrid>
      <w:tr w:rsidR="00130A6D">
        <w:trPr>
          <w:trHeight w:val="210"/>
        </w:trPr>
        <w:tc>
          <w:tcPr>
            <w:tcW w:w="42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2370" w:type="dxa"/>
            <w:gridSpan w:val="2"/>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Nine months ended</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5E10B1"/>
                <w:sz w:val="16"/>
                <w:szCs w:val="16"/>
              </w:rPr>
            </w:pPr>
          </w:p>
        </w:tc>
        <w:tc>
          <w:tcPr>
            <w:tcW w:w="3405" w:type="dxa"/>
            <w:gridSpan w:val="3"/>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r>
      <w:tr w:rsidR="00130A6D">
        <w:trPr>
          <w:trHeight w:val="210"/>
        </w:trPr>
        <w:tc>
          <w:tcPr>
            <w:tcW w:w="42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0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0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r>
      <w:tr w:rsidR="00130A6D">
        <w:trPr>
          <w:trHeight w:val="195"/>
        </w:trPr>
        <w:tc>
          <w:tcPr>
            <w:tcW w:w="42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(Loss)/profit for the period</w:t>
            </w: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(414)</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2,291</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3366"/>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148</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(893)</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(209)</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Items that do not qualify for reclassification</w:t>
            </w: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30A6D" w:rsidRDefault="00130A6D">
            <w:pPr>
              <w:spacing w:line="240" w:lineRule="auto"/>
              <w:contextualSpacing/>
              <w:rPr>
                <w:rFonts w:eastAsia="Arial" w:cs="Arial"/>
                <w:color w:val="000000"/>
                <w:sz w:val="22"/>
              </w:rPr>
            </w:pPr>
          </w:p>
        </w:tc>
        <w:tc>
          <w:tcPr>
            <w:tcW w:w="1110" w:type="dxa"/>
            <w:shd w:val="clear" w:color="auto" w:fill="FFFFFF"/>
            <w:tcMar>
              <w:top w:w="0" w:type="dxa"/>
              <w:left w:w="5" w:type="dxa"/>
              <w:bottom w:w="0" w:type="dxa"/>
              <w:right w:w="5" w:type="dxa"/>
            </w:tcMar>
            <w:vAlign w:val="center"/>
            <w:hideMark/>
          </w:tcPr>
          <w:p w:rsidR="00130A6D" w:rsidRDefault="00130A6D">
            <w:pPr>
              <w:spacing w:line="240" w:lineRule="auto"/>
              <w:contextualSpacing/>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Remeasurement of retirement benefit schemes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(96)</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90</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 xml:space="preserve">Profit/(loss) on fair value of credit in financial liabilities </w:t>
            </w: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30A6D" w:rsidRDefault="00130A6D">
            <w:pPr>
              <w:spacing w:line="240" w:lineRule="auto"/>
              <w:contextualSpacing/>
              <w:rPr>
                <w:rFonts w:eastAsia="Arial" w:cs="Arial"/>
                <w:color w:val="000000"/>
                <w:sz w:val="22"/>
              </w:rPr>
            </w:pPr>
          </w:p>
        </w:tc>
        <w:tc>
          <w:tcPr>
            <w:tcW w:w="1110" w:type="dxa"/>
            <w:shd w:val="clear" w:color="auto" w:fill="FFFFFF"/>
            <w:tcMar>
              <w:top w:w="0" w:type="dxa"/>
              <w:left w:w="5" w:type="dxa"/>
              <w:bottom w:w="0" w:type="dxa"/>
              <w:right w:w="5" w:type="dxa"/>
            </w:tcMar>
            <w:vAlign w:val="center"/>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designated as at FVTPL due to own credit risk</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(105)</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FVOCI financial assets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(92)</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77</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133</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(130)</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Tax</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24</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r>
      <w:tr w:rsidR="00130A6D">
        <w:trPr>
          <w:trHeight w:val="195"/>
        </w:trPr>
        <w:tc>
          <w:tcPr>
            <w:tcW w:w="42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(279)</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118</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(179)</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Items that do qualify for reclassification </w:t>
            </w: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30A6D" w:rsidRDefault="00130A6D">
            <w:pPr>
              <w:spacing w:line="240" w:lineRule="auto"/>
              <w:contextualSpacing/>
              <w:rPr>
                <w:rFonts w:eastAsia="Arial" w:cs="Arial"/>
                <w:color w:val="000000"/>
                <w:sz w:val="22"/>
              </w:rPr>
            </w:pPr>
          </w:p>
        </w:tc>
        <w:tc>
          <w:tcPr>
            <w:tcW w:w="1110" w:type="dxa"/>
            <w:shd w:val="clear" w:color="auto" w:fill="FFFFFF"/>
            <w:tcMar>
              <w:top w:w="0" w:type="dxa"/>
              <w:left w:w="5" w:type="dxa"/>
              <w:bottom w:w="0" w:type="dxa"/>
              <w:right w:w="5" w:type="dxa"/>
            </w:tcMar>
            <w:vAlign w:val="center"/>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FVOCI financial assets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74</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Cash flow hedges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364</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688</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105</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286</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Currency translation</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425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(298)</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217</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(57)</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 xml:space="preserve">Tax </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(193)</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94</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(126)</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(71)</w:t>
            </w:r>
          </w:p>
        </w:tc>
      </w:tr>
      <w:tr w:rsidR="00130A6D">
        <w:trPr>
          <w:trHeight w:val="195"/>
        </w:trPr>
        <w:tc>
          <w:tcPr>
            <w:tcW w:w="42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667</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194</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228</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167</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Other comprehensive income/(loss) after tax</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711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(85)</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346</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w:t>
            </w:r>
          </w:p>
        </w:tc>
      </w:tr>
      <w:tr w:rsidR="00130A6D">
        <w:trPr>
          <w:trHeight w:val="195"/>
        </w:trPr>
        <w:tc>
          <w:tcPr>
            <w:tcW w:w="42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comprehensive income/(loss) for the period</w:t>
            </w: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297</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2,206</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3366"/>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126</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(547)</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(221)</w:t>
            </w:r>
          </w:p>
        </w:tc>
      </w:tr>
      <w:tr w:rsidR="00130A6D">
        <w:trPr>
          <w:trHeight w:val="75"/>
        </w:trPr>
        <w:tc>
          <w:tcPr>
            <w:tcW w:w="42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30A6D" w:rsidRDefault="00130A6D">
            <w:pPr>
              <w:spacing w:line="240" w:lineRule="auto"/>
              <w:contextualSpacing/>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Attributable to:</w:t>
            </w: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30A6D" w:rsidRDefault="00130A6D">
            <w:pPr>
              <w:spacing w:line="240" w:lineRule="auto"/>
              <w:contextualSpacing/>
              <w:rPr>
                <w:rFonts w:eastAsia="Arial" w:cs="Arial"/>
                <w:color w:val="000000"/>
                <w:sz w:val="22"/>
              </w:rPr>
            </w:pPr>
          </w:p>
        </w:tc>
        <w:tc>
          <w:tcPr>
            <w:tcW w:w="1110" w:type="dxa"/>
            <w:shd w:val="clear" w:color="auto" w:fill="FFFFFF"/>
            <w:tcMar>
              <w:top w:w="0" w:type="dxa"/>
              <w:left w:w="5" w:type="dxa"/>
              <w:bottom w:w="0" w:type="dxa"/>
              <w:right w:w="5" w:type="dxa"/>
            </w:tcMar>
            <w:vAlign w:val="center"/>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Ordinary shareholders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1,624</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(648)</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(326)</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Preference shareholders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Paid-in equity holders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277</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80</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110"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95</w:t>
            </w:r>
          </w:p>
        </w:tc>
      </w:tr>
      <w:tr w:rsidR="00130A6D">
        <w:trPr>
          <w:trHeight w:val="195"/>
        </w:trPr>
        <w:tc>
          <w:tcPr>
            <w:tcW w:w="426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275</w:t>
            </w:r>
          </w:p>
        </w:tc>
        <w:tc>
          <w:tcPr>
            <w:tcW w:w="60" w:type="dxa"/>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w:t>
            </w:r>
          </w:p>
        </w:tc>
        <w:tc>
          <w:tcPr>
            <w:tcW w:w="1035" w:type="dxa"/>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10"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r>
      <w:tr w:rsidR="00130A6D">
        <w:trPr>
          <w:trHeight w:val="195"/>
        </w:trPr>
        <w:tc>
          <w:tcPr>
            <w:tcW w:w="42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297</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2,206</w:t>
            </w:r>
          </w:p>
        </w:tc>
        <w:tc>
          <w:tcPr>
            <w:tcW w:w="6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130A6D">
            <w:pPr>
              <w:spacing w:line="240" w:lineRule="auto"/>
              <w:contextualSpacing/>
              <w:rPr>
                <w:rFonts w:eastAsia="Arial" w:cs="Arial"/>
                <w:color w:val="000000"/>
                <w:sz w:val="16"/>
                <w:szCs w:val="16"/>
              </w:rPr>
            </w:pPr>
          </w:p>
        </w:tc>
        <w:tc>
          <w:tcPr>
            <w:tcW w:w="12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126</w:t>
            </w:r>
          </w:p>
        </w:tc>
        <w:tc>
          <w:tcPr>
            <w:tcW w:w="10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(547)</w:t>
            </w:r>
          </w:p>
        </w:tc>
        <w:tc>
          <w:tcPr>
            <w:tcW w:w="11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(221)</w:t>
            </w:r>
          </w:p>
        </w:tc>
      </w:tr>
    </w:tbl>
    <w:p w:rsidR="00374AC9" w:rsidRDefault="00374AC9" w:rsidP="00374AC9">
      <w:pPr>
        <w:spacing w:after="200"/>
        <w:rPr>
          <w:rFonts w:eastAsia="Times New Roman" w:cs="Arial"/>
          <w:b/>
          <w:color w:val="42145F"/>
          <w:szCs w:val="20"/>
          <w:lang w:eastAsia="ja-JP"/>
        </w:rPr>
      </w:pPr>
    </w:p>
    <w:p w:rsidR="00374AC9" w:rsidRDefault="004160AB">
      <w:pPr>
        <w:spacing w:after="200"/>
        <w:rPr>
          <w:rFonts w:eastAsia="Times New Roman" w:cs="Arial"/>
          <w:b/>
          <w:color w:val="42145F"/>
          <w:szCs w:val="20"/>
          <w:lang w:eastAsia="ja-JP"/>
        </w:rPr>
      </w:pPr>
      <w:r>
        <w:rPr>
          <w:rFonts w:eastAsia="Times New Roman" w:cs="Arial"/>
          <w:b/>
          <w:color w:val="42145F"/>
          <w:szCs w:val="20"/>
          <w:lang w:eastAsia="ja-JP"/>
        </w:rPr>
        <w:br w:type="page"/>
      </w:r>
    </w:p>
    <w:p w:rsidR="00F57394" w:rsidRPr="00374AC9" w:rsidRDefault="004160AB" w:rsidP="00374AC9">
      <w:pPr>
        <w:pStyle w:val="GCAHeader"/>
        <w:rPr>
          <w:b w:val="0"/>
          <w:sz w:val="18"/>
          <w:szCs w:val="18"/>
        </w:rPr>
      </w:pPr>
      <w:r w:rsidRPr="009C20BA">
        <w:rPr>
          <w:color w:val="42145F"/>
          <w:sz w:val="18"/>
        </w:rPr>
        <w:lastRenderedPageBreak/>
        <w:t>Condensed consolidated balance sheet as at 30 September 2020</w:t>
      </w:r>
      <w:r w:rsidRPr="00E37286">
        <w:rPr>
          <w:color w:val="42145F"/>
          <w:sz w:val="14"/>
          <w:szCs w:val="14"/>
        </w:rPr>
        <w:t xml:space="preserve"> </w:t>
      </w:r>
      <w:r w:rsidRPr="00E37286">
        <w:rPr>
          <w:b w:val="0"/>
          <w:color w:val="5E10B1"/>
          <w:sz w:val="14"/>
          <w:szCs w:val="14"/>
        </w:rPr>
        <w:t>(unaudited)</w:t>
      </w:r>
    </w:p>
    <w:tbl>
      <w:tblPr>
        <w:tblStyle w:val="table"/>
        <w:tblW w:w="10140" w:type="dxa"/>
        <w:tblInd w:w="5" w:type="dxa"/>
        <w:tblCellMar>
          <w:left w:w="0" w:type="dxa"/>
          <w:right w:w="0" w:type="dxa"/>
        </w:tblCellMar>
        <w:tblLook w:val="05E0" w:firstRow="1" w:lastRow="1" w:firstColumn="1" w:lastColumn="1" w:noHBand="0" w:noVBand="1"/>
      </w:tblPr>
      <w:tblGrid>
        <w:gridCol w:w="6435"/>
        <w:gridCol w:w="1260"/>
        <w:gridCol w:w="1260"/>
        <w:gridCol w:w="1185"/>
      </w:tblGrid>
      <w:tr w:rsidR="00130A6D">
        <w:trPr>
          <w:trHeight w:val="195"/>
        </w:trPr>
        <w:tc>
          <w:tcPr>
            <w:tcW w:w="6435" w:type="dxa"/>
            <w:vMerge w:val="restart"/>
            <w:shd w:val="clear" w:color="auto" w:fill="FFFFFF"/>
            <w:tcMar>
              <w:top w:w="0" w:type="dxa"/>
              <w:left w:w="5" w:type="dxa"/>
              <w:bottom w:w="0" w:type="dxa"/>
              <w:right w:w="5" w:type="dxa"/>
            </w:tcMar>
            <w:vAlign w:val="bottom"/>
            <w:hideMark/>
          </w:tcPr>
          <w:p w:rsidR="00130A6D" w:rsidRDefault="00130A6D">
            <w:pPr>
              <w:spacing w:line="240" w:lineRule="auto"/>
              <w:contextualSpacing/>
              <w:rPr>
                <w:rFonts w:eastAsia="Arial" w:cs="Arial"/>
                <w:color w:val="003366"/>
                <w:sz w:val="16"/>
                <w:szCs w:val="16"/>
              </w:rPr>
            </w:pP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195"/>
        </w:trPr>
        <w:tc>
          <w:tcPr>
            <w:tcW w:w="0" w:type="auto"/>
            <w:vMerge/>
            <w:tcMar>
              <w:top w:w="0" w:type="dxa"/>
              <w:bottom w:w="0" w:type="dxa"/>
            </w:tcMar>
            <w:vAlign w:val="center"/>
            <w:hideMark/>
          </w:tcPr>
          <w:p w:rsidR="00130A6D" w:rsidRDefault="00130A6D">
            <w:pPr>
              <w:spacing w:line="240" w:lineRule="auto"/>
              <w:contextualSpacing/>
              <w:rPr>
                <w:rFonts w:eastAsia="Arial" w:cs="Arial"/>
                <w:color w:val="000000"/>
                <w:sz w:val="16"/>
                <w:szCs w:val="16"/>
              </w:rPr>
            </w:pP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6435" w:type="dxa"/>
            <w:shd w:val="clear" w:color="auto" w:fill="FFFFFF"/>
            <w:tcMar>
              <w:top w:w="0" w:type="dxa"/>
              <w:left w:w="5" w:type="dxa"/>
              <w:bottom w:w="0" w:type="dxa"/>
              <w:right w:w="5" w:type="dxa"/>
            </w:tcMar>
            <w:vAlign w:val="bottom"/>
            <w:hideMark/>
          </w:tcPr>
          <w:p w:rsidR="00130A6D" w:rsidRDefault="00130A6D">
            <w:pPr>
              <w:spacing w:line="240" w:lineRule="auto"/>
              <w:contextualSpacing/>
              <w:rPr>
                <w:rFonts w:eastAsia="Arial" w:cs="Arial"/>
                <w:color w:val="003366"/>
                <w:sz w:val="16"/>
                <w:szCs w:val="16"/>
              </w:rPr>
            </w:pP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r>
      <w:tr w:rsidR="00130A6D">
        <w:trPr>
          <w:trHeight w:val="195"/>
        </w:trPr>
        <w:tc>
          <w:tcPr>
            <w:tcW w:w="6435"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Assets</w:t>
            </w:r>
          </w:p>
        </w:tc>
        <w:tc>
          <w:tcPr>
            <w:tcW w:w="1260" w:type="dxa"/>
            <w:tcBorders>
              <w:top w:val="single" w:sz="6" w:space="0" w:color="000000"/>
            </w:tcBorders>
            <w:shd w:val="clear" w:color="auto" w:fill="F4F0E8"/>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260"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Cash and balances at central banks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106,388</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100,281</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77,858</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Trading assets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70,820</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72,402</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76,745</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Derivatives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164,311</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183,419</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150,029</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Settlement balances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10,947</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7,806</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4,387</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Loans to banks - amortised cost</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11,864</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12,972</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10,689</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Loans to customers - amortised cost</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353,691</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352,341</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326,947</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Other financial assets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58,736</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62,727</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61,452</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Intangible assets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6,600</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6,602</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6,622</w:t>
            </w:r>
          </w:p>
        </w:tc>
      </w:tr>
      <w:tr w:rsidR="00130A6D">
        <w:trPr>
          <w:trHeight w:val="195"/>
        </w:trPr>
        <w:tc>
          <w:tcPr>
            <w:tcW w:w="643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Other assets</w:t>
            </w:r>
          </w:p>
        </w:tc>
        <w:tc>
          <w:tcPr>
            <w:tcW w:w="1260"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8,204</w:t>
            </w:r>
          </w:p>
        </w:tc>
        <w:tc>
          <w:tcPr>
            <w:tcW w:w="126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8,337</w:t>
            </w:r>
          </w:p>
        </w:tc>
        <w:tc>
          <w:tcPr>
            <w:tcW w:w="118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8,310</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assets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791,561</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806,887</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723,039</w:t>
            </w:r>
          </w:p>
        </w:tc>
      </w:tr>
      <w:tr w:rsidR="00130A6D">
        <w:trPr>
          <w:trHeight w:val="75"/>
        </w:trPr>
        <w:tc>
          <w:tcPr>
            <w:tcW w:w="643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3366"/>
                <w:sz w:val="16"/>
                <w:szCs w:val="16"/>
              </w:rPr>
            </w:pPr>
          </w:p>
        </w:tc>
        <w:tc>
          <w:tcPr>
            <w:tcW w:w="1260" w:type="dxa"/>
            <w:tcBorders>
              <w:top w:val="single" w:sz="6" w:space="0" w:color="000000"/>
            </w:tcBorders>
            <w:shd w:val="clear" w:color="auto" w:fill="F4F0E8"/>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260"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43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Liabilities</w:t>
            </w:r>
          </w:p>
        </w:tc>
        <w:tc>
          <w:tcPr>
            <w:tcW w:w="1260" w:type="dxa"/>
            <w:shd w:val="clear" w:color="auto" w:fill="F4F0E8"/>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260"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Style w:val="font60"/>
              </w:rPr>
              <w:t>Bank deposits</w:t>
            </w:r>
            <w:r>
              <w:rPr>
                <w:rStyle w:val="font70"/>
              </w:rPr>
              <w:t xml:space="preserve"> </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18,666</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21,119</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20,493</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418,358</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408,268</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369,247</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Settlement balances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9,839</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6,895</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4,069</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Trading liabilities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73,023</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75,540</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73,949</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Derivatives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160,532</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179,859</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146,879</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Other financial liabilities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48,848</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49,681</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45,220</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Subordinated liabilities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10,467</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13,558</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9,979</w:t>
            </w:r>
          </w:p>
        </w:tc>
      </w:tr>
      <w:tr w:rsidR="00130A6D">
        <w:trPr>
          <w:trHeight w:val="195"/>
        </w:trPr>
        <w:tc>
          <w:tcPr>
            <w:tcW w:w="6435" w:type="dxa"/>
            <w:tcBorders>
              <w:bottom w:val="single" w:sz="6" w:space="0" w:color="000000"/>
            </w:tcBorders>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Other liabilities</w:t>
            </w:r>
          </w:p>
        </w:tc>
        <w:tc>
          <w:tcPr>
            <w:tcW w:w="1260"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8,678</w:t>
            </w:r>
          </w:p>
        </w:tc>
        <w:tc>
          <w:tcPr>
            <w:tcW w:w="126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8,906</w:t>
            </w:r>
          </w:p>
        </w:tc>
        <w:tc>
          <w:tcPr>
            <w:tcW w:w="118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9,647</w:t>
            </w:r>
          </w:p>
        </w:tc>
      </w:tr>
      <w:tr w:rsidR="00130A6D">
        <w:trPr>
          <w:trHeight w:val="195"/>
        </w:trPr>
        <w:tc>
          <w:tcPr>
            <w:tcW w:w="643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liabilities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748,411</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763,826</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679,483</w:t>
            </w:r>
          </w:p>
        </w:tc>
      </w:tr>
      <w:tr w:rsidR="00130A6D">
        <w:trPr>
          <w:trHeight w:val="75"/>
        </w:trPr>
        <w:tc>
          <w:tcPr>
            <w:tcW w:w="643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rPr>
                <w:rFonts w:eastAsia="Arial" w:cs="Arial"/>
                <w:b/>
                <w:bCs/>
                <w:color w:val="003366"/>
                <w:sz w:val="16"/>
                <w:szCs w:val="16"/>
              </w:rPr>
            </w:pPr>
          </w:p>
        </w:tc>
        <w:tc>
          <w:tcPr>
            <w:tcW w:w="1260" w:type="dxa"/>
            <w:tcBorders>
              <w:top w:val="single" w:sz="6" w:space="0" w:color="000000"/>
            </w:tcBorders>
            <w:shd w:val="clear" w:color="auto" w:fill="F4F0E8"/>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260"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top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43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Equity</w:t>
            </w:r>
          </w:p>
        </w:tc>
        <w:tc>
          <w:tcPr>
            <w:tcW w:w="1260" w:type="dxa"/>
            <w:tcBorders>
              <w:bottom w:val="single" w:sz="6" w:space="0" w:color="000000"/>
            </w:tcBorders>
            <w:shd w:val="clear" w:color="auto" w:fill="F4F0E8"/>
            <w:tcMar>
              <w:top w:w="0" w:type="dxa"/>
              <w:left w:w="5" w:type="dxa"/>
              <w:bottom w:w="0" w:type="dxa"/>
              <w:right w:w="5" w:type="dxa"/>
            </w:tcMar>
            <w:vAlign w:val="bottom"/>
            <w:hideMark/>
          </w:tcPr>
          <w:p w:rsidR="00130A6D" w:rsidRDefault="00130A6D">
            <w:pPr>
              <w:spacing w:line="240" w:lineRule="auto"/>
              <w:contextualSpacing/>
              <w:jc w:val="right"/>
              <w:rPr>
                <w:rFonts w:eastAsia="Arial" w:cs="Arial"/>
                <w:b/>
                <w:bCs/>
                <w:color w:val="000000"/>
                <w:sz w:val="16"/>
                <w:szCs w:val="16"/>
              </w:rPr>
            </w:pPr>
          </w:p>
        </w:tc>
        <w:tc>
          <w:tcPr>
            <w:tcW w:w="1260" w:type="dxa"/>
            <w:tcBorders>
              <w:bottom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c>
          <w:tcPr>
            <w:tcW w:w="1185" w:type="dxa"/>
            <w:tcBorders>
              <w:bottom w:val="single" w:sz="6" w:space="0" w:color="000000"/>
            </w:tcBorders>
            <w:shd w:val="clear" w:color="auto" w:fill="FFFFFF"/>
            <w:tcMar>
              <w:top w:w="0" w:type="dxa"/>
              <w:left w:w="5" w:type="dxa"/>
              <w:bottom w:w="0" w:type="dxa"/>
              <w:right w:w="5" w:type="dxa"/>
            </w:tcMar>
            <w:vAlign w:val="bottom"/>
            <w:hideMark/>
          </w:tcPr>
          <w:p w:rsidR="00130A6D" w:rsidRDefault="00130A6D">
            <w:pPr>
              <w:spacing w:line="240" w:lineRule="auto"/>
              <w:contextualSpacing/>
              <w:jc w:val="right"/>
              <w:rPr>
                <w:rFonts w:eastAsia="Arial" w:cs="Arial"/>
                <w:color w:val="000000"/>
                <w:sz w:val="16"/>
                <w:szCs w:val="16"/>
              </w:rPr>
            </w:pP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Ordinary shareholders' interests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38,693</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38,608</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38,993</w:t>
            </w:r>
          </w:p>
        </w:tc>
      </w:tr>
      <w:tr w:rsidR="00130A6D">
        <w:trPr>
          <w:trHeight w:val="195"/>
        </w:trPr>
        <w:tc>
          <w:tcPr>
            <w:tcW w:w="6435" w:type="dxa"/>
            <w:shd w:val="clear" w:color="auto" w:fill="FFFFFF"/>
            <w:noWrap/>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Other owners' interests</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4,495</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4,495</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4,554</w:t>
            </w:r>
          </w:p>
        </w:tc>
      </w:tr>
      <w:tr w:rsidR="00130A6D">
        <w:trPr>
          <w:trHeight w:val="195"/>
        </w:trPr>
        <w:tc>
          <w:tcPr>
            <w:tcW w:w="6435"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Owners’ equity</w:t>
            </w:r>
          </w:p>
        </w:tc>
        <w:tc>
          <w:tcPr>
            <w:tcW w:w="1260" w:type="dxa"/>
            <w:tcBorders>
              <w:top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43,188</w:t>
            </w:r>
          </w:p>
        </w:tc>
        <w:tc>
          <w:tcPr>
            <w:tcW w:w="1260"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43,103</w:t>
            </w:r>
          </w:p>
        </w:tc>
        <w:tc>
          <w:tcPr>
            <w:tcW w:w="1185" w:type="dxa"/>
            <w:tcBorders>
              <w:top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43,547</w:t>
            </w:r>
          </w:p>
        </w:tc>
      </w:tr>
      <w:tr w:rsidR="00130A6D">
        <w:trPr>
          <w:trHeight w:val="195"/>
        </w:trPr>
        <w:tc>
          <w:tcPr>
            <w:tcW w:w="643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1260" w:type="dxa"/>
            <w:tcBorders>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c>
          <w:tcPr>
            <w:tcW w:w="1260"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(42)</w:t>
            </w:r>
          </w:p>
        </w:tc>
        <w:tc>
          <w:tcPr>
            <w:tcW w:w="1185" w:type="dxa"/>
            <w:tcBorders>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9</w:t>
            </w:r>
          </w:p>
        </w:tc>
      </w:tr>
      <w:tr w:rsidR="00130A6D">
        <w:trPr>
          <w:trHeight w:val="195"/>
        </w:trPr>
        <w:tc>
          <w:tcPr>
            <w:tcW w:w="6435" w:type="dxa"/>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equity</w:t>
            </w:r>
          </w:p>
        </w:tc>
        <w:tc>
          <w:tcPr>
            <w:tcW w:w="1260" w:type="dxa"/>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43,150</w:t>
            </w:r>
          </w:p>
        </w:tc>
        <w:tc>
          <w:tcPr>
            <w:tcW w:w="1260"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43,061</w:t>
            </w:r>
          </w:p>
        </w:tc>
        <w:tc>
          <w:tcPr>
            <w:tcW w:w="1185" w:type="dxa"/>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43,556</w:t>
            </w:r>
          </w:p>
        </w:tc>
      </w:tr>
      <w:tr w:rsidR="00130A6D">
        <w:trPr>
          <w:trHeight w:val="195"/>
        </w:trPr>
        <w:tc>
          <w:tcPr>
            <w:tcW w:w="6435"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rPr>
                <w:rFonts w:eastAsia="Arial" w:cs="Arial"/>
                <w:b/>
                <w:bCs/>
                <w:color w:val="5E10B1"/>
                <w:sz w:val="16"/>
                <w:szCs w:val="16"/>
              </w:rPr>
            </w:pPr>
            <w:r>
              <w:rPr>
                <w:rFonts w:eastAsia="Arial" w:cs="Arial"/>
                <w:b/>
                <w:bCs/>
                <w:color w:val="5E10B1"/>
                <w:sz w:val="16"/>
                <w:szCs w:val="16"/>
              </w:rPr>
              <w:t>Total liabilities and equity</w:t>
            </w:r>
          </w:p>
        </w:tc>
        <w:tc>
          <w:tcPr>
            <w:tcW w:w="1260" w:type="dxa"/>
            <w:tcBorders>
              <w:top w:val="single" w:sz="6" w:space="0" w:color="000000"/>
              <w:bottom w:val="single" w:sz="6" w:space="0" w:color="000000"/>
            </w:tcBorders>
            <w:shd w:val="clear" w:color="auto" w:fill="F4F0E8"/>
            <w:tcMar>
              <w:top w:w="0" w:type="dxa"/>
              <w:left w:w="5" w:type="dxa"/>
              <w:bottom w:w="0" w:type="dxa"/>
              <w:right w:w="5" w:type="dxa"/>
            </w:tcMar>
            <w:vAlign w:val="bottom"/>
            <w:hideMark/>
          </w:tcPr>
          <w:p w:rsidR="00130A6D"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791,561</w:t>
            </w:r>
          </w:p>
        </w:tc>
        <w:tc>
          <w:tcPr>
            <w:tcW w:w="1260"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806,887</w:t>
            </w:r>
          </w:p>
        </w:tc>
        <w:tc>
          <w:tcPr>
            <w:tcW w:w="1185" w:type="dxa"/>
            <w:tcBorders>
              <w:top w:val="single" w:sz="6" w:space="0" w:color="000000"/>
              <w:bottom w:val="single" w:sz="6" w:space="0" w:color="000000"/>
            </w:tcBorders>
            <w:shd w:val="clear" w:color="auto" w:fill="FFFFFF"/>
            <w:tcMar>
              <w:top w:w="0" w:type="dxa"/>
              <w:left w:w="5" w:type="dxa"/>
              <w:bottom w:w="0" w:type="dxa"/>
              <w:right w:w="5" w:type="dxa"/>
            </w:tcMar>
            <w:vAlign w:val="bottom"/>
            <w:hideMark/>
          </w:tcPr>
          <w:p w:rsidR="00130A6D" w:rsidRDefault="004160AB">
            <w:pPr>
              <w:spacing w:line="240" w:lineRule="auto"/>
              <w:contextualSpacing/>
              <w:jc w:val="right"/>
              <w:rPr>
                <w:rFonts w:eastAsia="Arial" w:cs="Arial"/>
                <w:color w:val="000000"/>
                <w:sz w:val="16"/>
                <w:szCs w:val="16"/>
              </w:rPr>
            </w:pPr>
            <w:r>
              <w:rPr>
                <w:rFonts w:eastAsia="Arial" w:cs="Arial"/>
                <w:color w:val="000000"/>
                <w:sz w:val="16"/>
                <w:szCs w:val="16"/>
              </w:rPr>
              <w:t>723,039</w:t>
            </w:r>
          </w:p>
        </w:tc>
      </w:tr>
    </w:tbl>
    <w:p w:rsidR="00F57394" w:rsidRDefault="004160AB">
      <w:r>
        <w:br w:type="page"/>
      </w:r>
    </w:p>
    <w:p w:rsidR="00F57394" w:rsidRDefault="004160AB" w:rsidP="00F57394">
      <w:pPr>
        <w:pStyle w:val="Normal00"/>
        <w:spacing w:line="288" w:lineRule="auto"/>
        <w:rPr>
          <w:rFonts w:ascii="Arial" w:hAnsi="Arial" w:cs="Arial"/>
          <w:color w:val="003366"/>
          <w:sz w:val="14"/>
          <w:szCs w:val="14"/>
        </w:rPr>
      </w:pPr>
      <w:r w:rsidRPr="009C20BA">
        <w:rPr>
          <w:rFonts w:ascii="Arial" w:hAnsi="Arial" w:cs="Arial"/>
          <w:b/>
          <w:color w:val="42145F"/>
          <w:sz w:val="18"/>
          <w:szCs w:val="20"/>
        </w:rPr>
        <w:lastRenderedPageBreak/>
        <w:t>Condensed consolidated statement of changes in equity for the period ended 30 September 2020</w:t>
      </w:r>
      <w:r w:rsidRPr="005A39BC">
        <w:rPr>
          <w:rFonts w:ascii="Arial" w:hAnsi="Arial" w:cs="Arial"/>
          <w:b/>
          <w:color w:val="003366"/>
          <w:sz w:val="18"/>
          <w:szCs w:val="18"/>
        </w:rPr>
        <w:t xml:space="preserve"> </w:t>
      </w:r>
      <w:r w:rsidRPr="00E37286">
        <w:rPr>
          <w:rFonts w:ascii="Arial" w:hAnsi="Arial" w:cs="Arial"/>
          <w:color w:val="5E10B1"/>
          <w:sz w:val="14"/>
          <w:szCs w:val="14"/>
        </w:rPr>
        <w:t>(unaudited)</w:t>
      </w:r>
    </w:p>
    <w:p w:rsidR="005F51C4" w:rsidRPr="005A39BC" w:rsidRDefault="005F51C4" w:rsidP="00F57394">
      <w:pPr>
        <w:pStyle w:val="Normal00"/>
        <w:spacing w:line="288" w:lineRule="auto"/>
        <w:rPr>
          <w:rFonts w:ascii="Arial" w:hAnsi="Arial" w:cs="Arial"/>
          <w:b/>
          <w:color w:val="003366"/>
          <w:sz w:val="14"/>
          <w:szCs w:val="14"/>
        </w:rPr>
      </w:pPr>
    </w:p>
    <w:tbl>
      <w:tblPr>
        <w:tblStyle w:val="table"/>
        <w:tblW w:w="10080" w:type="dxa"/>
        <w:tblInd w:w="5" w:type="dxa"/>
        <w:tblCellMar>
          <w:left w:w="0" w:type="dxa"/>
          <w:right w:w="0" w:type="dxa"/>
        </w:tblCellMar>
        <w:tblLook w:val="05E0" w:firstRow="1" w:lastRow="1" w:firstColumn="1" w:lastColumn="1" w:noHBand="0" w:noVBand="1"/>
      </w:tblPr>
      <w:tblGrid>
        <w:gridCol w:w="3510"/>
        <w:gridCol w:w="885"/>
        <w:gridCol w:w="885"/>
        <w:gridCol w:w="960"/>
        <w:gridCol w:w="960"/>
        <w:gridCol w:w="960"/>
        <w:gridCol w:w="960"/>
        <w:gridCol w:w="960"/>
      </w:tblGrid>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Share </w:t>
            </w: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r>
      <w:tr w:rsidR="00130A6D">
        <w:trPr>
          <w:trHeight w:val="195"/>
        </w:trPr>
        <w:tc>
          <w:tcPr>
            <w:tcW w:w="3510" w:type="dxa"/>
            <w:gridSpan w:val="2"/>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capital and</w:t>
            </w: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Non</w:t>
            </w: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jc w:val="right"/>
              <w:rPr>
                <w:rFonts w:eastAsia="Arial" w:cs="Arial"/>
                <w:b/>
                <w:bCs/>
                <w:color w:val="000000"/>
                <w:sz w:val="20"/>
                <w:szCs w:val="20"/>
              </w:rPr>
            </w:pP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statutory</w:t>
            </w:r>
          </w:p>
        </w:tc>
        <w:tc>
          <w:tcPr>
            <w:tcW w:w="885"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Paid-in</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Retained</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Other</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owners'</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controlling</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Total </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reserves</w:t>
            </w:r>
          </w:p>
        </w:tc>
        <w:tc>
          <w:tcPr>
            <w:tcW w:w="885"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Style w:val="font400"/>
              </w:rPr>
              <w:t>equity</w:t>
            </w:r>
            <w:r>
              <w:rPr>
                <w:rStyle w:val="font80"/>
              </w:rPr>
              <w:t xml:space="preserve"> </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earnings</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reserves*</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equity</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interests</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equity</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885"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r>
      <w:tr w:rsidR="00130A6D">
        <w:trPr>
          <w:trHeight w:val="195"/>
        </w:trPr>
        <w:tc>
          <w:tcPr>
            <w:tcW w:w="351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5E10B1"/>
                <w:sz w:val="16"/>
                <w:szCs w:val="16"/>
              </w:rPr>
            </w:pPr>
            <w:r>
              <w:rPr>
                <w:rFonts w:eastAsia="Arial" w:cs="Arial"/>
                <w:color w:val="5E10B1"/>
                <w:sz w:val="16"/>
                <w:szCs w:val="16"/>
              </w:rPr>
              <w:t>At 1 January 2020</w:t>
            </w:r>
          </w:p>
        </w:tc>
        <w:tc>
          <w:tcPr>
            <w:tcW w:w="885" w:type="dxa"/>
            <w:tcBorders>
              <w:top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13,146</w:t>
            </w:r>
          </w:p>
        </w:tc>
        <w:tc>
          <w:tcPr>
            <w:tcW w:w="885" w:type="dxa"/>
            <w:tcBorders>
              <w:top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4,058</w:t>
            </w:r>
          </w:p>
        </w:tc>
        <w:tc>
          <w:tcPr>
            <w:tcW w:w="960" w:type="dxa"/>
            <w:tcBorders>
              <w:top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13,946</w:t>
            </w:r>
          </w:p>
        </w:tc>
        <w:tc>
          <w:tcPr>
            <w:tcW w:w="960" w:type="dxa"/>
            <w:tcBorders>
              <w:top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12,397</w:t>
            </w:r>
          </w:p>
        </w:tc>
        <w:tc>
          <w:tcPr>
            <w:tcW w:w="960" w:type="dxa"/>
            <w:tcBorders>
              <w:top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43,547</w:t>
            </w:r>
          </w:p>
        </w:tc>
        <w:tc>
          <w:tcPr>
            <w:tcW w:w="960" w:type="dxa"/>
            <w:tcBorders>
              <w:top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960" w:type="dxa"/>
            <w:tcBorders>
              <w:top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43,556</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Loss attributable to ordinary shareholders</w:t>
            </w: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and other equity owners</w:t>
            </w:r>
            <w:r>
              <w:rPr>
                <w:rFonts w:ascii="Times New Roman" w:eastAsia="Times New Roman" w:hAnsi="Times New Roman" w:cs="Times New Roman"/>
                <w:color w:val="000000"/>
                <w:sz w:val="16"/>
                <w:szCs w:val="16"/>
              </w:rPr>
              <w:t xml:space="preserve">  </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(351)</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(351)</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(414)</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Other comprehensive income</w:t>
            </w: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 Realised gains in period </w:t>
            </w: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Style w:val="font30"/>
                <w:rFonts w:ascii="Times New Roman" w:eastAsia="Times New Roman" w:hAnsi="Times New Roman" w:cs="Times New Roman"/>
              </w:rPr>
              <w:t xml:space="preserve">        </w:t>
            </w:r>
            <w:r>
              <w:rPr>
                <w:rStyle w:val="font30"/>
              </w:rPr>
              <w:t xml:space="preserve">on FVOCI equity shares </w:t>
            </w:r>
            <w:r>
              <w:rPr>
                <w:rStyle w:val="font1210"/>
              </w:rPr>
              <w:t>(1)</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114</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(114)</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 Remeasurement of retirement </w:t>
            </w: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r>
      <w:tr w:rsidR="00130A6D">
        <w:trPr>
          <w:trHeight w:val="195"/>
        </w:trPr>
        <w:tc>
          <w:tcPr>
            <w:tcW w:w="3510" w:type="dxa"/>
            <w:shd w:val="clear" w:color="auto" w:fill="FFFFFF"/>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benefit schemes</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 Changes in fair value of credit in financial </w:t>
            </w: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liabilities at FVTPL</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amounts recognised in equity</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810</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810</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826</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Amount transferred from equity to earnings</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(133)</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(133)</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(133)</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Recycled to profit or loss on disposal</w:t>
            </w: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Style w:val="font30"/>
                <w:rFonts w:ascii="Times New Roman" w:eastAsia="Times New Roman" w:hAnsi="Times New Roman" w:cs="Times New Roman"/>
              </w:rPr>
              <w:t xml:space="preserve">      </w:t>
            </w:r>
            <w:r>
              <w:rPr>
                <w:rStyle w:val="font30"/>
              </w:rPr>
              <w:t>of businesses</w:t>
            </w:r>
            <w:r>
              <w:rPr>
                <w:rStyle w:val="font50"/>
              </w:rPr>
              <w:t xml:space="preserve"> </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Tax</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(73)</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(72)</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(72)</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Preference share and paid-in equity</w:t>
            </w: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885"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c>
          <w:tcPr>
            <w:tcW w:w="960" w:type="dxa"/>
            <w:shd w:val="clear" w:color="auto" w:fill="F4F0E8"/>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dividends paid</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(293)</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(293)</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(293)</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Unclaimed dividend</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Shares and securities issued during the year</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1,220</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1,258</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1,258</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Redemption/reclassification</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(1,277)</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(355)</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(1,632)</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(1,632)</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Share-based payments</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(56)</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(56)</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(56)</w:t>
            </w:r>
          </w:p>
        </w:tc>
      </w:tr>
      <w:tr w:rsidR="00130A6D">
        <w:trPr>
          <w:trHeight w:val="195"/>
        </w:trPr>
        <w:tc>
          <w:tcPr>
            <w:tcW w:w="351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Movement in own shares held</w:t>
            </w:r>
          </w:p>
        </w:tc>
        <w:tc>
          <w:tcPr>
            <w:tcW w:w="885"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885"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r>
      <w:tr w:rsidR="00130A6D">
        <w:trPr>
          <w:trHeight w:val="195"/>
        </w:trPr>
        <w:tc>
          <w:tcPr>
            <w:tcW w:w="3510" w:type="dxa"/>
            <w:tcBorders>
              <w:top w:val="single" w:sz="6" w:space="0" w:color="000000"/>
              <w:bottom w:val="single" w:sz="6" w:space="0" w:color="000000"/>
            </w:tcBorders>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b/>
                <w:bCs/>
                <w:color w:val="5E10B1"/>
                <w:sz w:val="16"/>
                <w:szCs w:val="16"/>
              </w:rPr>
            </w:pPr>
            <w:r>
              <w:rPr>
                <w:rFonts w:eastAsia="Arial" w:cs="Arial"/>
                <w:b/>
                <w:bCs/>
                <w:color w:val="5E10B1"/>
                <w:sz w:val="16"/>
                <w:szCs w:val="16"/>
              </w:rPr>
              <w:t>At 30 September 2020</w:t>
            </w:r>
          </w:p>
        </w:tc>
        <w:tc>
          <w:tcPr>
            <w:tcW w:w="885"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13,213</w:t>
            </w:r>
          </w:p>
        </w:tc>
        <w:tc>
          <w:tcPr>
            <w:tcW w:w="885"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4,001</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13,071</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12,903</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43,188</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c>
          <w:tcPr>
            <w:tcW w:w="960" w:type="dxa"/>
            <w:tcBorders>
              <w:top w:val="single" w:sz="6" w:space="0" w:color="000000"/>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43,150</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gridSpan w:val="2"/>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r>
      <w:tr w:rsidR="00130A6D">
        <w:trPr>
          <w:trHeight w:val="195"/>
        </w:trPr>
        <w:tc>
          <w:tcPr>
            <w:tcW w:w="3510" w:type="dxa"/>
            <w:gridSpan w:val="3"/>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b/>
                <w:bCs/>
                <w:color w:val="5E10B1"/>
                <w:sz w:val="16"/>
                <w:szCs w:val="16"/>
              </w:rPr>
            </w:pPr>
            <w:r>
              <w:rPr>
                <w:rFonts w:eastAsia="Arial" w:cs="Arial"/>
                <w:b/>
                <w:bCs/>
                <w:color w:val="5E10B1"/>
                <w:sz w:val="16"/>
                <w:szCs w:val="16"/>
              </w:rPr>
              <w:t>Attributable to:</w:t>
            </w: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r>
      <w:tr w:rsidR="00130A6D">
        <w:trPr>
          <w:trHeight w:val="195"/>
        </w:trPr>
        <w:tc>
          <w:tcPr>
            <w:tcW w:w="351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Ordinary shareholders</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38,693</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Preference shareholders</w:t>
            </w: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494</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Paid-in equity holders</w:t>
            </w: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4,001</w:t>
            </w:r>
          </w:p>
        </w:tc>
      </w:tr>
      <w:tr w:rsidR="00130A6D">
        <w:trPr>
          <w:trHeight w:val="195"/>
        </w:trPr>
        <w:tc>
          <w:tcPr>
            <w:tcW w:w="351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43,150</w:t>
            </w:r>
          </w:p>
        </w:tc>
      </w:tr>
      <w:tr w:rsidR="00130A6D">
        <w:trPr>
          <w:trHeight w:val="195"/>
        </w:trPr>
        <w:tc>
          <w:tcPr>
            <w:tcW w:w="3510" w:type="dxa"/>
            <w:gridSpan w:val="2"/>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*Other reserves </w:t>
            </w:r>
            <w:proofErr w:type="gramStart"/>
            <w:r>
              <w:rPr>
                <w:rFonts w:eastAsia="Arial" w:cs="Arial"/>
                <w:b/>
                <w:bCs/>
                <w:color w:val="5E10B1"/>
                <w:sz w:val="16"/>
                <w:szCs w:val="16"/>
              </w:rPr>
              <w:t>consists</w:t>
            </w:r>
            <w:proofErr w:type="gramEnd"/>
            <w:r>
              <w:rPr>
                <w:rFonts w:eastAsia="Arial" w:cs="Arial"/>
                <w:b/>
                <w:bCs/>
                <w:color w:val="5E10B1"/>
                <w:sz w:val="16"/>
                <w:szCs w:val="16"/>
              </w:rPr>
              <w:t xml:space="preserve"> of:</w:t>
            </w: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b/>
                <w:bCs/>
                <w:color w:val="000000"/>
                <w:sz w:val="16"/>
                <w:szCs w:val="16"/>
              </w:rPr>
            </w:pPr>
          </w:p>
        </w:tc>
      </w:tr>
      <w:tr w:rsidR="00130A6D">
        <w:trPr>
          <w:trHeight w:val="195"/>
        </w:trPr>
        <w:tc>
          <w:tcPr>
            <w:tcW w:w="351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Merger reserve</w:t>
            </w: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16"/>
                <w:szCs w:val="16"/>
              </w:rPr>
            </w:pPr>
          </w:p>
        </w:tc>
        <w:tc>
          <w:tcPr>
            <w:tcW w:w="885"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top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10,881</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FVOCI reserve</w:t>
            </w: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Cash flow hedging reserve</w:t>
            </w: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w:t>
            </w:r>
          </w:p>
        </w:tc>
      </w:tr>
      <w:tr w:rsidR="00130A6D">
        <w:trPr>
          <w:trHeight w:val="195"/>
        </w:trPr>
        <w:tc>
          <w:tcPr>
            <w:tcW w:w="351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4160AB">
            <w:pPr>
              <w:spacing w:line="240" w:lineRule="auto"/>
              <w:contextualSpacing/>
              <w:rPr>
                <w:rFonts w:eastAsia="Arial" w:cs="Arial"/>
                <w:color w:val="000000"/>
                <w:sz w:val="16"/>
                <w:szCs w:val="16"/>
              </w:rPr>
            </w:pPr>
            <w:r>
              <w:rPr>
                <w:rFonts w:eastAsia="Arial" w:cs="Arial"/>
                <w:color w:val="000000"/>
                <w:sz w:val="16"/>
                <w:szCs w:val="16"/>
              </w:rPr>
              <w:t>Foreign exchange reserve</w:t>
            </w: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16"/>
                <w:szCs w:val="16"/>
              </w:rPr>
            </w:pPr>
          </w:p>
        </w:tc>
        <w:tc>
          <w:tcPr>
            <w:tcW w:w="885"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1,758</w:t>
            </w:r>
          </w:p>
        </w:tc>
      </w:tr>
      <w:tr w:rsidR="00130A6D">
        <w:trPr>
          <w:trHeight w:val="195"/>
        </w:trPr>
        <w:tc>
          <w:tcPr>
            <w:tcW w:w="351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AB695F" w:rsidRDefault="00AB695F">
            <w:pPr>
              <w:spacing w:line="240" w:lineRule="auto"/>
              <w:contextualSpacing/>
              <w:rPr>
                <w:rFonts w:eastAsia="Arial" w:cs="Arial"/>
                <w:color w:val="000000"/>
                <w:sz w:val="20"/>
                <w:szCs w:val="20"/>
              </w:rPr>
            </w:pPr>
          </w:p>
        </w:tc>
        <w:tc>
          <w:tcPr>
            <w:tcW w:w="960" w:type="dxa"/>
            <w:tcBorders>
              <w:bottom w:val="single" w:sz="6" w:space="0" w:color="000000"/>
            </w:tcBorders>
            <w:shd w:val="clear" w:color="auto" w:fill="F4F0E8"/>
            <w:noWrap/>
            <w:tcMar>
              <w:top w:w="0" w:type="dxa"/>
              <w:left w:w="5" w:type="dxa"/>
              <w:bottom w:w="0" w:type="dxa"/>
              <w:right w:w="5" w:type="dxa"/>
            </w:tcMar>
            <w:vAlign w:val="bottom"/>
            <w:hideMark/>
          </w:tcPr>
          <w:p w:rsidR="00AB695F"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12,903</w:t>
            </w:r>
          </w:p>
        </w:tc>
      </w:tr>
    </w:tbl>
    <w:p w:rsidR="00AA3CB6" w:rsidRDefault="00AA3CB6" w:rsidP="00AA3CB6">
      <w:pPr>
        <w:rPr>
          <w:szCs w:val="14"/>
        </w:rPr>
      </w:pPr>
    </w:p>
    <w:p w:rsidR="00AA3CB6" w:rsidRPr="00AA3CB6" w:rsidRDefault="004160AB" w:rsidP="00AA3CB6">
      <w:pPr>
        <w:rPr>
          <w:sz w:val="14"/>
          <w:szCs w:val="14"/>
        </w:rPr>
      </w:pPr>
      <w:r w:rsidRPr="00AA3CB6">
        <w:rPr>
          <w:sz w:val="14"/>
          <w:szCs w:val="14"/>
        </w:rPr>
        <w:t>Note:</w:t>
      </w:r>
    </w:p>
    <w:p w:rsidR="00AA3CB6" w:rsidRPr="008E0FAA" w:rsidRDefault="004160AB" w:rsidP="00AA3CB6">
      <w:pPr>
        <w:pStyle w:val="ListParagraph0"/>
        <w:numPr>
          <w:ilvl w:val="0"/>
          <w:numId w:val="17"/>
        </w:numPr>
        <w:spacing w:after="200"/>
        <w:ind w:left="284" w:hanging="284"/>
        <w:rPr>
          <w:sz w:val="14"/>
          <w:szCs w:val="14"/>
        </w:rPr>
      </w:pPr>
      <w:r w:rsidRPr="008E0FAA">
        <w:rPr>
          <w:sz w:val="14"/>
          <w:szCs w:val="14"/>
        </w:rPr>
        <w:t>The gain includes a reclassification from Other comprehensive income to Retained earnings following conversion of Visa B and C preference shares to Visa Class A shares in September 2020. There has been a corresponding adjustment to the conversion ratio of the Visa B and C preference shares.</w:t>
      </w:r>
    </w:p>
    <w:p w:rsidR="00F57394" w:rsidRDefault="004160AB" w:rsidP="00861335">
      <w:pPr>
        <w:spacing w:after="200"/>
        <w:sectPr w:rsidR="00F57394" w:rsidSect="00F57394">
          <w:headerReference w:type="even" r:id="rId52"/>
          <w:headerReference w:type="default" r:id="rId53"/>
          <w:footerReference w:type="even" r:id="rId54"/>
          <w:footerReference w:type="default" r:id="rId55"/>
          <w:headerReference w:type="first" r:id="rId56"/>
          <w:footerReference w:type="first" r:id="rId57"/>
          <w:type w:val="continuous"/>
          <w:pgSz w:w="11906" w:h="16838"/>
          <w:pgMar w:top="1134" w:right="851" w:bottom="680" w:left="851" w:header="708" w:footer="708" w:gutter="0"/>
          <w:cols w:space="708"/>
          <w:docGrid w:linePitch="360"/>
        </w:sectPr>
      </w:pPr>
      <w:r>
        <w:br w:type="page"/>
      </w:r>
    </w:p>
    <w:p w:rsidR="00360443" w:rsidRPr="0022629F" w:rsidRDefault="004160AB" w:rsidP="005D67D1">
      <w:pPr>
        <w:pStyle w:val="GCAHeaderUnderline"/>
        <w:pBdr>
          <w:bottom w:val="none" w:sz="0" w:space="0" w:color="auto"/>
        </w:pBdr>
        <w:tabs>
          <w:tab w:val="left" w:pos="1440"/>
        </w:tabs>
        <w:spacing w:line="269" w:lineRule="auto"/>
        <w:jc w:val="both"/>
        <w:outlineLvl w:val="0"/>
        <w:rPr>
          <w:color w:val="42145F"/>
          <w:sz w:val="18"/>
          <w:szCs w:val="18"/>
        </w:rPr>
      </w:pPr>
      <w:bookmarkStart w:id="21" w:name="Notes_to_accounts"/>
      <w:r w:rsidRPr="0022629F">
        <w:rPr>
          <w:color w:val="42145F"/>
          <w:sz w:val="18"/>
          <w:szCs w:val="18"/>
        </w:rPr>
        <w:lastRenderedPageBreak/>
        <w:t>Notes</w:t>
      </w:r>
      <w:bookmarkEnd w:id="21"/>
    </w:p>
    <w:p w:rsidR="00360443" w:rsidRPr="0022629F" w:rsidRDefault="004160AB" w:rsidP="005D67D1">
      <w:pPr>
        <w:pStyle w:val="Normal00"/>
        <w:spacing w:line="269" w:lineRule="auto"/>
        <w:jc w:val="both"/>
        <w:rPr>
          <w:rFonts w:ascii="Arial" w:hAnsi="Arial" w:cs="Arial"/>
          <w:color w:val="42145F"/>
          <w:sz w:val="18"/>
          <w:szCs w:val="18"/>
        </w:rPr>
      </w:pPr>
      <w:r w:rsidRPr="0022629F">
        <w:rPr>
          <w:rFonts w:ascii="Arial" w:hAnsi="Arial" w:cs="Arial"/>
          <w:b/>
          <w:color w:val="42145F"/>
          <w:sz w:val="18"/>
          <w:szCs w:val="18"/>
        </w:rPr>
        <w:t xml:space="preserve">1. Basis of preparation </w:t>
      </w:r>
    </w:p>
    <w:p w:rsidR="00265C6A" w:rsidRPr="0022629F" w:rsidRDefault="004160AB" w:rsidP="00265C6A">
      <w:pPr>
        <w:pStyle w:val="Normal00"/>
        <w:spacing w:line="269" w:lineRule="auto"/>
        <w:rPr>
          <w:rFonts w:ascii="Arial" w:eastAsia="SimSun" w:hAnsi="Arial" w:cs="Arial"/>
          <w:sz w:val="18"/>
          <w:szCs w:val="18"/>
        </w:rPr>
      </w:pPr>
      <w:r w:rsidRPr="0022629F">
        <w:rPr>
          <w:rFonts w:ascii="Arial" w:eastAsia="SimSun" w:hAnsi="Arial" w:cs="Arial"/>
          <w:sz w:val="18"/>
          <w:szCs w:val="18"/>
        </w:rPr>
        <w:t>The condensed consolidated financial statements should be read in conjunction with NatWest Group plc’s (formerly The Royal Bank of Scotland Group plc) 2019 Annual Report and Accounts which were prepared in accordance with International Financial Reporting Standards issued by the International Accounting Standards Board (IASB) and interpretations issued by the IFRS Interpretations Committee of the IASB as adopted by the European Union (EU) (together IFRS).</w:t>
      </w:r>
    </w:p>
    <w:p w:rsidR="00265C6A" w:rsidRPr="0022629F" w:rsidRDefault="00265C6A" w:rsidP="00265C6A">
      <w:pPr>
        <w:pStyle w:val="Normal00"/>
        <w:autoSpaceDE w:val="0"/>
        <w:autoSpaceDN w:val="0"/>
        <w:adjustRightInd w:val="0"/>
        <w:spacing w:line="269" w:lineRule="auto"/>
        <w:rPr>
          <w:rFonts w:ascii="Arial" w:hAnsi="Arial" w:cs="Arial"/>
          <w:color w:val="003365"/>
          <w:sz w:val="18"/>
          <w:szCs w:val="18"/>
        </w:rPr>
      </w:pPr>
    </w:p>
    <w:p w:rsidR="00265C6A" w:rsidRPr="0022629F" w:rsidRDefault="004160AB" w:rsidP="00265C6A">
      <w:pPr>
        <w:pStyle w:val="Normal00"/>
        <w:autoSpaceDE w:val="0"/>
        <w:autoSpaceDN w:val="0"/>
        <w:adjustRightInd w:val="0"/>
        <w:spacing w:line="269" w:lineRule="auto"/>
        <w:rPr>
          <w:rFonts w:ascii="Arial" w:hAnsi="Arial" w:cs="Arial"/>
          <w:color w:val="5E10B1"/>
          <w:sz w:val="18"/>
          <w:szCs w:val="18"/>
        </w:rPr>
      </w:pPr>
      <w:r w:rsidRPr="0022629F">
        <w:rPr>
          <w:rFonts w:ascii="Arial" w:hAnsi="Arial" w:cs="Arial"/>
          <w:color w:val="5E10B1"/>
          <w:sz w:val="18"/>
          <w:szCs w:val="18"/>
        </w:rPr>
        <w:t>Going concern</w:t>
      </w:r>
    </w:p>
    <w:p w:rsidR="00265C6A" w:rsidRPr="0022629F" w:rsidRDefault="004160AB" w:rsidP="00265C6A">
      <w:pPr>
        <w:pStyle w:val="Normal00"/>
        <w:spacing w:line="269" w:lineRule="auto"/>
        <w:rPr>
          <w:rFonts w:ascii="Arial" w:eastAsia="SimSun" w:hAnsi="Arial" w:cs="Arial"/>
          <w:sz w:val="18"/>
          <w:szCs w:val="18"/>
        </w:rPr>
      </w:pPr>
      <w:r w:rsidRPr="0022629F">
        <w:rPr>
          <w:rFonts w:ascii="Arial" w:eastAsia="SimSun" w:hAnsi="Arial" w:cs="Arial"/>
          <w:sz w:val="18"/>
          <w:szCs w:val="18"/>
        </w:rPr>
        <w:t>Having reviewed NatWest Group’s forecasts, projections, the potential impact of Covid-19, and other relevant evidence, the directors have a reasonable expectation that NatWest Group will continue in operational existence for the foreseeable future. Accordingly, the results for the period ended 30 September 2020 have been prepared on a going concern basis.</w:t>
      </w:r>
    </w:p>
    <w:p w:rsidR="00360443" w:rsidRPr="0022629F" w:rsidRDefault="00360443" w:rsidP="005D67D1">
      <w:pPr>
        <w:spacing w:line="269" w:lineRule="auto"/>
        <w:rPr>
          <w:szCs w:val="18"/>
        </w:rPr>
      </w:pPr>
    </w:p>
    <w:p w:rsidR="00360443" w:rsidRPr="0022629F" w:rsidRDefault="00276628" w:rsidP="005D67D1">
      <w:pPr>
        <w:pStyle w:val="Normal00"/>
        <w:spacing w:line="269" w:lineRule="auto"/>
        <w:jc w:val="both"/>
        <w:rPr>
          <w:rFonts w:ascii="Arial" w:hAnsi="Arial" w:cs="Arial"/>
          <w:b/>
          <w:color w:val="42145F"/>
          <w:sz w:val="18"/>
          <w:szCs w:val="18"/>
        </w:rPr>
      </w:pPr>
      <w:r>
        <w:rPr>
          <w:rFonts w:ascii="Arial" w:hAnsi="Arial" w:cs="Arial"/>
          <w:b/>
          <w:color w:val="42145F"/>
          <w:sz w:val="18"/>
          <w:szCs w:val="18"/>
        </w:rPr>
        <w:t xml:space="preserve">2. Accounting policies </w:t>
      </w:r>
    </w:p>
    <w:p w:rsidR="00265C6A" w:rsidRPr="0022629F" w:rsidRDefault="004160AB" w:rsidP="00265C6A">
      <w:pPr>
        <w:autoSpaceDE w:val="0"/>
        <w:autoSpaceDN w:val="0"/>
        <w:adjustRightInd w:val="0"/>
        <w:spacing w:line="269" w:lineRule="auto"/>
        <w:rPr>
          <w:rFonts w:cs="Arial"/>
          <w:color w:val="000000"/>
          <w:szCs w:val="18"/>
        </w:rPr>
      </w:pPr>
      <w:r w:rsidRPr="0022629F">
        <w:rPr>
          <w:rFonts w:cs="Arial"/>
          <w:color w:val="000000"/>
          <w:szCs w:val="18"/>
        </w:rPr>
        <w:t>NatWest Group’s principal accounting policies are as set out on pages 208 to 212 of the NatWest Group plc’s 2019 Annual Report and Accounts and are unchanged other than as presented below.</w:t>
      </w:r>
    </w:p>
    <w:p w:rsidR="00265C6A" w:rsidRPr="0022629F" w:rsidRDefault="00265C6A" w:rsidP="00265C6A">
      <w:pPr>
        <w:autoSpaceDE w:val="0"/>
        <w:autoSpaceDN w:val="0"/>
        <w:adjustRightInd w:val="0"/>
        <w:spacing w:line="269" w:lineRule="auto"/>
        <w:rPr>
          <w:rFonts w:cs="Arial"/>
          <w:color w:val="0A2F64"/>
          <w:szCs w:val="18"/>
        </w:rPr>
      </w:pPr>
    </w:p>
    <w:p w:rsidR="00265C6A" w:rsidRPr="0022629F" w:rsidRDefault="004160AB" w:rsidP="00265C6A">
      <w:pPr>
        <w:autoSpaceDE w:val="0"/>
        <w:autoSpaceDN w:val="0"/>
        <w:adjustRightInd w:val="0"/>
        <w:spacing w:line="269" w:lineRule="auto"/>
        <w:rPr>
          <w:rFonts w:cs="Arial"/>
          <w:b/>
          <w:color w:val="5E10B1"/>
          <w:szCs w:val="18"/>
        </w:rPr>
      </w:pPr>
      <w:r w:rsidRPr="0022629F">
        <w:rPr>
          <w:rFonts w:cs="Arial"/>
          <w:b/>
          <w:color w:val="5E10B1"/>
          <w:szCs w:val="18"/>
        </w:rPr>
        <w:t>Accounting policy changes effective 1 January 2020</w:t>
      </w:r>
    </w:p>
    <w:p w:rsidR="00265C6A" w:rsidRPr="0022629F" w:rsidRDefault="004160AB" w:rsidP="00265C6A">
      <w:pPr>
        <w:autoSpaceDE w:val="0"/>
        <w:autoSpaceDN w:val="0"/>
        <w:adjustRightInd w:val="0"/>
        <w:spacing w:line="269" w:lineRule="auto"/>
        <w:rPr>
          <w:rFonts w:cs="Arial"/>
          <w:color w:val="5E10B1"/>
          <w:szCs w:val="18"/>
        </w:rPr>
      </w:pPr>
      <w:r w:rsidRPr="0022629F">
        <w:rPr>
          <w:rFonts w:cs="Arial"/>
          <w:color w:val="5E10B1"/>
          <w:szCs w:val="18"/>
        </w:rPr>
        <w:t>Amendments to IFRS 3 Business Combinations (IFRS 3) - Changes to the definition of a business</w:t>
      </w:r>
    </w:p>
    <w:p w:rsidR="00265C6A" w:rsidRPr="0022629F" w:rsidRDefault="004160AB" w:rsidP="00265C6A">
      <w:pPr>
        <w:autoSpaceDE w:val="0"/>
        <w:autoSpaceDN w:val="0"/>
        <w:adjustRightInd w:val="0"/>
        <w:spacing w:line="269" w:lineRule="auto"/>
        <w:rPr>
          <w:rFonts w:cs="Arial"/>
          <w:color w:val="000000"/>
          <w:szCs w:val="18"/>
        </w:rPr>
      </w:pPr>
      <w:r w:rsidRPr="0022629F">
        <w:rPr>
          <w:rFonts w:cs="Arial"/>
          <w:color w:val="000000"/>
          <w:szCs w:val="18"/>
        </w:rPr>
        <w:t>The IASB amended IFRS 3 to provide additional guidance on the definition of a business. The amendment aims to help entities when determining whether a transaction should be accounted for as a business combination or as an asset acquisition. The amendments are in line with current accounting policy and therefore did not affect the financial statements.</w:t>
      </w:r>
    </w:p>
    <w:p w:rsidR="00265C6A" w:rsidRPr="0022629F" w:rsidRDefault="00265C6A" w:rsidP="00265C6A">
      <w:pPr>
        <w:autoSpaceDE w:val="0"/>
        <w:autoSpaceDN w:val="0"/>
        <w:adjustRightInd w:val="0"/>
        <w:spacing w:line="269" w:lineRule="auto"/>
        <w:rPr>
          <w:rFonts w:cs="Arial"/>
          <w:color w:val="000000"/>
          <w:szCs w:val="18"/>
        </w:rPr>
      </w:pPr>
    </w:p>
    <w:p w:rsidR="00265C6A" w:rsidRPr="0022629F" w:rsidRDefault="004160AB" w:rsidP="00265C6A">
      <w:pPr>
        <w:autoSpaceDE w:val="0"/>
        <w:autoSpaceDN w:val="0"/>
        <w:adjustRightInd w:val="0"/>
        <w:spacing w:line="269" w:lineRule="auto"/>
        <w:rPr>
          <w:rFonts w:cs="Arial"/>
          <w:color w:val="5E10B1"/>
          <w:szCs w:val="18"/>
        </w:rPr>
      </w:pPr>
      <w:r w:rsidRPr="0022629F">
        <w:rPr>
          <w:rFonts w:cs="Arial"/>
          <w:color w:val="5E10B1"/>
          <w:szCs w:val="18"/>
        </w:rPr>
        <w:t>Definition of material – Amendments to IAS 1 – Presentation of Financial Statements (IAS 1) and IAS 8 -</w:t>
      </w:r>
    </w:p>
    <w:p w:rsidR="00265C6A" w:rsidRPr="0022629F" w:rsidRDefault="004160AB" w:rsidP="00265C6A">
      <w:pPr>
        <w:autoSpaceDE w:val="0"/>
        <w:autoSpaceDN w:val="0"/>
        <w:adjustRightInd w:val="0"/>
        <w:spacing w:line="269" w:lineRule="auto"/>
        <w:rPr>
          <w:rFonts w:cs="Arial"/>
          <w:color w:val="5E10B1"/>
          <w:szCs w:val="18"/>
        </w:rPr>
      </w:pPr>
      <w:r w:rsidRPr="0022629F">
        <w:rPr>
          <w:rFonts w:cs="Arial"/>
          <w:color w:val="5E10B1"/>
          <w:szCs w:val="18"/>
        </w:rPr>
        <w:t>Accounting Policies, Changes in Accounting Estimates and Errors (IAS 8)</w:t>
      </w:r>
    </w:p>
    <w:p w:rsidR="00265C6A" w:rsidRPr="0022629F" w:rsidRDefault="004160AB" w:rsidP="00265C6A">
      <w:pPr>
        <w:autoSpaceDE w:val="0"/>
        <w:autoSpaceDN w:val="0"/>
        <w:adjustRightInd w:val="0"/>
        <w:spacing w:line="269" w:lineRule="auto"/>
        <w:rPr>
          <w:rFonts w:cs="Arial"/>
          <w:color w:val="000000"/>
          <w:szCs w:val="18"/>
        </w:rPr>
      </w:pPr>
      <w:r w:rsidRPr="0022629F">
        <w:rPr>
          <w:rFonts w:cs="Arial"/>
          <w:color w:val="000000"/>
          <w:szCs w:val="18"/>
        </w:rPr>
        <w:t>The IASB clarified the definition of ‘material’ and aligned the definition of material used in the Conceptual Framework and in other IFRS standards. The amendments clarify that materiality will depend on the nature or magnitude of information. Under the amended definition of materiality, an entity will need to assess whether the information, either individually or in combination with other information, is material in the context of the financial statements. A misstatement of information is material if it could reasonably be expected to influence decisions made by the primary users. NatWest Group’s definition and application of materiality is in line with the definition in the amendments.</w:t>
      </w:r>
    </w:p>
    <w:p w:rsidR="00265C6A" w:rsidRPr="0022629F" w:rsidRDefault="00265C6A" w:rsidP="00265C6A">
      <w:pPr>
        <w:autoSpaceDE w:val="0"/>
        <w:autoSpaceDN w:val="0"/>
        <w:adjustRightInd w:val="0"/>
        <w:spacing w:line="269" w:lineRule="auto"/>
        <w:rPr>
          <w:rFonts w:cs="Arial"/>
          <w:color w:val="0A2F64"/>
          <w:szCs w:val="18"/>
        </w:rPr>
      </w:pPr>
    </w:p>
    <w:p w:rsidR="00265C6A" w:rsidRPr="0022629F" w:rsidRDefault="004160AB" w:rsidP="00265C6A">
      <w:pPr>
        <w:autoSpaceDE w:val="0"/>
        <w:autoSpaceDN w:val="0"/>
        <w:adjustRightInd w:val="0"/>
        <w:spacing w:line="269" w:lineRule="auto"/>
        <w:rPr>
          <w:rFonts w:cs="Arial"/>
          <w:color w:val="5E10B1"/>
          <w:szCs w:val="18"/>
        </w:rPr>
      </w:pPr>
      <w:bookmarkStart w:id="22" w:name="_Hlk52459775"/>
      <w:bookmarkStart w:id="23" w:name="_Hlk52782238"/>
      <w:bookmarkStart w:id="24" w:name="_Hlk45101443"/>
      <w:r w:rsidRPr="0022629F">
        <w:rPr>
          <w:rFonts w:cs="Arial"/>
          <w:color w:val="5E10B1"/>
          <w:szCs w:val="18"/>
        </w:rPr>
        <w:t>Interest Rate Benchmark Reform (IBOR reform) Phase 1 amendments to IFRS 9 and IAS 39</w:t>
      </w:r>
    </w:p>
    <w:p w:rsidR="00265C6A" w:rsidRPr="0022629F" w:rsidRDefault="004160AB" w:rsidP="00265C6A">
      <w:pPr>
        <w:autoSpaceDE w:val="0"/>
        <w:autoSpaceDN w:val="0"/>
        <w:adjustRightInd w:val="0"/>
        <w:spacing w:line="269" w:lineRule="auto"/>
        <w:rPr>
          <w:rFonts w:cs="Arial"/>
          <w:szCs w:val="18"/>
        </w:rPr>
      </w:pPr>
      <w:bookmarkStart w:id="25" w:name="_Hlk45116444"/>
      <w:bookmarkEnd w:id="22"/>
      <w:r w:rsidRPr="0022629F">
        <w:rPr>
          <w:rFonts w:cs="Arial"/>
          <w:szCs w:val="18"/>
        </w:rPr>
        <w:t>The IASB issued 'Interest Rate Benchmark Reform (Amendments to IFRS 9, IAS 39 and IFRS 7)' as a first reaction to the potential effects the IBOR reform could have on financial reporting. The amendments focused on hedge accounting and allow hedge relationships affected by the IBOR reform to be accounted for as continuing hedges. Amendments are effective for annual reporting periods beginning on or after 1 January 2020 with early application permitted. NatWest Group early adopted these amendments for the annual period ending on 31 December 2019.</w:t>
      </w:r>
    </w:p>
    <w:p w:rsidR="00265C6A" w:rsidRPr="00265C6A" w:rsidRDefault="00265C6A" w:rsidP="00265C6A">
      <w:pPr>
        <w:autoSpaceDE w:val="0"/>
        <w:autoSpaceDN w:val="0"/>
        <w:adjustRightInd w:val="0"/>
        <w:spacing w:line="269" w:lineRule="auto"/>
        <w:rPr>
          <w:rFonts w:cs="Arial"/>
          <w:color w:val="5E10B1"/>
          <w:szCs w:val="18"/>
        </w:rPr>
      </w:pPr>
    </w:p>
    <w:bookmarkEnd w:id="23"/>
    <w:p w:rsidR="006A0FA9" w:rsidRPr="00265C6A" w:rsidRDefault="004160AB" w:rsidP="006A0FA9">
      <w:pPr>
        <w:autoSpaceDE w:val="0"/>
        <w:autoSpaceDN w:val="0"/>
        <w:adjustRightInd w:val="0"/>
        <w:spacing w:line="269" w:lineRule="auto"/>
        <w:rPr>
          <w:rFonts w:cs="Arial"/>
          <w:color w:val="5E10B1"/>
          <w:szCs w:val="18"/>
        </w:rPr>
      </w:pPr>
      <w:r w:rsidRPr="00265C6A">
        <w:rPr>
          <w:rFonts w:cs="Arial"/>
          <w:color w:val="5E10B1"/>
          <w:szCs w:val="18"/>
        </w:rPr>
        <w:t>Interest Rate Benchmark Reform (IBOR reform) Phase 2 amendments to IFRS 9, IAS 39, IFRS 7, IFRS 4 and IFRS 16</w:t>
      </w:r>
    </w:p>
    <w:p w:rsidR="006A0FA9" w:rsidRPr="0022629F" w:rsidRDefault="004160AB" w:rsidP="006A0FA9">
      <w:pPr>
        <w:autoSpaceDE w:val="0"/>
        <w:autoSpaceDN w:val="0"/>
        <w:adjustRightInd w:val="0"/>
        <w:spacing w:line="269" w:lineRule="auto"/>
        <w:rPr>
          <w:rFonts w:cs="Arial"/>
          <w:szCs w:val="18"/>
        </w:rPr>
      </w:pPr>
      <w:r w:rsidRPr="0022629F">
        <w:rPr>
          <w:rFonts w:cs="Arial"/>
          <w:szCs w:val="18"/>
        </w:rPr>
        <w:t xml:space="preserve">Phase 2 of the IASB’s IBOR project addresses the wider accounting issues arising from the IBOR reform. This was published in August 2020 and is awaiting endorsement. The amendments are effective for annual reporting periods beginning on or after 1 January 2021 with early application permitted. NatWest Group intends to early adopt Phase 2 of the standard once endorsed. NatWest Group’s IBOR transition program remains on-track and key milestones have been met. Conversion from LIBOR to alternative risk-free rates (RFRs) is expected to increase as RFR-based products become more widely available and key market-driven conversion events occur. </w:t>
      </w:r>
    </w:p>
    <w:p w:rsidR="00265C6A" w:rsidRPr="0022629F" w:rsidRDefault="00265C6A" w:rsidP="00265C6A">
      <w:pPr>
        <w:autoSpaceDE w:val="0"/>
        <w:autoSpaceDN w:val="0"/>
        <w:adjustRightInd w:val="0"/>
        <w:spacing w:line="269" w:lineRule="auto"/>
        <w:jc w:val="both"/>
        <w:rPr>
          <w:rFonts w:cs="Arial"/>
          <w:szCs w:val="18"/>
        </w:rPr>
      </w:pPr>
    </w:p>
    <w:bookmarkEnd w:id="24"/>
    <w:bookmarkEnd w:id="25"/>
    <w:p w:rsidR="00265C6A" w:rsidRPr="0022629F" w:rsidRDefault="004160AB" w:rsidP="00265C6A">
      <w:pPr>
        <w:autoSpaceDE w:val="0"/>
        <w:autoSpaceDN w:val="0"/>
        <w:adjustRightInd w:val="0"/>
        <w:spacing w:line="269" w:lineRule="auto"/>
        <w:rPr>
          <w:rFonts w:cs="Arial"/>
          <w:b/>
          <w:color w:val="5E10B1"/>
          <w:szCs w:val="18"/>
        </w:rPr>
      </w:pPr>
      <w:r w:rsidRPr="0022629F">
        <w:rPr>
          <w:rFonts w:cs="Arial"/>
          <w:b/>
          <w:color w:val="5E10B1"/>
          <w:szCs w:val="18"/>
        </w:rPr>
        <w:t>Amendment to IFRS effective 1 June 2020</w:t>
      </w:r>
    </w:p>
    <w:p w:rsidR="00265C6A" w:rsidRPr="0022629F" w:rsidRDefault="004160AB" w:rsidP="00265C6A">
      <w:pPr>
        <w:autoSpaceDE w:val="0"/>
        <w:autoSpaceDN w:val="0"/>
        <w:adjustRightInd w:val="0"/>
        <w:spacing w:line="269" w:lineRule="auto"/>
        <w:rPr>
          <w:rFonts w:cs="Arial"/>
          <w:color w:val="5E10B1"/>
          <w:szCs w:val="18"/>
        </w:rPr>
      </w:pPr>
      <w:r w:rsidRPr="0022629F">
        <w:rPr>
          <w:rFonts w:cs="Arial"/>
          <w:color w:val="5E10B1"/>
          <w:szCs w:val="18"/>
        </w:rPr>
        <w:t xml:space="preserve">Covid-19 amendments on lease modifications – Amendments to IFRS 16 – Leases (IFRS 16) </w:t>
      </w:r>
    </w:p>
    <w:p w:rsidR="00265C6A" w:rsidRPr="0022629F" w:rsidRDefault="004160AB" w:rsidP="00265C6A">
      <w:pPr>
        <w:autoSpaceDE w:val="0"/>
        <w:autoSpaceDN w:val="0"/>
        <w:adjustRightInd w:val="0"/>
        <w:spacing w:line="269" w:lineRule="auto"/>
        <w:rPr>
          <w:rFonts w:cs="Arial"/>
          <w:szCs w:val="18"/>
        </w:rPr>
      </w:pPr>
      <w:r w:rsidRPr="0022629F">
        <w:rPr>
          <w:rFonts w:cs="Arial"/>
          <w:szCs w:val="18"/>
        </w:rPr>
        <w:t>The IASB published 'amendments to IFRS 16 covering Covid-19-Related Rent Concessions’. These provide lessees with an exemption from assessing whether a Covid-19 related rent concession is a lease modification. The amendment is effective for annual reporting periods beginning on or after 1 June 2020. The effect of the amendment on NatWest Group’s financial statements is immaterial and will be adopted from 1 January 2021.</w:t>
      </w:r>
    </w:p>
    <w:p w:rsidR="00265C6A" w:rsidRPr="0022629F" w:rsidRDefault="00265C6A" w:rsidP="00265C6A">
      <w:pPr>
        <w:autoSpaceDE w:val="0"/>
        <w:autoSpaceDN w:val="0"/>
        <w:adjustRightInd w:val="0"/>
        <w:spacing w:line="269" w:lineRule="auto"/>
        <w:rPr>
          <w:rFonts w:cs="Arial"/>
          <w:color w:val="0A2F64"/>
          <w:szCs w:val="18"/>
        </w:rPr>
      </w:pPr>
    </w:p>
    <w:p w:rsidR="00265C6A" w:rsidRPr="0022629F" w:rsidRDefault="004160AB" w:rsidP="00265C6A">
      <w:pPr>
        <w:autoSpaceDE w:val="0"/>
        <w:autoSpaceDN w:val="0"/>
        <w:adjustRightInd w:val="0"/>
        <w:spacing w:line="269" w:lineRule="auto"/>
        <w:rPr>
          <w:rFonts w:cs="Arial"/>
          <w:color w:val="5E10B1"/>
          <w:szCs w:val="18"/>
        </w:rPr>
      </w:pPr>
      <w:r w:rsidRPr="0022629F">
        <w:rPr>
          <w:rFonts w:cs="Arial"/>
          <w:color w:val="5E10B1"/>
          <w:szCs w:val="18"/>
        </w:rPr>
        <w:t>Critical accounting policies and key sources of estimation uncertainty</w:t>
      </w:r>
    </w:p>
    <w:p w:rsidR="00265C6A" w:rsidRPr="0022629F" w:rsidRDefault="004160AB" w:rsidP="00265C6A">
      <w:pPr>
        <w:autoSpaceDE w:val="0"/>
        <w:autoSpaceDN w:val="0"/>
        <w:adjustRightInd w:val="0"/>
        <w:spacing w:line="269" w:lineRule="auto"/>
        <w:rPr>
          <w:rFonts w:cs="Arial"/>
          <w:color w:val="000000"/>
          <w:szCs w:val="18"/>
        </w:rPr>
      </w:pPr>
      <w:r w:rsidRPr="0022629F">
        <w:rPr>
          <w:rFonts w:cs="Arial"/>
          <w:color w:val="000000"/>
          <w:szCs w:val="18"/>
        </w:rPr>
        <w:t xml:space="preserve">The judgements and assumptions that </w:t>
      </w:r>
      <w:proofErr w:type="gramStart"/>
      <w:r w:rsidRPr="0022629F">
        <w:rPr>
          <w:rFonts w:cs="Arial"/>
          <w:color w:val="000000"/>
          <w:szCs w:val="18"/>
        </w:rPr>
        <w:t>are considered to be</w:t>
      </w:r>
      <w:proofErr w:type="gramEnd"/>
      <w:r w:rsidRPr="0022629F">
        <w:rPr>
          <w:rFonts w:cs="Arial"/>
          <w:color w:val="000000"/>
          <w:szCs w:val="18"/>
        </w:rPr>
        <w:t xml:space="preserve"> the most important to the portrayal of NatWest Group’s financial condition are those relating to goodwill, provisions for liabilities and charges, deferred tax, loan impairment provisions and fair value of financial instruments. These critical accounting policies and judgements are described on page 212 of the NatWest Group plc’s 2019 Annual Report and Accounts</w:t>
      </w:r>
      <w:bookmarkStart w:id="26" w:name="_Hlk52782430"/>
      <w:r w:rsidRPr="0022629F">
        <w:rPr>
          <w:rFonts w:cs="Arial"/>
          <w:color w:val="000000"/>
          <w:szCs w:val="18"/>
        </w:rPr>
        <w:t>. Estimation uncertainty has been af</w:t>
      </w:r>
      <w:bookmarkStart w:id="27" w:name="_Hlk45102509"/>
      <w:r w:rsidRPr="0022629F">
        <w:rPr>
          <w:rFonts w:cs="Arial"/>
          <w:color w:val="000000"/>
          <w:szCs w:val="18"/>
        </w:rPr>
        <w:t>fected by the Covid-19 pandemic</w:t>
      </w:r>
      <w:bookmarkStart w:id="28" w:name="_Hlk45102561"/>
      <w:bookmarkEnd w:id="27"/>
      <w:r>
        <w:rPr>
          <w:rFonts w:cs="Arial"/>
          <w:color w:val="000000"/>
          <w:szCs w:val="18"/>
        </w:rPr>
        <w:t xml:space="preserve"> during the first three quarters of 2020. Management’s consideration of this source of uncertainty is outlined in the relevant sections of this Interim Management Statement, including the ECL estimate for the period in the Capital and Risk Management section contained in the NatWest Group Interim Results 2020</w:t>
      </w:r>
      <w:bookmarkEnd w:id="28"/>
      <w:r>
        <w:rPr>
          <w:rFonts w:cs="Arial"/>
          <w:color w:val="000000"/>
          <w:szCs w:val="18"/>
        </w:rPr>
        <w:t>.</w:t>
      </w:r>
    </w:p>
    <w:bookmarkEnd w:id="26"/>
    <w:p w:rsidR="00265C6A" w:rsidRPr="0022629F" w:rsidRDefault="00265C6A" w:rsidP="00265C6A">
      <w:pPr>
        <w:autoSpaceDE w:val="0"/>
        <w:autoSpaceDN w:val="0"/>
        <w:adjustRightInd w:val="0"/>
        <w:spacing w:line="269" w:lineRule="auto"/>
        <w:rPr>
          <w:rFonts w:cs="Arial"/>
          <w:b/>
          <w:bCs/>
          <w:color w:val="42145F"/>
          <w:szCs w:val="18"/>
        </w:rPr>
      </w:pPr>
    </w:p>
    <w:p w:rsidR="00265C6A" w:rsidRDefault="004160AB">
      <w:pPr>
        <w:spacing w:after="200"/>
        <w:rPr>
          <w:rFonts w:eastAsia="SimSun"/>
          <w:b/>
          <w:color w:val="42145F"/>
          <w:szCs w:val="18"/>
        </w:rPr>
      </w:pPr>
      <w:r>
        <w:rPr>
          <w:rFonts w:eastAsia="SimSun"/>
          <w:b/>
          <w:color w:val="42145F"/>
          <w:szCs w:val="18"/>
        </w:rPr>
        <w:br w:type="page"/>
      </w:r>
    </w:p>
    <w:p w:rsidR="00954F9D" w:rsidRDefault="004160AB" w:rsidP="00265C6A">
      <w:pPr>
        <w:autoSpaceDE w:val="0"/>
        <w:autoSpaceDN w:val="0"/>
        <w:adjustRightInd w:val="0"/>
        <w:spacing w:line="269" w:lineRule="auto"/>
        <w:rPr>
          <w:rFonts w:eastAsia="SimSun"/>
          <w:b/>
          <w:color w:val="42145F"/>
          <w:szCs w:val="18"/>
        </w:rPr>
      </w:pPr>
      <w:r>
        <w:rPr>
          <w:rFonts w:eastAsia="SimSun"/>
          <w:b/>
          <w:color w:val="42145F"/>
          <w:szCs w:val="18"/>
        </w:rPr>
        <w:lastRenderedPageBreak/>
        <w:t>Notes</w:t>
      </w:r>
    </w:p>
    <w:p w:rsidR="00265C6A" w:rsidRPr="0022629F" w:rsidRDefault="004160AB" w:rsidP="00265C6A">
      <w:pPr>
        <w:autoSpaceDE w:val="0"/>
        <w:autoSpaceDN w:val="0"/>
        <w:adjustRightInd w:val="0"/>
        <w:spacing w:line="269" w:lineRule="auto"/>
        <w:rPr>
          <w:rFonts w:cs="Arial"/>
          <w:color w:val="5E10B1"/>
          <w:szCs w:val="18"/>
        </w:rPr>
      </w:pPr>
      <w:r w:rsidRPr="0022629F">
        <w:rPr>
          <w:rFonts w:eastAsia="SimSun"/>
          <w:b/>
          <w:color w:val="42145F"/>
          <w:szCs w:val="18"/>
        </w:rPr>
        <w:t>2. Accounting policies</w:t>
      </w:r>
      <w:r>
        <w:rPr>
          <w:rFonts w:cs="Arial"/>
          <w:color w:val="5E10B1"/>
          <w:szCs w:val="18"/>
        </w:rPr>
        <w:t xml:space="preserve"> continued</w:t>
      </w:r>
    </w:p>
    <w:p w:rsidR="00265C6A" w:rsidRPr="0022629F" w:rsidRDefault="004160AB" w:rsidP="00265C6A">
      <w:pPr>
        <w:autoSpaceDE w:val="0"/>
        <w:autoSpaceDN w:val="0"/>
        <w:adjustRightInd w:val="0"/>
        <w:spacing w:line="269" w:lineRule="auto"/>
        <w:rPr>
          <w:rFonts w:cs="Arial"/>
          <w:color w:val="5E10B1"/>
          <w:szCs w:val="18"/>
        </w:rPr>
      </w:pPr>
      <w:r w:rsidRPr="0022629F">
        <w:rPr>
          <w:rFonts w:cs="Arial"/>
          <w:color w:val="5E10B1"/>
          <w:szCs w:val="18"/>
        </w:rPr>
        <w:t>Information used for significant estimates</w:t>
      </w:r>
    </w:p>
    <w:p w:rsidR="00265C6A" w:rsidRDefault="004160AB" w:rsidP="00265C6A">
      <w:pPr>
        <w:spacing w:line="269" w:lineRule="auto"/>
        <w:rPr>
          <w:rFonts w:cs="Arial"/>
          <w:color w:val="000000"/>
          <w:szCs w:val="18"/>
        </w:rPr>
      </w:pPr>
      <w:r w:rsidRPr="0022629F">
        <w:rPr>
          <w:rFonts w:cs="Arial"/>
          <w:color w:val="000000"/>
          <w:szCs w:val="18"/>
        </w:rPr>
        <w:t>The Covid-19 pandemic has continued to cause significant economic and social disruption during the quarter ended 30 September 2020. Key financial estimates are based on a range of anticipated future economic conditions described by internally developed scenarios.  Measurement of goodwill, deferred tax and expected credit losses are highly sensitive to reasonably possible changes in those anticipated conditions. Other reasonably possible assumptions about the future include a prolonged financial effect of the Covid-19 pandemic on the economy of the UK and other countries. Changes in judgements and assumptions could result in a material adjustment to those estimates in the next reporting periods, including impairment of goodwill (refer to the NatWest Group plc risk factors in the 2019 Annual Report and Accounts and the summary risk factors contained in the Q1 2020 IMS and the Interim Results 2020).</w:t>
      </w:r>
    </w:p>
    <w:p w:rsidR="00822BEA" w:rsidRDefault="00822BEA" w:rsidP="00265C6A">
      <w:pPr>
        <w:spacing w:line="269" w:lineRule="auto"/>
        <w:rPr>
          <w:rFonts w:cs="Arial"/>
          <w:color w:val="000000"/>
          <w:szCs w:val="18"/>
        </w:rPr>
      </w:pPr>
    </w:p>
    <w:p w:rsidR="000C1D59" w:rsidRPr="00822BEA" w:rsidRDefault="004160AB" w:rsidP="000C1D59">
      <w:pPr>
        <w:spacing w:line="269" w:lineRule="auto"/>
        <w:rPr>
          <w:rFonts w:cs="Arial"/>
          <w:color w:val="5E10B1"/>
          <w:szCs w:val="18"/>
        </w:rPr>
      </w:pPr>
      <w:r>
        <w:rPr>
          <w:rFonts w:cs="Arial"/>
          <w:color w:val="5E10B1"/>
          <w:szCs w:val="18"/>
        </w:rPr>
        <w:t>Goodwill</w:t>
      </w:r>
    </w:p>
    <w:p w:rsidR="000C1D59" w:rsidRDefault="004160AB" w:rsidP="000C1D59">
      <w:pPr>
        <w:spacing w:line="269" w:lineRule="auto"/>
        <w:rPr>
          <w:rFonts w:cs="Arial"/>
          <w:color w:val="000000"/>
          <w:szCs w:val="18"/>
        </w:rPr>
      </w:pPr>
      <w:r w:rsidRPr="0022629F">
        <w:rPr>
          <w:rFonts w:cs="Arial"/>
          <w:color w:val="000000"/>
          <w:szCs w:val="18"/>
        </w:rPr>
        <w:t>Goodwill remains recoverable: key assumptions and sensitivities around these assumptions are materially consistent with those disclosed in the NatWest Group Interim Results 2020.</w:t>
      </w:r>
    </w:p>
    <w:p w:rsidR="000C1D59" w:rsidRDefault="000C1D59" w:rsidP="00265C6A">
      <w:pPr>
        <w:spacing w:line="269" w:lineRule="auto"/>
        <w:rPr>
          <w:rFonts w:cs="Arial"/>
          <w:color w:val="000000"/>
          <w:szCs w:val="18"/>
        </w:rPr>
      </w:pPr>
    </w:p>
    <w:p w:rsidR="00822BEA" w:rsidRPr="00822BEA" w:rsidRDefault="004160AB" w:rsidP="00265C6A">
      <w:pPr>
        <w:spacing w:line="269" w:lineRule="auto"/>
        <w:rPr>
          <w:rFonts w:cs="Arial"/>
          <w:color w:val="5E10B1"/>
          <w:szCs w:val="18"/>
        </w:rPr>
      </w:pPr>
      <w:r>
        <w:rPr>
          <w:rFonts w:cs="Arial"/>
          <w:color w:val="5E10B1"/>
          <w:szCs w:val="18"/>
        </w:rPr>
        <w:t>Tax credit</w:t>
      </w:r>
    </w:p>
    <w:p w:rsidR="00265C6A" w:rsidRDefault="004160AB" w:rsidP="00265C6A">
      <w:pPr>
        <w:spacing w:line="269" w:lineRule="auto"/>
        <w:rPr>
          <w:rFonts w:cs="Arial"/>
          <w:color w:val="000000"/>
          <w:szCs w:val="18"/>
        </w:rPr>
      </w:pPr>
      <w:r w:rsidRPr="00822BEA">
        <w:rPr>
          <w:rFonts w:cs="Arial"/>
          <w:color w:val="000000"/>
          <w:szCs w:val="18"/>
        </w:rPr>
        <w:t>The lower than anticipated tax credit by applying the standard UK statutory tax rate of 19%, is attributable to a decrease in the carrying value of deferred tax assets in respect of losses, no recognition of deferred tax in the period in respect of some current year tax losses and the banking surcharge. This is offset to some extent by the UK Government decision to reverse the previously enacted reduction in the UK tax rate change. </w:t>
      </w:r>
    </w:p>
    <w:p w:rsidR="00265C6A" w:rsidRDefault="00265C6A" w:rsidP="00265C6A"/>
    <w:p w:rsidR="00E928DB" w:rsidRDefault="00E928DB" w:rsidP="00265C6A">
      <w:pPr>
        <w:sectPr w:rsidR="00E928DB" w:rsidSect="0021583F">
          <w:headerReference w:type="even" r:id="rId58"/>
          <w:headerReference w:type="default" r:id="rId59"/>
          <w:footerReference w:type="even" r:id="rId60"/>
          <w:footerReference w:type="default" r:id="rId61"/>
          <w:headerReference w:type="first" r:id="rId62"/>
          <w:footerReference w:type="first" r:id="rId63"/>
          <w:type w:val="continuous"/>
          <w:pgSz w:w="11906" w:h="16838"/>
          <w:pgMar w:top="1134" w:right="851" w:bottom="680" w:left="851" w:header="708" w:footer="708" w:gutter="0"/>
          <w:cols w:space="708"/>
          <w:docGrid w:linePitch="360"/>
        </w:sectPr>
      </w:pPr>
    </w:p>
    <w:p w:rsidR="005A2DE7" w:rsidRPr="003C0A3D" w:rsidRDefault="006F3416" w:rsidP="005A2DE7">
      <w:pPr>
        <w:pStyle w:val="Normal00"/>
        <w:tabs>
          <w:tab w:val="left" w:pos="1440"/>
        </w:tabs>
        <w:spacing w:line="276" w:lineRule="auto"/>
        <w:outlineLvl w:val="0"/>
        <w:rPr>
          <w:rFonts w:ascii="Arial" w:hAnsi="Arial" w:cs="Arial"/>
          <w:b/>
          <w:color w:val="003366"/>
          <w:sz w:val="18"/>
          <w:szCs w:val="18"/>
          <w:lang w:eastAsia="ja-JP"/>
        </w:rPr>
      </w:pPr>
      <w:r w:rsidRPr="003C0A3D">
        <w:rPr>
          <w:rFonts w:ascii="Arial" w:eastAsia="SimSun" w:hAnsi="Arial" w:cs="Arial"/>
          <w:b/>
          <w:bCs/>
          <w:color w:val="42145F"/>
          <w:sz w:val="18"/>
          <w:szCs w:val="18"/>
        </w:rPr>
        <w:t xml:space="preserve">3. Litigation, investigations and reviews </w:t>
      </w:r>
    </w:p>
    <w:p w:rsidR="005A2DE7" w:rsidRPr="00022697" w:rsidRDefault="004160AB" w:rsidP="00540274">
      <w:pPr>
        <w:autoSpaceDE w:val="0"/>
        <w:autoSpaceDN w:val="0"/>
        <w:rPr>
          <w:rFonts w:eastAsia="Times New Roman" w:cs="Arial"/>
          <w:szCs w:val="18"/>
          <w:lang w:eastAsia="en-GB"/>
        </w:rPr>
      </w:pPr>
      <w:r w:rsidRPr="00022697">
        <w:rPr>
          <w:rFonts w:eastAsia="Times New Roman" w:cs="Arial"/>
          <w:szCs w:val="18"/>
          <w:lang w:eastAsia="en-GB"/>
        </w:rPr>
        <w:t>NatWest Group's Interim Results 2020, issued on 31 July 2020, included disclosures about NatWest Group's litigation, investigations and reviews in Note 14. Set out below are the material developments in those matters since the Interim Results 2020 were published.</w:t>
      </w:r>
    </w:p>
    <w:p w:rsidR="00022697" w:rsidRPr="00022697" w:rsidRDefault="00022697" w:rsidP="005A2DE7">
      <w:pPr>
        <w:autoSpaceDE w:val="0"/>
        <w:autoSpaceDN w:val="0"/>
        <w:jc w:val="both"/>
        <w:rPr>
          <w:rFonts w:eastAsia="Times New Roman" w:cs="Arial"/>
          <w:szCs w:val="18"/>
          <w:lang w:eastAsia="en-GB"/>
        </w:rPr>
      </w:pPr>
    </w:p>
    <w:p w:rsidR="005A2DE7" w:rsidRPr="003C0A3D" w:rsidRDefault="004160AB" w:rsidP="005A2DE7">
      <w:pPr>
        <w:rPr>
          <w:rFonts w:eastAsia="SimSun" w:cs="Arial"/>
          <w:b/>
          <w:color w:val="5E10B1"/>
          <w:szCs w:val="18"/>
          <w:lang w:eastAsia="en-GB"/>
        </w:rPr>
      </w:pPr>
      <w:r w:rsidRPr="003C0A3D">
        <w:rPr>
          <w:rFonts w:eastAsia="SimSun" w:cs="Arial"/>
          <w:b/>
          <w:color w:val="5E10B1"/>
          <w:szCs w:val="18"/>
          <w:lang w:eastAsia="en-GB"/>
        </w:rPr>
        <w:t>Litigation</w:t>
      </w:r>
    </w:p>
    <w:p w:rsidR="000E4C94" w:rsidRDefault="004160AB" w:rsidP="000E4C94">
      <w:pPr>
        <w:autoSpaceDE w:val="0"/>
        <w:autoSpaceDN w:val="0"/>
        <w:spacing w:line="288" w:lineRule="auto"/>
        <w:rPr>
          <w:color w:val="5E10B1"/>
          <w:lang w:val="en-US" w:eastAsia="zh-CN"/>
        </w:rPr>
      </w:pPr>
      <w:r>
        <w:rPr>
          <w:color w:val="5E10B1"/>
          <w:lang w:val="en-US" w:eastAsia="zh-CN"/>
        </w:rPr>
        <w:t>Residential mortgage-backed securities litigation in the US</w:t>
      </w:r>
    </w:p>
    <w:p w:rsidR="000E4C94" w:rsidRDefault="004160AB" w:rsidP="000E4C94">
      <w:pPr>
        <w:rPr>
          <w:lang w:val="en-US" w:eastAsia="zh-CN"/>
        </w:rPr>
      </w:pPr>
      <w:r>
        <w:rPr>
          <w:lang w:val="en-US" w:eastAsia="zh-CN"/>
        </w:rPr>
        <w:t>In September 2020, NWMSI settled residential mortgage-backed securities (RMBS) claims by the Federal Home Loan Bank of Seattle. The settlement amount, which has been paid, was covered by an existing provision.</w:t>
      </w:r>
    </w:p>
    <w:p w:rsidR="002D6AAB" w:rsidRDefault="002D6AAB" w:rsidP="000E4C94">
      <w:pPr>
        <w:rPr>
          <w:lang w:val="en-US" w:eastAsia="zh-CN"/>
        </w:rPr>
      </w:pPr>
    </w:p>
    <w:p w:rsidR="002D6AAB" w:rsidRPr="00643E0B" w:rsidRDefault="004160AB" w:rsidP="002D6AAB">
      <w:pPr>
        <w:rPr>
          <w:lang w:val="en-US" w:eastAsia="zh-CN"/>
        </w:rPr>
      </w:pPr>
      <w:r>
        <w:rPr>
          <w:lang w:val="en-US" w:eastAsia="zh-CN"/>
        </w:rPr>
        <w:t>In September 2020, a complaint was served on NWMSI by the State of New Mexico, which claims, in a case pending in state court in New Mexico, that certain New Mexico state agencies suffered US$119 million in damages resulting from misrepresentations concerning RMBS they purchased from NWMSI and six other banks primarily from 2005-2007. </w:t>
      </w:r>
    </w:p>
    <w:p w:rsidR="000E4C94" w:rsidRDefault="000E4C94" w:rsidP="000E4C94">
      <w:pPr>
        <w:rPr>
          <w:lang w:val="en-US" w:eastAsia="zh-CN"/>
        </w:rPr>
      </w:pPr>
    </w:p>
    <w:p w:rsidR="000E4C94" w:rsidRDefault="004160AB" w:rsidP="000E4C94">
      <w:pPr>
        <w:autoSpaceDE w:val="0"/>
        <w:autoSpaceDN w:val="0"/>
        <w:spacing w:line="288" w:lineRule="auto"/>
        <w:jc w:val="both"/>
        <w:rPr>
          <w:color w:val="5E10B1"/>
          <w:lang w:val="en-US" w:eastAsia="zh-CN"/>
        </w:rPr>
      </w:pPr>
      <w:r>
        <w:rPr>
          <w:color w:val="5E10B1"/>
          <w:lang w:val="en-US" w:eastAsia="zh-CN"/>
        </w:rPr>
        <w:t>London Interbank Offered Rate (LIBOR) and other rates litigation</w:t>
      </w:r>
    </w:p>
    <w:p w:rsidR="000E4C94" w:rsidRDefault="004160AB" w:rsidP="000E4C94">
      <w:pPr>
        <w:rPr>
          <w:lang w:val="en-US" w:eastAsia="zh-CN"/>
        </w:rPr>
      </w:pPr>
      <w:r>
        <w:rPr>
          <w:lang w:val="en-US" w:eastAsia="zh-CN"/>
        </w:rPr>
        <w:t>On 18 August 2020, a complaint was filed in the United States District Court for the Northern District of California by several United States consumer borrowers against the USD ICE LIBOR panel banks and their affiliates, alleging that the normal process of setting USD ICE LIBOR amounts to illegal price-fixing, and also that banks in the United States have illegally agreed to use LIBOR as a component of price in variable consumer loans. The NatWest Group defendants are NatWest Group plc, NWM Plc, NWMSI and NWB Plc. The plaintiffs seek damages and to prevent the enforcement of LIBOR-based instruments.</w:t>
      </w:r>
    </w:p>
    <w:p w:rsidR="00F574FC" w:rsidRDefault="00F574FC" w:rsidP="000E4C94">
      <w:pPr>
        <w:rPr>
          <w:lang w:val="en-US" w:eastAsia="zh-CN"/>
        </w:rPr>
      </w:pPr>
    </w:p>
    <w:p w:rsidR="00F574FC" w:rsidRDefault="004160AB" w:rsidP="00F574FC">
      <w:pPr>
        <w:rPr>
          <w:color w:val="5E10B1"/>
          <w:lang w:val="en-US" w:eastAsia="zh-CN"/>
        </w:rPr>
      </w:pPr>
      <w:r>
        <w:rPr>
          <w:color w:val="5E10B1"/>
          <w:lang w:val="en-US" w:eastAsia="zh-CN"/>
        </w:rPr>
        <w:t>EUA trading litigation</w:t>
      </w:r>
    </w:p>
    <w:p w:rsidR="00F574FC" w:rsidRDefault="004160AB" w:rsidP="00F574FC">
      <w:pPr>
        <w:rPr>
          <w:lang w:val="en-US" w:eastAsia="en-GB"/>
        </w:rPr>
      </w:pPr>
      <w:r>
        <w:rPr>
          <w:lang w:val="en-US" w:eastAsia="zh-CN"/>
        </w:rPr>
        <w:t xml:space="preserve">Following judgment against NWM Plc in March 2020, the High Court on 2 October 2020 </w:t>
      </w:r>
      <w:r>
        <w:rPr>
          <w:lang w:eastAsia="zh-CN"/>
        </w:rPr>
        <w:t xml:space="preserve">quantified damages against NWM Plc at £45 million plus interest and </w:t>
      </w:r>
      <w:proofErr w:type="gramStart"/>
      <w:r>
        <w:rPr>
          <w:lang w:eastAsia="zh-CN"/>
        </w:rPr>
        <w:t>costs, and</w:t>
      </w:r>
      <w:proofErr w:type="gramEnd"/>
      <w:r>
        <w:rPr>
          <w:lang w:eastAsia="zh-CN"/>
        </w:rPr>
        <w:t xml:space="preserve"> permitted it to appeal to the Court of Appeal.</w:t>
      </w:r>
    </w:p>
    <w:p w:rsidR="000E4C94" w:rsidRDefault="000E4C94" w:rsidP="005A2DE7">
      <w:pPr>
        <w:rPr>
          <w:rFonts w:eastAsia="SimSun" w:cs="Arial"/>
          <w:bCs/>
          <w:i/>
          <w:szCs w:val="18"/>
          <w:lang w:eastAsia="zh-CN"/>
        </w:rPr>
      </w:pPr>
    </w:p>
    <w:p w:rsidR="005A2DE7" w:rsidRDefault="004160AB" w:rsidP="005A2DE7">
      <w:pPr>
        <w:rPr>
          <w:rFonts w:eastAsia="SimSun" w:cs="Arial"/>
          <w:b/>
          <w:color w:val="5E10B1"/>
          <w:szCs w:val="18"/>
          <w:lang w:eastAsia="en-GB"/>
        </w:rPr>
      </w:pPr>
      <w:r w:rsidRPr="003C0A3D">
        <w:rPr>
          <w:rFonts w:eastAsia="SimSun" w:cs="Arial"/>
          <w:b/>
          <w:color w:val="5E10B1"/>
          <w:szCs w:val="18"/>
          <w:lang w:eastAsia="en-GB"/>
        </w:rPr>
        <w:t>Investigations and reviews</w:t>
      </w:r>
    </w:p>
    <w:p w:rsidR="000E4C94" w:rsidRDefault="004160AB" w:rsidP="000E4C94">
      <w:pPr>
        <w:rPr>
          <w:lang w:val="en-US"/>
        </w:rPr>
      </w:pPr>
      <w:r>
        <w:rPr>
          <w:color w:val="5E10B1"/>
          <w:lang w:val="en-US" w:eastAsia="zh-CN"/>
        </w:rPr>
        <w:t>US investigations relating to fixed-income securities</w:t>
      </w:r>
    </w:p>
    <w:p w:rsidR="003B5E9F" w:rsidRDefault="004160AB" w:rsidP="00BC4E83">
      <w:pPr>
        <w:rPr>
          <w:lang w:val="en-US"/>
        </w:rPr>
      </w:pPr>
      <w:r>
        <w:rPr>
          <w:lang w:val="en-US" w:eastAsia="zh-CN"/>
        </w:rPr>
        <w:t>In September 2020, the NatWest Markets business reached a settlement in principle, subject to documentation, with the State of Maryland concerning its investigation of the issuance and underwriting of RMBS. The amount of the tentative settlement, which will be paid by RBS Financial Products Inc., is covered by an existing provision.</w:t>
      </w:r>
    </w:p>
    <w:p w:rsidR="00BC4E83" w:rsidRPr="00BC4E83" w:rsidRDefault="00BC4E83" w:rsidP="00BC4E83">
      <w:pPr>
        <w:rPr>
          <w:lang w:val="en-US"/>
        </w:rPr>
      </w:pPr>
    </w:p>
    <w:p w:rsidR="005A2DE7" w:rsidRPr="003C0A3D" w:rsidRDefault="006F3416" w:rsidP="005A2DE7">
      <w:pPr>
        <w:pStyle w:val="GCAHeader"/>
        <w:spacing w:line="276" w:lineRule="auto"/>
        <w:rPr>
          <w:color w:val="42145F"/>
          <w:sz w:val="18"/>
          <w:szCs w:val="18"/>
        </w:rPr>
      </w:pPr>
      <w:r w:rsidRPr="003C0A3D">
        <w:rPr>
          <w:color w:val="42145F"/>
          <w:sz w:val="18"/>
          <w:szCs w:val="18"/>
        </w:rPr>
        <w:t xml:space="preserve">4. Post balance sheet events </w:t>
      </w:r>
    </w:p>
    <w:p w:rsidR="005D1766" w:rsidRDefault="004160AB" w:rsidP="001C1AD1">
      <w:pPr>
        <w:pStyle w:val="Normal6600"/>
        <w:spacing w:line="276" w:lineRule="auto"/>
        <w:rPr>
          <w:rFonts w:ascii="Arial" w:hAnsi="Arial" w:cs="Arial"/>
          <w:sz w:val="18"/>
          <w:szCs w:val="18"/>
          <w:lang w:eastAsia="zh-CN"/>
        </w:rPr>
      </w:pPr>
      <w:r w:rsidRPr="003C0A3D">
        <w:rPr>
          <w:rFonts w:ascii="Arial" w:hAnsi="Arial" w:cs="Arial"/>
          <w:sz w:val="18"/>
          <w:szCs w:val="18"/>
          <w:lang w:eastAsia="zh-CN"/>
        </w:rPr>
        <w:t>Other than as disclosed there have been no other significant events between 30 September 2020 and the date of approval of these accounts which would require a change to or additional disclosure in the condensed consolidated financial statements.</w:t>
      </w:r>
    </w:p>
    <w:p w:rsidR="005D1766" w:rsidRDefault="004160AB">
      <w:pPr>
        <w:spacing w:after="200"/>
        <w:rPr>
          <w:rFonts w:eastAsia="Times New Roman" w:cs="Arial"/>
          <w:szCs w:val="18"/>
          <w:lang w:eastAsia="zh-CN"/>
        </w:rPr>
      </w:pPr>
      <w:r>
        <w:rPr>
          <w:rFonts w:cs="Arial"/>
          <w:szCs w:val="18"/>
          <w:lang w:eastAsia="zh-CN"/>
        </w:rPr>
        <w:br w:type="page"/>
      </w:r>
    </w:p>
    <w:p w:rsidR="007C7ACA" w:rsidRPr="001C1AD1" w:rsidRDefault="007C7ACA" w:rsidP="001C1AD1">
      <w:pPr>
        <w:pStyle w:val="Normal6600"/>
        <w:spacing w:line="276" w:lineRule="auto"/>
        <w:rPr>
          <w:rFonts w:ascii="Arial" w:hAnsi="Arial" w:cs="Arial"/>
          <w:sz w:val="18"/>
          <w:szCs w:val="18"/>
          <w:lang w:eastAsia="zh-CN"/>
        </w:rPr>
        <w:sectPr w:rsidR="007C7ACA" w:rsidRPr="001C1AD1" w:rsidSect="00EE5E02">
          <w:headerReference w:type="even" r:id="rId64"/>
          <w:headerReference w:type="default" r:id="rId65"/>
          <w:footerReference w:type="even" r:id="rId66"/>
          <w:footerReference w:type="default" r:id="rId67"/>
          <w:headerReference w:type="first" r:id="rId68"/>
          <w:footerReference w:type="first" r:id="rId69"/>
          <w:type w:val="continuous"/>
          <w:pgSz w:w="11906" w:h="16838"/>
          <w:pgMar w:top="1134" w:right="851" w:bottom="680" w:left="851" w:header="708" w:footer="708" w:gutter="0"/>
          <w:cols w:space="708"/>
          <w:docGrid w:linePitch="360"/>
        </w:sectPr>
      </w:pPr>
    </w:p>
    <w:p w:rsidR="00C31E1F" w:rsidRPr="00823C5C" w:rsidRDefault="004160AB" w:rsidP="00DC4AEA">
      <w:pPr>
        <w:pStyle w:val="Normal00"/>
        <w:spacing w:line="269" w:lineRule="auto"/>
        <w:outlineLvl w:val="0"/>
        <w:rPr>
          <w:rFonts w:ascii="Arial" w:hAnsi="Arial" w:cs="Arial"/>
          <w:b/>
          <w:bCs/>
          <w:color w:val="42145F"/>
          <w:sz w:val="18"/>
          <w:szCs w:val="20"/>
        </w:rPr>
      </w:pPr>
      <w:r w:rsidRPr="00823C5C">
        <w:rPr>
          <w:rFonts w:ascii="Arial" w:hAnsi="Arial" w:cs="Arial"/>
          <w:b/>
          <w:bCs/>
          <w:color w:val="42145F"/>
          <w:sz w:val="18"/>
          <w:szCs w:val="20"/>
        </w:rPr>
        <w:lastRenderedPageBreak/>
        <w:t>Additional information</w:t>
      </w:r>
    </w:p>
    <w:p w:rsidR="00C31E1F" w:rsidRPr="00823C5C" w:rsidRDefault="004160AB" w:rsidP="00DC4AEA">
      <w:pPr>
        <w:pStyle w:val="Normal00"/>
        <w:spacing w:line="269" w:lineRule="auto"/>
        <w:jc w:val="both"/>
        <w:rPr>
          <w:rFonts w:ascii="Arial" w:hAnsi="Arial" w:cs="Arial"/>
          <w:b/>
          <w:color w:val="5E10B1"/>
          <w:sz w:val="18"/>
          <w:szCs w:val="20"/>
        </w:rPr>
      </w:pPr>
      <w:r w:rsidRPr="00823C5C">
        <w:rPr>
          <w:rFonts w:ascii="Arial" w:hAnsi="Arial" w:cs="Arial"/>
          <w:b/>
          <w:color w:val="5E10B1"/>
          <w:sz w:val="18"/>
          <w:szCs w:val="20"/>
        </w:rPr>
        <w:t xml:space="preserve">Presentation of information </w:t>
      </w:r>
    </w:p>
    <w:p w:rsidR="00081630" w:rsidRPr="00823C5C" w:rsidRDefault="004160AB" w:rsidP="00DC4AEA">
      <w:pPr>
        <w:spacing w:line="269" w:lineRule="auto"/>
      </w:pPr>
      <w:r w:rsidRPr="00823C5C">
        <w:t>‘Parent company’ refers to NatWest Group plc and ‘NatWest Group’ refers to NatWest Group plc and its subsidiary and associated undertakings. The term ‘NWH Group’ refers to NatWest Holdings Limited (‘NWH’) and its subsidiary and associated undertakings.  The term ‘NWM Group’ refers to NatWest Markets Plc (‘NWM Plc’) and its subsidiary and associated undertakings.  The term ‘NWM N.V.’ refers to NatWest Markets N.V. The term ‘NWMSI’ refers to NatWest Markets Securities, Inc. The term ‘RBS plc’ refers to The Royal Bank of Scotland plc.  The term ‘NWB Plc’ refers to National Westminster Bank Plc.  The term ‘UBI DAC’ refers to Ulster Bank Ireland DAC.  The term ‘RBSI Limited’ refers to The Royal Bank of Scotland International Limited.</w:t>
      </w:r>
    </w:p>
    <w:p w:rsidR="00081630" w:rsidRPr="00831DFD" w:rsidRDefault="00081630" w:rsidP="00DC4AEA">
      <w:pPr>
        <w:pStyle w:val="Normal00"/>
        <w:spacing w:line="269" w:lineRule="auto"/>
        <w:rPr>
          <w:rFonts w:ascii="Arial" w:hAnsi="Arial" w:cs="Arial"/>
          <w:sz w:val="10"/>
          <w:szCs w:val="10"/>
          <w:lang w:eastAsia="ja-JP"/>
        </w:rPr>
      </w:pPr>
    </w:p>
    <w:p w:rsidR="00D7566E" w:rsidRPr="00823C5C" w:rsidRDefault="004160AB" w:rsidP="00DC4AEA">
      <w:pPr>
        <w:pStyle w:val="Normal00"/>
        <w:spacing w:line="269" w:lineRule="auto"/>
        <w:rPr>
          <w:rFonts w:ascii="Arial" w:hAnsi="Arial" w:cs="Arial"/>
          <w:sz w:val="18"/>
          <w:szCs w:val="18"/>
          <w:lang w:eastAsia="ja-JP"/>
        </w:rPr>
      </w:pPr>
      <w:r>
        <w:rPr>
          <w:rFonts w:ascii="Arial" w:hAnsi="Arial" w:cs="Arial"/>
          <w:sz w:val="18"/>
          <w:szCs w:val="18"/>
          <w:lang w:eastAsia="ja-JP"/>
        </w:rPr>
        <w:t>UK Personal Banking was renamed Retail Banking, with effect from 16 September 2020.</w:t>
      </w:r>
    </w:p>
    <w:p w:rsidR="00D7566E" w:rsidRPr="00831DFD" w:rsidRDefault="00D7566E" w:rsidP="00DC4AEA">
      <w:pPr>
        <w:pStyle w:val="Normal00"/>
        <w:spacing w:line="269" w:lineRule="auto"/>
        <w:rPr>
          <w:rFonts w:ascii="Arial" w:hAnsi="Arial" w:cs="Arial"/>
          <w:sz w:val="10"/>
          <w:szCs w:val="10"/>
          <w:lang w:eastAsia="ja-JP"/>
        </w:rPr>
      </w:pPr>
    </w:p>
    <w:p w:rsidR="00081630" w:rsidRPr="00823C5C" w:rsidRDefault="004160AB" w:rsidP="00DC4AEA">
      <w:pPr>
        <w:pStyle w:val="Normal6600"/>
        <w:spacing w:line="269" w:lineRule="auto"/>
        <w:rPr>
          <w:rFonts w:ascii="Arial" w:hAnsi="Arial" w:cs="Arial"/>
          <w:sz w:val="18"/>
          <w:szCs w:val="18"/>
        </w:rPr>
      </w:pPr>
      <w:r w:rsidRPr="00823C5C">
        <w:rPr>
          <w:rFonts w:ascii="Arial" w:hAnsi="Arial" w:cs="Arial"/>
          <w:sz w:val="18"/>
          <w:szCs w:val="18"/>
        </w:rPr>
        <w:t>NatWest Group publishes its financial statements in pounds sterling (‘£’ or ‘sterling’). The abbreviations ‘£m’ and ‘£bn’ represent millions and thousands of millions of pounds sterling, respectively, and references to ‘pence’ represent pence in the United Kingdom (‘UK’). Reference to ‘dollars’ or ‘$’ are to United States of America (‘US’) dollars. The abbreviations ‘$m’ and ‘$bn’ represent millions and thousands of millions of dollars, respectively, and references to ‘cents’ represent cents in the US. The abbreviation ‘€’ represents the ‘euro’, and the abbreviations ‘€m’ and ‘€bn’ represent millions and thousands of millions of euros, respectively.</w:t>
      </w:r>
    </w:p>
    <w:p w:rsidR="00081630" w:rsidRPr="00831DFD" w:rsidRDefault="00081630" w:rsidP="00DC4AEA">
      <w:pPr>
        <w:pStyle w:val="StyleArial8pt00"/>
        <w:spacing w:line="269" w:lineRule="auto"/>
        <w:rPr>
          <w:sz w:val="10"/>
          <w:szCs w:val="10"/>
        </w:rPr>
      </w:pPr>
    </w:p>
    <w:p w:rsidR="00081630" w:rsidRPr="00823C5C" w:rsidRDefault="004160AB" w:rsidP="00DC4AEA">
      <w:pPr>
        <w:pStyle w:val="StyleArial8pt00"/>
        <w:spacing w:line="269" w:lineRule="auto"/>
        <w:rPr>
          <w:b/>
          <w:color w:val="FF0000"/>
        </w:rPr>
      </w:pPr>
      <w:r w:rsidRPr="00823C5C">
        <w:t xml:space="preserve">Statutory results </w:t>
      </w:r>
    </w:p>
    <w:p w:rsidR="00081630" w:rsidRPr="00823C5C" w:rsidRDefault="004160AB" w:rsidP="00DC4AEA">
      <w:pPr>
        <w:pStyle w:val="Normal6600"/>
        <w:spacing w:line="269" w:lineRule="auto"/>
        <w:rPr>
          <w:rFonts w:ascii="Arial" w:hAnsi="Arial" w:cs="Arial"/>
          <w:sz w:val="18"/>
          <w:szCs w:val="18"/>
        </w:rPr>
      </w:pPr>
      <w:r w:rsidRPr="00823C5C">
        <w:rPr>
          <w:rFonts w:ascii="Arial" w:hAnsi="Arial" w:cs="Arial"/>
          <w:sz w:val="18"/>
          <w:szCs w:val="18"/>
        </w:rPr>
        <w:t>Financial information contained in this document does not constitute statutory accounts within the meaning of section 434 of the Companies Act 2006 (‘the Act’). The statutory accounts for the year ended 31 December 2019 have been filed with the Registrar of Companies. The report of the auditor on those statutory accounts was unqualified, did not draw attention to any matters by way of emphasis and did not contain a statement under section 498(2) or (3) of the Act.</w:t>
      </w:r>
    </w:p>
    <w:p w:rsidR="00C31E1F" w:rsidRPr="00831DFD" w:rsidRDefault="00C31E1F" w:rsidP="00C31E1F">
      <w:pPr>
        <w:pStyle w:val="Normal00"/>
        <w:spacing w:line="259" w:lineRule="auto"/>
        <w:jc w:val="both"/>
        <w:rPr>
          <w:rFonts w:ascii="Arial" w:hAnsi="Arial" w:cs="Arial"/>
          <w:sz w:val="10"/>
          <w:szCs w:val="10"/>
        </w:rPr>
      </w:pPr>
    </w:p>
    <w:p w:rsidR="00C31E1F" w:rsidRPr="001C2DCA" w:rsidRDefault="004160AB" w:rsidP="00C31E1F">
      <w:pPr>
        <w:pStyle w:val="Normal00"/>
        <w:spacing w:line="264" w:lineRule="auto"/>
        <w:rPr>
          <w:rFonts w:ascii="Arial" w:eastAsia="SimSun" w:hAnsi="Arial" w:cs="Arial"/>
          <w:b/>
          <w:bCs/>
          <w:color w:val="5E10B1"/>
          <w:sz w:val="18"/>
          <w:szCs w:val="18"/>
        </w:rPr>
      </w:pPr>
      <w:r w:rsidRPr="001C2DCA">
        <w:rPr>
          <w:rFonts w:ascii="Arial" w:eastAsia="SimSun" w:hAnsi="Arial" w:cs="Arial"/>
          <w:b/>
          <w:bCs/>
          <w:color w:val="5E10B1"/>
          <w:sz w:val="18"/>
          <w:szCs w:val="18"/>
        </w:rPr>
        <w:t xml:space="preserve">Contacts </w:t>
      </w:r>
    </w:p>
    <w:tbl>
      <w:tblPr>
        <w:tblW w:w="8731" w:type="dxa"/>
        <w:tblCellMar>
          <w:left w:w="0" w:type="dxa"/>
          <w:right w:w="0" w:type="dxa"/>
        </w:tblCellMar>
        <w:tblLook w:val="0000" w:firstRow="0" w:lastRow="0" w:firstColumn="0" w:lastColumn="0" w:noHBand="0" w:noVBand="0"/>
      </w:tblPr>
      <w:tblGrid>
        <w:gridCol w:w="1848"/>
        <w:gridCol w:w="3686"/>
        <w:gridCol w:w="3197"/>
      </w:tblGrid>
      <w:tr w:rsidR="00130A6D" w:rsidTr="00D06C21">
        <w:tc>
          <w:tcPr>
            <w:tcW w:w="1848" w:type="dxa"/>
            <w:vAlign w:val="bottom"/>
          </w:tcPr>
          <w:p w:rsidR="00C31E1F" w:rsidRPr="001C2DCA" w:rsidRDefault="004160AB" w:rsidP="00D06C21">
            <w:pPr>
              <w:pStyle w:val="Normal00"/>
              <w:spacing w:line="264" w:lineRule="auto"/>
              <w:rPr>
                <w:rFonts w:ascii="Arial" w:hAnsi="Arial" w:cs="Arial"/>
                <w:color w:val="5E10B1"/>
                <w:sz w:val="18"/>
                <w:szCs w:val="18"/>
                <w:lang w:eastAsia="ja-JP"/>
              </w:rPr>
            </w:pPr>
            <w:r w:rsidRPr="001C2DCA">
              <w:rPr>
                <w:rFonts w:ascii="Arial" w:hAnsi="Arial" w:cs="Arial"/>
                <w:color w:val="5E10B1"/>
                <w:sz w:val="18"/>
                <w:szCs w:val="18"/>
                <w:lang w:eastAsia="ja-JP"/>
              </w:rPr>
              <w:t>Analyst enquiries:</w:t>
            </w:r>
          </w:p>
        </w:tc>
        <w:tc>
          <w:tcPr>
            <w:tcW w:w="3686" w:type="dxa"/>
            <w:vAlign w:val="bottom"/>
          </w:tcPr>
          <w:p w:rsidR="00C31E1F" w:rsidRPr="001C2DCA" w:rsidRDefault="004160AB" w:rsidP="00D06C21">
            <w:pPr>
              <w:pStyle w:val="Normal00"/>
              <w:spacing w:line="264" w:lineRule="auto"/>
              <w:rPr>
                <w:rFonts w:ascii="Arial" w:hAnsi="Arial" w:cs="Arial"/>
                <w:sz w:val="18"/>
                <w:szCs w:val="18"/>
                <w:lang w:eastAsia="ja-JP"/>
              </w:rPr>
            </w:pPr>
            <w:r w:rsidRPr="001C2DCA">
              <w:rPr>
                <w:rFonts w:ascii="Arial" w:hAnsi="Arial" w:cs="Arial"/>
                <w:sz w:val="18"/>
                <w:szCs w:val="18"/>
                <w:lang w:eastAsia="ja-JP"/>
              </w:rPr>
              <w:t>Alexander Holcroft, Investor Relations</w:t>
            </w:r>
          </w:p>
        </w:tc>
        <w:tc>
          <w:tcPr>
            <w:tcW w:w="3197" w:type="dxa"/>
            <w:vAlign w:val="bottom"/>
          </w:tcPr>
          <w:p w:rsidR="00C31E1F" w:rsidRPr="001C2DCA" w:rsidRDefault="004160AB" w:rsidP="00CA2CCB">
            <w:pPr>
              <w:pStyle w:val="Normal00"/>
              <w:spacing w:line="264" w:lineRule="auto"/>
              <w:jc w:val="both"/>
              <w:rPr>
                <w:rFonts w:ascii="Arial" w:hAnsi="Arial" w:cs="Arial"/>
                <w:sz w:val="18"/>
                <w:szCs w:val="18"/>
              </w:rPr>
            </w:pPr>
            <w:r w:rsidRPr="001C2DCA">
              <w:rPr>
                <w:rFonts w:ascii="Arial" w:hAnsi="Arial" w:cs="Arial"/>
                <w:sz w:val="18"/>
                <w:szCs w:val="18"/>
                <w:lang w:eastAsia="ja-JP"/>
              </w:rPr>
              <w:t>+44 (0) 20 7672 1758</w:t>
            </w:r>
          </w:p>
        </w:tc>
      </w:tr>
      <w:tr w:rsidR="00130A6D" w:rsidTr="00D06C21">
        <w:tc>
          <w:tcPr>
            <w:tcW w:w="1848" w:type="dxa"/>
            <w:vAlign w:val="bottom"/>
          </w:tcPr>
          <w:p w:rsidR="00C31E1F" w:rsidRPr="001C2DCA" w:rsidRDefault="004160AB" w:rsidP="00D06C21">
            <w:pPr>
              <w:pStyle w:val="Normal00"/>
              <w:spacing w:line="264" w:lineRule="auto"/>
              <w:rPr>
                <w:rFonts w:ascii="Arial" w:hAnsi="Arial" w:cs="Arial"/>
                <w:color w:val="5E10B1"/>
                <w:sz w:val="18"/>
                <w:szCs w:val="18"/>
                <w:lang w:eastAsia="ja-JP"/>
              </w:rPr>
            </w:pPr>
            <w:r w:rsidRPr="001C2DCA">
              <w:rPr>
                <w:rFonts w:ascii="Arial" w:hAnsi="Arial" w:cs="Arial"/>
                <w:color w:val="5E10B1"/>
                <w:sz w:val="18"/>
                <w:szCs w:val="18"/>
                <w:lang w:eastAsia="ja-JP"/>
              </w:rPr>
              <w:t>Media enquiries:</w:t>
            </w:r>
          </w:p>
        </w:tc>
        <w:tc>
          <w:tcPr>
            <w:tcW w:w="3686" w:type="dxa"/>
            <w:vAlign w:val="bottom"/>
          </w:tcPr>
          <w:p w:rsidR="00C31E1F" w:rsidRPr="001C2DCA" w:rsidRDefault="004160AB" w:rsidP="00D06C21">
            <w:pPr>
              <w:pStyle w:val="Normal00"/>
              <w:spacing w:line="264" w:lineRule="auto"/>
              <w:jc w:val="both"/>
              <w:rPr>
                <w:rFonts w:ascii="Arial" w:hAnsi="Arial" w:cs="Arial"/>
                <w:sz w:val="18"/>
                <w:szCs w:val="18"/>
                <w:lang w:eastAsia="ja-JP"/>
              </w:rPr>
            </w:pPr>
            <w:r w:rsidRPr="001C2DCA">
              <w:rPr>
                <w:rFonts w:ascii="Arial" w:hAnsi="Arial" w:cs="Arial"/>
                <w:sz w:val="18"/>
                <w:szCs w:val="18"/>
                <w:lang w:eastAsia="ja-JP"/>
              </w:rPr>
              <w:t>NatWest Group Press Office</w:t>
            </w:r>
          </w:p>
        </w:tc>
        <w:tc>
          <w:tcPr>
            <w:tcW w:w="3197" w:type="dxa"/>
            <w:vAlign w:val="bottom"/>
          </w:tcPr>
          <w:p w:rsidR="00C31E1F" w:rsidRPr="001C2DCA" w:rsidRDefault="004160AB" w:rsidP="00D06C21">
            <w:pPr>
              <w:pStyle w:val="Normal00"/>
              <w:spacing w:line="264" w:lineRule="auto"/>
              <w:jc w:val="both"/>
              <w:rPr>
                <w:rFonts w:ascii="Arial" w:hAnsi="Arial" w:cs="Arial"/>
                <w:sz w:val="18"/>
                <w:szCs w:val="18"/>
                <w:lang w:eastAsia="ja-JP"/>
              </w:rPr>
            </w:pPr>
            <w:r w:rsidRPr="001C2DCA">
              <w:rPr>
                <w:rFonts w:ascii="Arial" w:hAnsi="Arial" w:cs="Arial"/>
                <w:sz w:val="18"/>
                <w:szCs w:val="18"/>
                <w:lang w:eastAsia="ja-JP"/>
              </w:rPr>
              <w:t>+44 (0) 131 523 4205</w:t>
            </w:r>
          </w:p>
        </w:tc>
      </w:tr>
    </w:tbl>
    <w:p w:rsidR="00C31E1F" w:rsidRPr="0063631C" w:rsidRDefault="00C31E1F" w:rsidP="00C31E1F">
      <w:pPr>
        <w:pStyle w:val="Normal00"/>
        <w:spacing w:line="264" w:lineRule="auto"/>
        <w:jc w:val="both"/>
        <w:rPr>
          <w:rFonts w:ascii="Arial" w:hAnsi="Arial" w:cs="Arial"/>
          <w:b/>
          <w:bCs/>
          <w:color w:val="003366"/>
          <w:sz w:val="20"/>
          <w:szCs w:val="20"/>
        </w:rPr>
      </w:pPr>
    </w:p>
    <w:tbl>
      <w:tblPr>
        <w:tblW w:w="9952"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1821"/>
        <w:gridCol w:w="3712"/>
        <w:gridCol w:w="4419"/>
      </w:tblGrid>
      <w:tr w:rsidR="00130A6D" w:rsidTr="00D06C21">
        <w:trPr>
          <w:trHeight w:hRule="exact" w:val="315"/>
        </w:trPr>
        <w:tc>
          <w:tcPr>
            <w:tcW w:w="915" w:type="pct"/>
            <w:tcBorders>
              <w:top w:val="single" w:sz="4" w:space="0" w:color="003366"/>
              <w:left w:val="single" w:sz="4" w:space="0" w:color="003366"/>
              <w:bottom w:val="single" w:sz="4" w:space="0" w:color="003366"/>
              <w:right w:val="single" w:sz="4" w:space="0" w:color="003366"/>
            </w:tcBorders>
          </w:tcPr>
          <w:p w:rsidR="00C31E1F" w:rsidRPr="001C2DCA" w:rsidRDefault="00C31E1F" w:rsidP="00D06C21">
            <w:pPr>
              <w:pStyle w:val="Normal00"/>
              <w:spacing w:line="264" w:lineRule="auto"/>
              <w:rPr>
                <w:rFonts w:ascii="Arial" w:hAnsi="Arial" w:cs="Arial"/>
                <w:b/>
                <w:bCs/>
                <w:color w:val="003366"/>
                <w:sz w:val="18"/>
                <w:szCs w:val="18"/>
              </w:rPr>
            </w:pPr>
          </w:p>
        </w:tc>
        <w:tc>
          <w:tcPr>
            <w:tcW w:w="1865" w:type="pct"/>
            <w:tcBorders>
              <w:top w:val="single" w:sz="4" w:space="0" w:color="003366"/>
              <w:left w:val="single" w:sz="4" w:space="0" w:color="003366"/>
              <w:bottom w:val="single" w:sz="4" w:space="0" w:color="003366"/>
              <w:right w:val="single" w:sz="4" w:space="0" w:color="003366"/>
            </w:tcBorders>
          </w:tcPr>
          <w:p w:rsidR="00C31E1F" w:rsidRPr="001C2DCA" w:rsidRDefault="004160AB" w:rsidP="00D06C21">
            <w:pPr>
              <w:pStyle w:val="Normal00"/>
              <w:spacing w:line="264" w:lineRule="auto"/>
              <w:jc w:val="both"/>
              <w:rPr>
                <w:rFonts w:ascii="Arial" w:hAnsi="Arial" w:cs="Arial"/>
                <w:b/>
                <w:bCs/>
                <w:color w:val="5E10B1"/>
                <w:sz w:val="18"/>
                <w:szCs w:val="18"/>
              </w:rPr>
            </w:pPr>
            <w:r w:rsidRPr="001C2DCA">
              <w:rPr>
                <w:rFonts w:ascii="Arial" w:hAnsi="Arial" w:cs="Arial"/>
                <w:b/>
                <w:bCs/>
                <w:color w:val="5E10B1"/>
                <w:sz w:val="18"/>
                <w:szCs w:val="18"/>
              </w:rPr>
              <w:t xml:space="preserve">Analyst and investor call </w:t>
            </w:r>
          </w:p>
        </w:tc>
        <w:tc>
          <w:tcPr>
            <w:tcW w:w="2220" w:type="pct"/>
            <w:tcBorders>
              <w:top w:val="single" w:sz="4" w:space="0" w:color="003366"/>
              <w:left w:val="single" w:sz="4" w:space="0" w:color="003366"/>
              <w:bottom w:val="single" w:sz="4" w:space="0" w:color="003366"/>
              <w:right w:val="single" w:sz="4" w:space="0" w:color="003366"/>
            </w:tcBorders>
          </w:tcPr>
          <w:p w:rsidR="00C31E1F" w:rsidRPr="001C2DCA" w:rsidRDefault="004160AB" w:rsidP="00D06C21">
            <w:pPr>
              <w:pStyle w:val="Normal00"/>
              <w:spacing w:line="264" w:lineRule="auto"/>
              <w:jc w:val="both"/>
              <w:rPr>
                <w:rFonts w:ascii="Arial" w:hAnsi="Arial" w:cs="Arial"/>
                <w:b/>
                <w:bCs/>
                <w:color w:val="5E10B1"/>
                <w:sz w:val="18"/>
                <w:szCs w:val="18"/>
              </w:rPr>
            </w:pPr>
            <w:r w:rsidRPr="001C2DCA">
              <w:rPr>
                <w:rFonts w:ascii="Arial" w:hAnsi="Arial" w:cs="Arial"/>
                <w:b/>
                <w:bCs/>
                <w:color w:val="5E10B1"/>
                <w:sz w:val="18"/>
                <w:szCs w:val="18"/>
              </w:rPr>
              <w:t xml:space="preserve">Webcast and dial in details </w:t>
            </w:r>
          </w:p>
        </w:tc>
      </w:tr>
      <w:tr w:rsidR="00130A6D" w:rsidTr="00D06C21">
        <w:trPr>
          <w:trHeight w:hRule="exact" w:val="228"/>
        </w:trPr>
        <w:tc>
          <w:tcPr>
            <w:tcW w:w="915" w:type="pct"/>
            <w:tcBorders>
              <w:top w:val="single" w:sz="4" w:space="0" w:color="003366"/>
              <w:left w:val="single" w:sz="4" w:space="0" w:color="003366"/>
              <w:bottom w:val="nil"/>
              <w:right w:val="single" w:sz="4" w:space="0" w:color="003366"/>
            </w:tcBorders>
          </w:tcPr>
          <w:p w:rsidR="00C31E1F" w:rsidRPr="001C2DCA" w:rsidRDefault="004160AB" w:rsidP="00D06C21">
            <w:pPr>
              <w:pStyle w:val="Normal00"/>
              <w:spacing w:line="264" w:lineRule="auto"/>
              <w:rPr>
                <w:rFonts w:ascii="Arial" w:hAnsi="Arial" w:cs="Arial"/>
                <w:b/>
                <w:bCs/>
                <w:color w:val="5E10B1"/>
                <w:sz w:val="18"/>
                <w:szCs w:val="18"/>
              </w:rPr>
            </w:pPr>
            <w:r w:rsidRPr="001C2DCA">
              <w:rPr>
                <w:rFonts w:ascii="Arial" w:hAnsi="Arial" w:cs="Arial"/>
                <w:b/>
                <w:bCs/>
                <w:color w:val="5E10B1"/>
                <w:sz w:val="18"/>
                <w:szCs w:val="18"/>
              </w:rPr>
              <w:t>Date:</w:t>
            </w:r>
          </w:p>
        </w:tc>
        <w:tc>
          <w:tcPr>
            <w:tcW w:w="1865" w:type="pct"/>
            <w:tcBorders>
              <w:top w:val="single" w:sz="4" w:space="0" w:color="003366"/>
              <w:left w:val="single" w:sz="4" w:space="0" w:color="003366"/>
              <w:bottom w:val="nil"/>
              <w:right w:val="single" w:sz="4" w:space="0" w:color="003366"/>
            </w:tcBorders>
          </w:tcPr>
          <w:p w:rsidR="00C31E1F" w:rsidRPr="001C2DCA" w:rsidRDefault="004160AB" w:rsidP="004D7F8F">
            <w:pPr>
              <w:pStyle w:val="Normal00"/>
              <w:spacing w:line="264" w:lineRule="auto"/>
              <w:jc w:val="both"/>
              <w:rPr>
                <w:rFonts w:ascii="Arial" w:hAnsi="Arial" w:cs="Arial"/>
                <w:sz w:val="18"/>
                <w:szCs w:val="18"/>
                <w:lang w:eastAsia="ja-JP"/>
              </w:rPr>
            </w:pPr>
            <w:r w:rsidRPr="001C2DCA">
              <w:rPr>
                <w:rFonts w:ascii="Arial" w:hAnsi="Arial" w:cs="Arial"/>
                <w:sz w:val="18"/>
                <w:szCs w:val="18"/>
                <w:lang w:eastAsia="ja-JP"/>
              </w:rPr>
              <w:t>30 October 2020</w:t>
            </w:r>
          </w:p>
        </w:tc>
        <w:tc>
          <w:tcPr>
            <w:tcW w:w="2220" w:type="pct"/>
            <w:tcBorders>
              <w:top w:val="single" w:sz="4" w:space="0" w:color="003366"/>
              <w:left w:val="single" w:sz="4" w:space="0" w:color="003366"/>
              <w:bottom w:val="nil"/>
              <w:right w:val="single" w:sz="4" w:space="0" w:color="003366"/>
            </w:tcBorders>
          </w:tcPr>
          <w:p w:rsidR="00C910F3" w:rsidRPr="001C2DCA" w:rsidRDefault="00E7759E" w:rsidP="00C910F3">
            <w:pPr>
              <w:pStyle w:val="Normal00"/>
              <w:spacing w:line="264" w:lineRule="auto"/>
              <w:jc w:val="both"/>
              <w:rPr>
                <w:rFonts w:ascii="Arial" w:hAnsi="Arial" w:cs="Arial"/>
                <w:sz w:val="18"/>
                <w:szCs w:val="18"/>
                <w:lang w:eastAsia="en-US"/>
              </w:rPr>
            </w:pPr>
            <w:hyperlink r:id="rId70" w:history="1">
              <w:r w:rsidR="004160AB" w:rsidRPr="001C2DCA">
                <w:rPr>
                  <w:rStyle w:val="Hyperlink"/>
                  <w:rFonts w:ascii="Arial" w:hAnsi="Arial" w:cs="Arial"/>
                  <w:sz w:val="18"/>
                  <w:szCs w:val="18"/>
                  <w:lang w:eastAsia="en-US"/>
                </w:rPr>
                <w:t>https://investors.natwestgroup.com/results-centre</w:t>
              </w:r>
            </w:hyperlink>
          </w:p>
          <w:p w:rsidR="00C910F3" w:rsidRPr="001C2DCA" w:rsidRDefault="00C910F3" w:rsidP="00C910F3">
            <w:pPr>
              <w:pStyle w:val="Normal00"/>
              <w:spacing w:line="264" w:lineRule="auto"/>
              <w:jc w:val="both"/>
              <w:rPr>
                <w:rFonts w:ascii="Arial" w:hAnsi="Arial" w:cs="Arial"/>
                <w:sz w:val="18"/>
                <w:szCs w:val="18"/>
                <w:lang w:eastAsia="en-US"/>
              </w:rPr>
            </w:pPr>
          </w:p>
          <w:p w:rsidR="00C31E1F" w:rsidRPr="001C2DCA" w:rsidRDefault="004160AB" w:rsidP="00C910F3">
            <w:pPr>
              <w:pStyle w:val="Normal00"/>
              <w:spacing w:line="264" w:lineRule="auto"/>
              <w:jc w:val="both"/>
              <w:rPr>
                <w:rFonts w:ascii="Arial" w:hAnsi="Arial" w:cs="Arial"/>
                <w:sz w:val="18"/>
                <w:szCs w:val="18"/>
                <w:lang w:eastAsia="en-US"/>
              </w:rPr>
            </w:pPr>
            <w:r w:rsidRPr="001C2DCA">
              <w:rPr>
                <w:rFonts w:ascii="Arial" w:hAnsi="Arial" w:cs="Arial"/>
                <w:sz w:val="18"/>
                <w:szCs w:val="18"/>
                <w:lang w:eastAsia="en-US"/>
              </w:rPr>
              <w:t xml:space="preserve"> </w:t>
            </w:r>
          </w:p>
        </w:tc>
      </w:tr>
      <w:tr w:rsidR="00130A6D" w:rsidTr="00D06C21">
        <w:trPr>
          <w:trHeight w:hRule="exact" w:val="228"/>
        </w:trPr>
        <w:tc>
          <w:tcPr>
            <w:tcW w:w="915" w:type="pct"/>
            <w:tcBorders>
              <w:top w:val="nil"/>
              <w:left w:val="single" w:sz="4" w:space="0" w:color="003366"/>
              <w:bottom w:val="nil"/>
              <w:right w:val="single" w:sz="4" w:space="0" w:color="003366"/>
            </w:tcBorders>
          </w:tcPr>
          <w:p w:rsidR="00C31E1F" w:rsidRPr="001C2DCA" w:rsidRDefault="004160AB" w:rsidP="00D06C21">
            <w:pPr>
              <w:pStyle w:val="Normal00"/>
              <w:spacing w:line="264" w:lineRule="auto"/>
              <w:rPr>
                <w:rFonts w:ascii="Arial" w:hAnsi="Arial" w:cs="Arial"/>
                <w:b/>
                <w:bCs/>
                <w:color w:val="5E10B1"/>
                <w:sz w:val="18"/>
                <w:szCs w:val="18"/>
              </w:rPr>
            </w:pPr>
            <w:r w:rsidRPr="001C2DCA">
              <w:rPr>
                <w:rFonts w:ascii="Arial" w:hAnsi="Arial" w:cs="Arial"/>
                <w:b/>
                <w:bCs/>
                <w:color w:val="5E10B1"/>
                <w:sz w:val="18"/>
                <w:szCs w:val="18"/>
              </w:rPr>
              <w:t>Time:</w:t>
            </w:r>
          </w:p>
        </w:tc>
        <w:tc>
          <w:tcPr>
            <w:tcW w:w="1865" w:type="pct"/>
            <w:tcBorders>
              <w:top w:val="nil"/>
              <w:left w:val="single" w:sz="4" w:space="0" w:color="003366"/>
              <w:bottom w:val="nil"/>
              <w:right w:val="single" w:sz="4" w:space="0" w:color="003366"/>
            </w:tcBorders>
          </w:tcPr>
          <w:p w:rsidR="00C31E1F" w:rsidRPr="001C2DCA" w:rsidRDefault="004160AB" w:rsidP="00D06C21">
            <w:pPr>
              <w:pStyle w:val="Normal00"/>
              <w:spacing w:line="264" w:lineRule="auto"/>
              <w:jc w:val="both"/>
              <w:rPr>
                <w:rFonts w:ascii="Arial" w:hAnsi="Arial" w:cs="Arial"/>
                <w:sz w:val="18"/>
                <w:szCs w:val="18"/>
                <w:lang w:eastAsia="ja-JP"/>
              </w:rPr>
            </w:pPr>
            <w:r w:rsidRPr="001C2DCA">
              <w:rPr>
                <w:rFonts w:ascii="Arial" w:hAnsi="Arial" w:cs="Arial"/>
                <w:sz w:val="18"/>
                <w:szCs w:val="18"/>
                <w:lang w:eastAsia="ja-JP"/>
              </w:rPr>
              <w:t>9am UK time</w:t>
            </w:r>
          </w:p>
        </w:tc>
        <w:tc>
          <w:tcPr>
            <w:tcW w:w="2220" w:type="pct"/>
            <w:tcBorders>
              <w:top w:val="nil"/>
              <w:left w:val="single" w:sz="4" w:space="0" w:color="003366"/>
              <w:bottom w:val="nil"/>
              <w:right w:val="single" w:sz="4" w:space="0" w:color="003366"/>
            </w:tcBorders>
          </w:tcPr>
          <w:p w:rsidR="00C31E1F" w:rsidRPr="001C2DCA" w:rsidRDefault="004160AB" w:rsidP="00D06C21">
            <w:pPr>
              <w:pStyle w:val="Normal00"/>
              <w:spacing w:line="264" w:lineRule="auto"/>
              <w:rPr>
                <w:rFonts w:ascii="Arial" w:hAnsi="Arial" w:cs="Arial"/>
                <w:sz w:val="18"/>
                <w:szCs w:val="18"/>
              </w:rPr>
            </w:pPr>
            <w:r w:rsidRPr="001C2DCA">
              <w:rPr>
                <w:rFonts w:ascii="Arial" w:hAnsi="Arial" w:cs="Arial"/>
                <w:sz w:val="18"/>
                <w:szCs w:val="18"/>
              </w:rPr>
              <w:t>International: +44 (0) 203 057 6566</w:t>
            </w:r>
          </w:p>
        </w:tc>
      </w:tr>
      <w:tr w:rsidR="00130A6D" w:rsidTr="00D06C21">
        <w:trPr>
          <w:trHeight w:val="216"/>
        </w:trPr>
        <w:tc>
          <w:tcPr>
            <w:tcW w:w="915" w:type="pct"/>
            <w:tcBorders>
              <w:top w:val="nil"/>
              <w:left w:val="single" w:sz="4" w:space="0" w:color="003366"/>
              <w:bottom w:val="single" w:sz="4" w:space="0" w:color="003366"/>
              <w:right w:val="single" w:sz="4" w:space="0" w:color="003366"/>
            </w:tcBorders>
          </w:tcPr>
          <w:p w:rsidR="00C31E1F" w:rsidRPr="001C2DCA" w:rsidRDefault="004160AB" w:rsidP="00D06C21">
            <w:pPr>
              <w:pStyle w:val="Normal00"/>
              <w:spacing w:line="264" w:lineRule="auto"/>
              <w:rPr>
                <w:rFonts w:ascii="Arial" w:hAnsi="Arial" w:cs="Arial"/>
                <w:color w:val="5E10B1"/>
                <w:sz w:val="18"/>
                <w:szCs w:val="18"/>
                <w:lang w:eastAsia="ja-JP"/>
              </w:rPr>
            </w:pPr>
            <w:r w:rsidRPr="001C2DCA">
              <w:rPr>
                <w:rFonts w:ascii="Arial" w:hAnsi="Arial" w:cs="Arial"/>
                <w:b/>
                <w:bCs/>
                <w:color w:val="5E10B1"/>
                <w:sz w:val="18"/>
                <w:szCs w:val="18"/>
              </w:rPr>
              <w:t>Conference ID:</w:t>
            </w:r>
          </w:p>
        </w:tc>
        <w:tc>
          <w:tcPr>
            <w:tcW w:w="1865" w:type="pct"/>
            <w:tcBorders>
              <w:top w:val="nil"/>
              <w:left w:val="single" w:sz="4" w:space="0" w:color="003366"/>
              <w:bottom w:val="single" w:sz="4" w:space="0" w:color="003366"/>
              <w:right w:val="single" w:sz="4" w:space="0" w:color="003366"/>
            </w:tcBorders>
          </w:tcPr>
          <w:p w:rsidR="00C31E1F" w:rsidRPr="001C2DCA" w:rsidRDefault="004160AB" w:rsidP="00D06C21">
            <w:pPr>
              <w:pStyle w:val="Normal00"/>
              <w:spacing w:line="264" w:lineRule="auto"/>
              <w:rPr>
                <w:rFonts w:ascii="Arial" w:hAnsi="Arial" w:cs="Arial"/>
                <w:sz w:val="18"/>
                <w:szCs w:val="18"/>
                <w:lang w:eastAsia="ja-JP"/>
              </w:rPr>
            </w:pPr>
            <w:r w:rsidRPr="00831DFD">
              <w:rPr>
                <w:rFonts w:ascii="Arial" w:hAnsi="Arial" w:cs="Arial"/>
                <w:sz w:val="18"/>
                <w:szCs w:val="18"/>
                <w:lang w:eastAsia="ja-JP"/>
              </w:rPr>
              <w:t>4482325</w:t>
            </w:r>
          </w:p>
        </w:tc>
        <w:tc>
          <w:tcPr>
            <w:tcW w:w="2220" w:type="pct"/>
            <w:tcBorders>
              <w:top w:val="nil"/>
              <w:left w:val="single" w:sz="4" w:space="0" w:color="003366"/>
              <w:bottom w:val="single" w:sz="4" w:space="0" w:color="003366"/>
              <w:right w:val="single" w:sz="4" w:space="0" w:color="003366"/>
            </w:tcBorders>
          </w:tcPr>
          <w:p w:rsidR="00C31E1F" w:rsidRPr="001C2DCA" w:rsidRDefault="004160AB" w:rsidP="00D06C21">
            <w:pPr>
              <w:pStyle w:val="Normal00"/>
              <w:spacing w:line="264" w:lineRule="auto"/>
              <w:jc w:val="both"/>
              <w:rPr>
                <w:rFonts w:ascii="Arial" w:hAnsi="Arial" w:cs="Arial"/>
                <w:sz w:val="18"/>
                <w:szCs w:val="18"/>
              </w:rPr>
            </w:pPr>
            <w:r w:rsidRPr="001C2DCA">
              <w:rPr>
                <w:rFonts w:ascii="Arial" w:hAnsi="Arial" w:cs="Arial"/>
                <w:sz w:val="18"/>
                <w:szCs w:val="18"/>
              </w:rPr>
              <w:t>UK Free Call: 0800 279 5995</w:t>
            </w:r>
          </w:p>
          <w:p w:rsidR="00C31E1F" w:rsidRPr="001C2DCA" w:rsidRDefault="004160AB" w:rsidP="00D06C21">
            <w:pPr>
              <w:pStyle w:val="Normal00"/>
              <w:spacing w:line="264" w:lineRule="auto"/>
              <w:rPr>
                <w:rFonts w:ascii="Arial" w:hAnsi="Arial" w:cs="Arial"/>
                <w:sz w:val="18"/>
                <w:szCs w:val="18"/>
              </w:rPr>
            </w:pPr>
            <w:r w:rsidRPr="001C2DCA">
              <w:rPr>
                <w:rFonts w:ascii="Arial" w:hAnsi="Arial" w:cs="Arial"/>
                <w:sz w:val="18"/>
                <w:szCs w:val="18"/>
              </w:rPr>
              <w:t>US Local Dial-In, New York: +1 646 741 2115</w:t>
            </w:r>
          </w:p>
        </w:tc>
      </w:tr>
    </w:tbl>
    <w:p w:rsidR="00C31E1F" w:rsidRPr="0063631C" w:rsidRDefault="00C31E1F" w:rsidP="00C31E1F">
      <w:pPr>
        <w:pStyle w:val="Normal00"/>
        <w:spacing w:line="120" w:lineRule="auto"/>
        <w:rPr>
          <w:rFonts w:ascii="Arial" w:hAnsi="Arial" w:cs="Arial"/>
          <w:b/>
          <w:color w:val="003366"/>
          <w:sz w:val="20"/>
          <w:szCs w:val="20"/>
        </w:rPr>
      </w:pPr>
    </w:p>
    <w:p w:rsidR="00EA0A0B" w:rsidRPr="00831DFD" w:rsidRDefault="00EA0A0B" w:rsidP="00C31E1F">
      <w:pPr>
        <w:pStyle w:val="Normal00"/>
        <w:spacing w:line="264" w:lineRule="auto"/>
        <w:rPr>
          <w:rFonts w:ascii="Arial" w:eastAsia="SimSun" w:hAnsi="Arial" w:cs="Arial"/>
          <w:bCs/>
          <w:color w:val="5E10B1"/>
          <w:sz w:val="10"/>
          <w:szCs w:val="10"/>
        </w:rPr>
      </w:pPr>
    </w:p>
    <w:p w:rsidR="00EA0A0B" w:rsidRPr="001C2DCA" w:rsidRDefault="004160AB" w:rsidP="00C31E1F">
      <w:pPr>
        <w:pStyle w:val="Normal00"/>
        <w:spacing w:line="264" w:lineRule="auto"/>
        <w:rPr>
          <w:rFonts w:ascii="Arial" w:eastAsia="SimSun" w:hAnsi="Arial" w:cs="Arial"/>
          <w:bCs/>
          <w:color w:val="0000FF" w:themeColor="hyperlink"/>
          <w:sz w:val="18"/>
          <w:szCs w:val="18"/>
          <w:u w:val="single"/>
        </w:rPr>
      </w:pPr>
      <w:r w:rsidRPr="001C2DCA">
        <w:rPr>
          <w:rFonts w:ascii="Arial" w:eastAsia="SimSun" w:hAnsi="Arial" w:cs="Arial"/>
          <w:bCs/>
          <w:color w:val="5E10B1"/>
          <w:sz w:val="18"/>
          <w:szCs w:val="18"/>
        </w:rPr>
        <w:t xml:space="preserve">Available on </w:t>
      </w:r>
      <w:hyperlink r:id="rId71" w:history="1">
        <w:r w:rsidRPr="001C2DCA">
          <w:rPr>
            <w:rStyle w:val="Hyperlink"/>
            <w:rFonts w:ascii="Arial" w:eastAsia="SimSun" w:hAnsi="Arial" w:cs="Arial"/>
            <w:bCs/>
            <w:sz w:val="18"/>
            <w:szCs w:val="18"/>
          </w:rPr>
          <w:t>www.natwestgroup.com/results</w:t>
        </w:r>
      </w:hyperlink>
    </w:p>
    <w:p w:rsidR="00C31E1F" w:rsidRPr="001C2DCA" w:rsidRDefault="004160AB" w:rsidP="00C31E1F">
      <w:pPr>
        <w:pStyle w:val="Normal00"/>
        <w:numPr>
          <w:ilvl w:val="0"/>
          <w:numId w:val="18"/>
        </w:numPr>
        <w:spacing w:line="264" w:lineRule="auto"/>
        <w:rPr>
          <w:rFonts w:ascii="Arial" w:eastAsia="SimSun" w:hAnsi="Arial" w:cs="Arial"/>
          <w:bCs/>
          <w:color w:val="003366"/>
          <w:sz w:val="18"/>
          <w:szCs w:val="18"/>
        </w:rPr>
      </w:pPr>
      <w:r w:rsidRPr="001C2DCA">
        <w:rPr>
          <w:rFonts w:ascii="Arial" w:hAnsi="Arial" w:cs="Arial"/>
          <w:sz w:val="18"/>
          <w:szCs w:val="18"/>
          <w:lang w:eastAsia="ja-JP"/>
        </w:rPr>
        <w:t>Q3 2020 Interim Management Statement and slides.</w:t>
      </w:r>
    </w:p>
    <w:p w:rsidR="00C31E1F" w:rsidRPr="001C2DCA" w:rsidRDefault="004160AB" w:rsidP="00C31E1F">
      <w:pPr>
        <w:pStyle w:val="Normal00"/>
        <w:numPr>
          <w:ilvl w:val="0"/>
          <w:numId w:val="19"/>
        </w:numPr>
        <w:spacing w:line="264" w:lineRule="auto"/>
        <w:rPr>
          <w:rFonts w:ascii="Arial" w:eastAsia="SimSun" w:hAnsi="Arial" w:cs="Arial"/>
          <w:bCs/>
          <w:color w:val="003366"/>
          <w:sz w:val="18"/>
          <w:szCs w:val="18"/>
        </w:rPr>
      </w:pPr>
      <w:r w:rsidRPr="001C2DCA">
        <w:rPr>
          <w:rFonts w:ascii="Arial" w:hAnsi="Arial" w:cs="Arial"/>
          <w:sz w:val="18"/>
          <w:szCs w:val="18"/>
          <w:lang w:eastAsia="ja-JP"/>
        </w:rPr>
        <w:t>A financial supplement containing income statement, balance sheet and segment performance for the quarter ended 30 September 2020.</w:t>
      </w:r>
    </w:p>
    <w:p w:rsidR="00F672DC" w:rsidRDefault="004160AB" w:rsidP="00F672DC">
      <w:pPr>
        <w:pStyle w:val="Normal00"/>
        <w:numPr>
          <w:ilvl w:val="0"/>
          <w:numId w:val="19"/>
        </w:numPr>
        <w:spacing w:line="276" w:lineRule="auto"/>
        <w:rPr>
          <w:rFonts w:ascii="Arial" w:hAnsi="Arial" w:cs="Arial"/>
          <w:sz w:val="18"/>
          <w:szCs w:val="18"/>
          <w:lang w:eastAsia="ja-JP"/>
        </w:rPr>
      </w:pPr>
      <w:r w:rsidRPr="001C2DCA">
        <w:rPr>
          <w:rFonts w:ascii="Arial" w:hAnsi="Arial" w:cs="Arial"/>
          <w:sz w:val="18"/>
          <w:szCs w:val="18"/>
          <w:lang w:eastAsia="ja-JP"/>
        </w:rPr>
        <w:t xml:space="preserve">NatWest Group and NWH Group Pillar 3 supplements. </w:t>
      </w:r>
    </w:p>
    <w:p w:rsidR="00D0035B" w:rsidRDefault="00D0035B" w:rsidP="00D0035B">
      <w:pPr>
        <w:pStyle w:val="Normal00"/>
        <w:spacing w:line="276" w:lineRule="auto"/>
        <w:rPr>
          <w:rFonts w:ascii="Arial" w:hAnsi="Arial" w:cs="Arial"/>
          <w:sz w:val="18"/>
          <w:szCs w:val="18"/>
          <w:lang w:eastAsia="ja-JP"/>
        </w:rPr>
      </w:pPr>
    </w:p>
    <w:p w:rsidR="00C31E1F" w:rsidRPr="00823C5C" w:rsidRDefault="004160AB" w:rsidP="00AB162C">
      <w:pPr>
        <w:pStyle w:val="Normal00"/>
        <w:spacing w:line="288" w:lineRule="auto"/>
        <w:outlineLvl w:val="0"/>
        <w:rPr>
          <w:rFonts w:ascii="Arial" w:hAnsi="Arial" w:cs="Arial"/>
          <w:b/>
          <w:bCs/>
          <w:color w:val="42145F"/>
          <w:sz w:val="18"/>
          <w:szCs w:val="15"/>
        </w:rPr>
      </w:pPr>
      <w:r w:rsidRPr="00823C5C">
        <w:rPr>
          <w:rFonts w:ascii="Arial" w:hAnsi="Arial" w:cs="Arial"/>
          <w:b/>
          <w:bCs/>
          <w:color w:val="42145F"/>
          <w:sz w:val="18"/>
          <w:szCs w:val="15"/>
        </w:rPr>
        <w:t>Forward looking statements</w:t>
      </w:r>
    </w:p>
    <w:p w:rsidR="00831DFD" w:rsidRDefault="004160AB" w:rsidP="00831DFD">
      <w:pPr>
        <w:spacing w:after="200" w:line="240" w:lineRule="auto"/>
        <w:rPr>
          <w:rFonts w:cs="Arial"/>
          <w:sz w:val="15"/>
          <w:szCs w:val="15"/>
          <w:lang w:eastAsia="zh-CN"/>
        </w:rPr>
      </w:pPr>
      <w:r w:rsidRPr="00831DFD">
        <w:rPr>
          <w:rFonts w:cs="Arial"/>
          <w:sz w:val="15"/>
          <w:szCs w:val="15"/>
          <w:lang w:eastAsia="zh-CN"/>
        </w:rPr>
        <w:t>This document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w:t>
      </w:r>
      <w:proofErr w:type="spellStart"/>
      <w:r w:rsidRPr="00831DFD">
        <w:rPr>
          <w:rFonts w:cs="Arial"/>
          <w:sz w:val="15"/>
          <w:szCs w:val="15"/>
          <w:lang w:eastAsia="zh-CN"/>
        </w:rPr>
        <w:t>VaR</w:t>
      </w:r>
      <w:proofErr w:type="spellEnd"/>
      <w:r w:rsidRPr="00831DFD">
        <w:rPr>
          <w:rFonts w:cs="Arial"/>
          <w:sz w:val="15"/>
          <w:szCs w:val="15"/>
          <w:lang w:eastAsia="zh-CN"/>
        </w:rPr>
        <w:t xml:space="preserve">)’, ‘target’, ‘goal’, ‘objective’, ‘may’, ‘endeavour’, ‘outlook’, ‘optimistic’, ‘prospects’ and similar expressions or variations on these expressions. These statements concern or may affect future matters, such as NatWest Group's future economic results, business plans and strategies. In particular, this document may include forward-looking statements relating to NatWest Group plc in respect of, but not limited to: its regulatory capital position and related requirements, its financial position, profitability and financial performance (including financial, capital and operational targets), its access to adequate sources of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legal, regulatory and governmental actions and investigations, the transition of LIBOR and IBOR rates to alternative risk free rates and NatWest Group’s exposure to economic and political risks (including with respect to terms surrounding Brexit and climate change), operational risk, conduct risk, cyber and IT risk, key person risk and credit rating risk. Forward-looking statements are subject to </w:t>
      </w:r>
      <w:proofErr w:type="gramStart"/>
      <w:r w:rsidRPr="00831DFD">
        <w:rPr>
          <w:rFonts w:cs="Arial"/>
          <w:sz w:val="15"/>
          <w:szCs w:val="15"/>
          <w:lang w:eastAsia="zh-CN"/>
        </w:rPr>
        <w:t>a number of</w:t>
      </w:r>
      <w:proofErr w:type="gramEnd"/>
      <w:r w:rsidRPr="00831DFD">
        <w:rPr>
          <w:rFonts w:cs="Arial"/>
          <w:sz w:val="15"/>
          <w:szCs w:val="15"/>
          <w:lang w:eastAsia="zh-CN"/>
        </w:rPr>
        <w:t xml:space="preserve">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the final number of PPI claims and their amounts, the level and extent of future impairments and write-downs (including with respect to goodwill), legislative, political, fiscal and regulatory developments, accounting standards, competitive conditions, technological developments, interest and exchange rate fluctuations, general economic and political conditions and the uncertainty surrounding the Covid-19 pandemic and its impact on NatWest Group. These and other factors, risks and uncertainties that may impact any forward-looking statement or NatWest Group plc's actual results are discussed in NatWest Group plc's UK 2019 Annual Report and Accounts (ARA), NatWest Group plc’s Interim Results for Q1 2020 and NatWest Group plc’s Interim Results for H1 2020 and materials filed with, or furnished to, the US Securities and Exchange Commission, including, but not limited to, NatWest Group plc's most recent Annual Report on Form 20-F and Reports on Form 6-K. The forward-looking statements contained in this document speak only as of the date of this document and NatWest Group plc does not assume or undertake any obligation or responsibility to update any of the forward-looking statements contained in this document, whether as a result of new information, future events or otherwise, except to the extent legally required.</w:t>
      </w:r>
    </w:p>
    <w:p w:rsidR="00831DFD" w:rsidRDefault="00831DFD" w:rsidP="00831DFD">
      <w:pPr>
        <w:pStyle w:val="GCAHeader1140"/>
        <w:jc w:val="both"/>
        <w:outlineLvl w:val="0"/>
        <w:rPr>
          <w:b w:val="0"/>
          <w:color w:val="000000"/>
          <w:sz w:val="20"/>
          <w:szCs w:val="20"/>
          <w:lang w:eastAsia="en-GB"/>
        </w:rPr>
      </w:pPr>
    </w:p>
    <w:p w:rsidR="00EF26AB" w:rsidRDefault="004160AB" w:rsidP="00474C99">
      <w:pPr>
        <w:pStyle w:val="GCAHeader1140"/>
        <w:jc w:val="both"/>
        <w:outlineLvl w:val="0"/>
        <w:rPr>
          <w:szCs w:val="18"/>
        </w:rPr>
      </w:pPr>
      <w:r w:rsidRPr="00F12820">
        <w:rPr>
          <w:b w:val="0"/>
          <w:color w:val="000000"/>
          <w:sz w:val="20"/>
          <w:szCs w:val="20"/>
          <w:lang w:eastAsia="en-GB"/>
        </w:rPr>
        <w:t>Legal Entity Identifier: 2138005O9XJIJN4JPN90</w:t>
      </w:r>
    </w:p>
    <w:p w:rsidR="00ED0D05" w:rsidRPr="00C31E1F" w:rsidRDefault="00ED0D05">
      <w:pPr>
        <w:rPr>
          <w:rFonts w:cs="Arial"/>
          <w:szCs w:val="18"/>
        </w:rPr>
        <w:sectPr w:rsidR="00ED0D05" w:rsidRPr="00C31E1F" w:rsidSect="00C31E1F">
          <w:headerReference w:type="even" r:id="rId72"/>
          <w:headerReference w:type="default" r:id="rId73"/>
          <w:footerReference w:type="even" r:id="rId74"/>
          <w:footerReference w:type="default" r:id="rId75"/>
          <w:headerReference w:type="first" r:id="rId76"/>
          <w:footerReference w:type="first" r:id="rId77"/>
          <w:type w:val="continuous"/>
          <w:pgSz w:w="11906" w:h="16838" w:code="9"/>
          <w:pgMar w:top="1134" w:right="851" w:bottom="680" w:left="851" w:header="708" w:footer="708" w:gutter="0"/>
          <w:cols w:space="708"/>
          <w:docGrid w:linePitch="360"/>
        </w:sectPr>
      </w:pPr>
    </w:p>
    <w:p w:rsidR="007561B2" w:rsidRDefault="004160AB" w:rsidP="00C758D0">
      <w:pPr>
        <w:pStyle w:val="Normal00"/>
        <w:jc w:val="right"/>
        <w:rPr>
          <w:rFonts w:ascii="Arial" w:hAnsi="Arial" w:cs="Arial"/>
        </w:rPr>
      </w:pPr>
      <w:r w:rsidRPr="004E11BA">
        <w:rPr>
          <w:noProof/>
          <w:color w:val="42145F"/>
          <w:lang w:eastAsia="en-GB"/>
        </w:rPr>
        <w:lastRenderedPageBreak/>
        <w:drawing>
          <wp:inline distT="0" distB="0" distL="0" distR="0">
            <wp:extent cx="1616869" cy="1800225"/>
            <wp:effectExtent l="0" t="0" r="2540" b="0"/>
            <wp:docPr id="1055232688" name="Picture 2" descr="F2A4E6A5-86EA-4413-90D6-619423C4A8DF|3|Oracle.SmartView.EPRCS|{86262e33-96fb-4c42-a709-0e94f1ae6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3034" name=""/>
                    <pic:cNvPicPr/>
                  </pic:nvPicPr>
                  <pic:blipFill>
                    <a:blip r:embed="rId9"/>
                    <a:stretch>
                      <a:fillRect/>
                    </a:stretch>
                  </pic:blipFill>
                  <pic:spPr>
                    <a:xfrm>
                      <a:off x="0" y="0"/>
                      <a:ext cx="1618359" cy="1801884"/>
                    </a:xfrm>
                    <a:prstGeom prst="rect">
                      <a:avLst/>
                    </a:prstGeom>
                  </pic:spPr>
                </pic:pic>
              </a:graphicData>
            </a:graphic>
          </wp:inline>
        </w:drawing>
      </w:r>
    </w:p>
    <w:p w:rsidR="007561B2" w:rsidRDefault="007561B2" w:rsidP="007561B2">
      <w:pPr>
        <w:pStyle w:val="Normal00"/>
        <w:rPr>
          <w:rFonts w:ascii="Arial" w:hAnsi="Arial" w:cs="Arial"/>
        </w:rPr>
      </w:pPr>
    </w:p>
    <w:p w:rsidR="007561B2" w:rsidRDefault="007561B2" w:rsidP="007561B2">
      <w:pPr>
        <w:pStyle w:val="Normal00"/>
        <w:rPr>
          <w:rFonts w:ascii="Arial" w:hAnsi="Arial" w:cs="Arial"/>
        </w:rPr>
      </w:pPr>
    </w:p>
    <w:p w:rsidR="007561B2" w:rsidRDefault="007561B2" w:rsidP="007561B2">
      <w:pPr>
        <w:pStyle w:val="Normal00"/>
        <w:rPr>
          <w:rFonts w:ascii="Arial" w:hAnsi="Arial" w:cs="Arial"/>
        </w:rPr>
      </w:pPr>
    </w:p>
    <w:p w:rsidR="007561B2" w:rsidRDefault="007561B2" w:rsidP="007561B2">
      <w:pPr>
        <w:pStyle w:val="Normal00"/>
        <w:rPr>
          <w:rFonts w:ascii="Arial" w:hAnsi="Arial" w:cs="Arial"/>
        </w:rPr>
      </w:pPr>
    </w:p>
    <w:p w:rsidR="007561B2" w:rsidRPr="0085079D" w:rsidRDefault="007561B2" w:rsidP="007561B2">
      <w:pPr>
        <w:pStyle w:val="Normal00"/>
        <w:jc w:val="center"/>
        <w:rPr>
          <w:rFonts w:ascii="Arial" w:hAnsi="Arial" w:cs="Arial"/>
          <w:color w:val="42145F"/>
          <w:sz w:val="64"/>
          <w:szCs w:val="20"/>
        </w:rPr>
      </w:pPr>
    </w:p>
    <w:p w:rsidR="007561B2" w:rsidRPr="0085079D" w:rsidRDefault="007561B2" w:rsidP="007561B2">
      <w:pPr>
        <w:pStyle w:val="Normal00"/>
        <w:jc w:val="center"/>
        <w:rPr>
          <w:rFonts w:ascii="Arial" w:hAnsi="Arial" w:cs="Arial"/>
          <w:color w:val="42145F"/>
          <w:sz w:val="64"/>
          <w:szCs w:val="20"/>
        </w:rPr>
      </w:pPr>
    </w:p>
    <w:p w:rsidR="00C1377E" w:rsidRPr="00C1377E" w:rsidRDefault="004160AB" w:rsidP="00C1377E">
      <w:pPr>
        <w:pStyle w:val="GCATitlePageText00"/>
        <w:rPr>
          <w:rFonts w:cs="Arial"/>
          <w:color w:val="42145F"/>
          <w:szCs w:val="64"/>
        </w:rPr>
      </w:pPr>
      <w:r w:rsidRPr="00C30888">
        <w:rPr>
          <w:rFonts w:cs="Arial"/>
          <w:color w:val="42145F"/>
          <w:szCs w:val="64"/>
        </w:rPr>
        <w:t>Appendix</w:t>
      </w:r>
    </w:p>
    <w:p w:rsidR="00C1377E" w:rsidRDefault="00C1377E" w:rsidP="00DF246B">
      <w:pPr>
        <w:pStyle w:val="Normal00"/>
        <w:jc w:val="center"/>
        <w:rPr>
          <w:rFonts w:ascii="Arial" w:hAnsi="Arial" w:cs="Arial"/>
          <w:color w:val="42145F"/>
          <w:sz w:val="64"/>
          <w:szCs w:val="20"/>
        </w:rPr>
      </w:pPr>
    </w:p>
    <w:p w:rsidR="007561B2" w:rsidRPr="0085079D" w:rsidRDefault="004160AB" w:rsidP="00DF246B">
      <w:pPr>
        <w:pStyle w:val="Normal00"/>
        <w:jc w:val="center"/>
        <w:rPr>
          <w:rFonts w:ascii="Arial" w:hAnsi="Arial" w:cs="Arial"/>
          <w:color w:val="42145F"/>
          <w:sz w:val="56"/>
          <w:szCs w:val="56"/>
        </w:rPr>
      </w:pPr>
      <w:r w:rsidRPr="00DF246B">
        <w:rPr>
          <w:rFonts w:ascii="Arial" w:hAnsi="Arial" w:cs="Arial"/>
          <w:color w:val="42145F"/>
          <w:sz w:val="64"/>
          <w:szCs w:val="20"/>
        </w:rPr>
        <w:t>Non-IFRS financial</w:t>
      </w:r>
      <w:r w:rsidRPr="0085079D">
        <w:rPr>
          <w:rFonts w:ascii="Arial" w:hAnsi="Arial" w:cs="Arial"/>
          <w:color w:val="42145F"/>
          <w:sz w:val="56"/>
          <w:szCs w:val="56"/>
        </w:rPr>
        <w:t xml:space="preserve"> </w:t>
      </w:r>
      <w:r w:rsidRPr="000B4143">
        <w:rPr>
          <w:rFonts w:ascii="Arial" w:hAnsi="Arial" w:cs="Arial"/>
          <w:color w:val="42145F"/>
          <w:sz w:val="64"/>
          <w:szCs w:val="64"/>
        </w:rPr>
        <w:t>measures</w:t>
      </w:r>
    </w:p>
    <w:p w:rsidR="007561B2" w:rsidRPr="0085079D" w:rsidRDefault="007561B2" w:rsidP="007561B2">
      <w:pPr>
        <w:pStyle w:val="Normal00"/>
        <w:jc w:val="center"/>
        <w:rPr>
          <w:rFonts w:ascii="Arial" w:hAnsi="Arial" w:cs="Arial"/>
          <w:color w:val="42145F"/>
          <w:sz w:val="64"/>
          <w:szCs w:val="20"/>
        </w:rPr>
      </w:pPr>
    </w:p>
    <w:p w:rsidR="007561B2" w:rsidRPr="0085079D" w:rsidRDefault="007561B2" w:rsidP="007561B2">
      <w:pPr>
        <w:pStyle w:val="Normal00"/>
        <w:jc w:val="center"/>
        <w:rPr>
          <w:rFonts w:ascii="Arial" w:hAnsi="Arial" w:cs="Arial"/>
          <w:color w:val="42145F"/>
          <w:sz w:val="64"/>
          <w:szCs w:val="20"/>
        </w:rPr>
      </w:pPr>
    </w:p>
    <w:p w:rsidR="007561B2" w:rsidRPr="0085079D" w:rsidRDefault="007561B2" w:rsidP="007561B2">
      <w:pPr>
        <w:pStyle w:val="Normal00"/>
        <w:jc w:val="center"/>
        <w:rPr>
          <w:rFonts w:ascii="Arial" w:hAnsi="Arial" w:cs="Arial"/>
          <w:color w:val="42145F"/>
          <w:sz w:val="64"/>
          <w:szCs w:val="20"/>
        </w:rPr>
      </w:pPr>
    </w:p>
    <w:p w:rsidR="007561B2" w:rsidRPr="0085079D" w:rsidRDefault="007561B2" w:rsidP="007561B2">
      <w:pPr>
        <w:rPr>
          <w:color w:val="42145F"/>
          <w:szCs w:val="20"/>
        </w:rPr>
        <w:sectPr w:rsidR="007561B2" w:rsidRPr="0085079D">
          <w:headerReference w:type="even" r:id="rId78"/>
          <w:headerReference w:type="default" r:id="rId79"/>
          <w:footerReference w:type="even" r:id="rId80"/>
          <w:footerReference w:type="default" r:id="rId81"/>
          <w:headerReference w:type="first" r:id="rId82"/>
          <w:footerReference w:type="first" r:id="rId83"/>
          <w:type w:val="continuous"/>
          <w:pgSz w:w="11906" w:h="16838"/>
          <w:pgMar w:top="1134" w:right="851" w:bottom="680" w:left="851" w:header="708" w:footer="708" w:gutter="0"/>
          <w:cols w:space="708"/>
        </w:sectPr>
      </w:pPr>
    </w:p>
    <w:p w:rsidR="0035533D" w:rsidRDefault="004160AB">
      <w:pPr>
        <w:spacing w:after="200"/>
        <w:rPr>
          <w:rFonts w:eastAsia="Times New Roman" w:cs="Arial"/>
          <w:b/>
          <w:color w:val="42145F"/>
          <w:szCs w:val="20"/>
          <w:lang w:eastAsia="ja-JP"/>
        </w:rPr>
      </w:pPr>
      <w:r>
        <w:rPr>
          <w:rFonts w:cs="Arial"/>
          <w:b/>
          <w:color w:val="42145F"/>
        </w:rPr>
        <w:br w:type="page"/>
      </w:r>
    </w:p>
    <w:p w:rsidR="007561B2" w:rsidRPr="00E257B3" w:rsidRDefault="004160AB" w:rsidP="007561B2">
      <w:pPr>
        <w:pStyle w:val="Heading100"/>
        <w:pBdr>
          <w:bottom w:val="none" w:sz="0" w:space="0" w:color="auto"/>
        </w:pBdr>
        <w:rPr>
          <w:rFonts w:cs="Arial"/>
          <w:b/>
          <w:color w:val="42145F"/>
          <w:sz w:val="18"/>
        </w:rPr>
      </w:pPr>
      <w:r w:rsidRPr="00E257B3">
        <w:rPr>
          <w:rFonts w:cs="Arial"/>
          <w:b/>
          <w:color w:val="42145F"/>
          <w:sz w:val="18"/>
        </w:rPr>
        <w:lastRenderedPageBreak/>
        <w:t xml:space="preserve">Appendix Non-IFRS financial measures </w:t>
      </w:r>
    </w:p>
    <w:p w:rsidR="0047547C" w:rsidRPr="00E257B3" w:rsidRDefault="004160AB" w:rsidP="0047547C">
      <w:pPr>
        <w:pStyle w:val="Normal00"/>
        <w:spacing w:line="259" w:lineRule="auto"/>
        <w:rPr>
          <w:rFonts w:ascii="Arial" w:hAnsi="Arial" w:cs="Arial"/>
          <w:sz w:val="18"/>
          <w:szCs w:val="20"/>
          <w:lang w:eastAsia="ja-JP"/>
        </w:rPr>
      </w:pPr>
      <w:r w:rsidRPr="00E257B3">
        <w:rPr>
          <w:rFonts w:ascii="Arial" w:hAnsi="Arial" w:cs="Arial"/>
          <w:sz w:val="18"/>
          <w:szCs w:val="20"/>
          <w:lang w:eastAsia="ja-JP"/>
        </w:rPr>
        <w:t xml:space="preserve">As described in Note 1, NatWest Group prepares its financial statements in accordance with IFRS as issued by the IASB which constitutes a body of generally accepted accounting principles (GAAP). This document contains </w:t>
      </w:r>
      <w:proofErr w:type="gramStart"/>
      <w:r w:rsidRPr="00E257B3">
        <w:rPr>
          <w:rFonts w:ascii="Arial" w:hAnsi="Arial" w:cs="Arial"/>
          <w:sz w:val="18"/>
          <w:szCs w:val="20"/>
          <w:lang w:eastAsia="ja-JP"/>
        </w:rPr>
        <w:t>a number of</w:t>
      </w:r>
      <w:proofErr w:type="gramEnd"/>
      <w:r w:rsidRPr="00E257B3">
        <w:rPr>
          <w:rFonts w:ascii="Arial" w:hAnsi="Arial" w:cs="Arial"/>
          <w:sz w:val="18"/>
          <w:szCs w:val="20"/>
          <w:lang w:eastAsia="ja-JP"/>
        </w:rPr>
        <w:t xml:space="preserve"> adjusted or alternative performance measures, also known as non-GAAP or non-IFRS performance measures. These measures are adjusted for certain items which management believe are not representative of the underlying performance of the business and which distort period-on-period comparison. These non-IFRS measures are not measures within the scope of IFRS and are not a substitute for IFRS measures. These measures include:</w:t>
      </w:r>
    </w:p>
    <w:p w:rsidR="0047547C" w:rsidRPr="00E257B3" w:rsidRDefault="0047547C" w:rsidP="007561B2">
      <w:pPr>
        <w:pStyle w:val="Normal00"/>
        <w:spacing w:line="276" w:lineRule="auto"/>
        <w:rPr>
          <w:rFonts w:ascii="Arial" w:hAnsi="Arial" w:cs="Arial"/>
          <w:b/>
          <w:bCs/>
          <w:color w:val="42145F"/>
          <w:sz w:val="18"/>
          <w:szCs w:val="20"/>
          <w:lang w:eastAsia="en-US"/>
        </w:rPr>
      </w:pPr>
    </w:p>
    <w:p w:rsidR="007561B2" w:rsidRPr="00E257B3" w:rsidRDefault="004160AB" w:rsidP="007561B2">
      <w:pPr>
        <w:pStyle w:val="Normal00"/>
        <w:spacing w:line="276" w:lineRule="auto"/>
        <w:rPr>
          <w:rFonts w:ascii="Arial" w:hAnsi="Arial" w:cs="Arial"/>
          <w:b/>
          <w:bCs/>
          <w:color w:val="42145F"/>
          <w:sz w:val="18"/>
          <w:szCs w:val="20"/>
          <w:lang w:eastAsia="en-US"/>
        </w:rPr>
      </w:pPr>
      <w:r w:rsidRPr="00E257B3">
        <w:rPr>
          <w:rFonts w:ascii="Arial" w:hAnsi="Arial" w:cs="Arial"/>
          <w:b/>
          <w:bCs/>
          <w:color w:val="42145F"/>
          <w:sz w:val="18"/>
          <w:szCs w:val="20"/>
          <w:lang w:eastAsia="en-US"/>
        </w:rPr>
        <w:t>Non-IFRS financial measures</w:t>
      </w:r>
    </w:p>
    <w:tbl>
      <w:tblPr>
        <w:tblW w:w="10206" w:type="dxa"/>
        <w:tblBorders>
          <w:insideH w:val="single" w:sz="4" w:space="0" w:color="auto"/>
          <w:insideV w:val="single" w:sz="4" w:space="0" w:color="auto"/>
        </w:tblBorders>
        <w:tblCellMar>
          <w:left w:w="0" w:type="dxa"/>
          <w:right w:w="0" w:type="dxa"/>
        </w:tblCellMar>
        <w:tblLook w:val="00A0" w:firstRow="1" w:lastRow="0" w:firstColumn="1" w:lastColumn="0" w:noHBand="0" w:noVBand="0"/>
      </w:tblPr>
      <w:tblGrid>
        <w:gridCol w:w="1586"/>
        <w:gridCol w:w="6672"/>
        <w:gridCol w:w="1948"/>
      </w:tblGrid>
      <w:tr w:rsidR="00130A6D" w:rsidTr="007561B2">
        <w:tc>
          <w:tcPr>
            <w:tcW w:w="1586"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7561B2"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rPr>
              <w:br w:type="page"/>
            </w:r>
            <w:r w:rsidRPr="0085079D">
              <w:rPr>
                <w:rFonts w:ascii="Arial" w:hAnsi="Arial" w:cs="Arial"/>
                <w:bCs/>
                <w:color w:val="5E10B1"/>
                <w:sz w:val="17"/>
                <w:szCs w:val="17"/>
                <w:lang w:eastAsia="en-US"/>
              </w:rPr>
              <w:t>Measure</w:t>
            </w:r>
          </w:p>
        </w:tc>
        <w:tc>
          <w:tcPr>
            <w:tcW w:w="667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7561B2"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Basis of preparation</w:t>
            </w:r>
          </w:p>
        </w:tc>
        <w:tc>
          <w:tcPr>
            <w:tcW w:w="1948" w:type="dxa"/>
            <w:tcBorders>
              <w:top w:val="nil"/>
              <w:left w:val="single" w:sz="4" w:space="0" w:color="auto"/>
              <w:bottom w:val="single" w:sz="4" w:space="0" w:color="auto"/>
              <w:right w:val="nil"/>
            </w:tcBorders>
            <w:tcMar>
              <w:top w:w="0" w:type="dxa"/>
              <w:left w:w="108" w:type="dxa"/>
              <w:bottom w:w="0" w:type="dxa"/>
              <w:right w:w="108" w:type="dxa"/>
            </w:tcMar>
            <w:vAlign w:val="bottom"/>
            <w:hideMark/>
          </w:tcPr>
          <w:p w:rsidR="007561B2"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Additional analysis or reconciliation</w:t>
            </w:r>
          </w:p>
        </w:tc>
      </w:tr>
      <w:tr w:rsidR="00130A6D"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7547C" w:rsidRPr="0085079D" w:rsidRDefault="004160AB" w:rsidP="0047547C">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 xml:space="preserve">NatWest Group return on tangible equity </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547C" w:rsidRDefault="004160AB" w:rsidP="001C2EF5">
            <w:pPr>
              <w:pStyle w:val="Normal00"/>
              <w:rPr>
                <w:rFonts w:ascii="Arial" w:hAnsi="Arial" w:cs="Arial"/>
                <w:sz w:val="17"/>
                <w:szCs w:val="17"/>
                <w:lang w:eastAsia="en-US"/>
              </w:rPr>
            </w:pPr>
            <w:r>
              <w:rPr>
                <w:rFonts w:ascii="Arial" w:hAnsi="Arial" w:cs="Arial"/>
                <w:color w:val="000000"/>
                <w:sz w:val="17"/>
                <w:szCs w:val="17"/>
              </w:rPr>
              <w:t>Annualised loss or profit for the period attributable to ordinary shareholders divided by average tangible equity. Average tangible equity is average total equity less average intangible assets and average other owners’ equity.</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47547C" w:rsidRDefault="004160AB" w:rsidP="00E43A4A">
            <w:pPr>
              <w:pStyle w:val="Normal00"/>
              <w:rPr>
                <w:rFonts w:ascii="Arial" w:hAnsi="Arial" w:cs="Arial"/>
                <w:sz w:val="17"/>
                <w:szCs w:val="17"/>
                <w:shd w:val="clear" w:color="auto" w:fill="FFFFFF"/>
              </w:rPr>
            </w:pPr>
            <w:r>
              <w:rPr>
                <w:rFonts w:ascii="Arial" w:hAnsi="Arial" w:cs="Arial"/>
                <w:sz w:val="17"/>
                <w:szCs w:val="17"/>
                <w:shd w:val="clear" w:color="auto" w:fill="FFFFFF"/>
              </w:rPr>
              <w:t>Table 1</w:t>
            </w:r>
          </w:p>
        </w:tc>
      </w:tr>
      <w:tr w:rsidR="00130A6D"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5F630D" w:rsidRPr="0085079D" w:rsidRDefault="004160AB" w:rsidP="00862891">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Segmental return on equity</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630D" w:rsidRDefault="004160AB" w:rsidP="00011E8B">
            <w:pPr>
              <w:pStyle w:val="Normal00"/>
              <w:rPr>
                <w:rFonts w:ascii="Arial" w:hAnsi="Arial" w:cs="Arial"/>
                <w:sz w:val="17"/>
                <w:szCs w:val="17"/>
                <w:lang w:eastAsia="en-US"/>
              </w:rPr>
            </w:pPr>
            <w:r>
              <w:rPr>
                <w:rFonts w:ascii="Arial" w:hAnsi="Arial" w:cs="Arial"/>
                <w:color w:val="000000"/>
                <w:sz w:val="17"/>
                <w:szCs w:val="17"/>
                <w:shd w:val="clear" w:color="auto" w:fill="FFFFFF"/>
                <w:lang w:eastAsia="ja-JP"/>
              </w:rPr>
              <w:t>Annualised segmental operating loss or profit adjusted for tax and for preference share dividends divided by average notional equity, allocated at an operating segment specific rate, of the period average segmental risk-weighted assets incorporating the effect of capital deductions (</w:t>
            </w:r>
            <w:proofErr w:type="spellStart"/>
            <w:r>
              <w:rPr>
                <w:rFonts w:ascii="Arial" w:hAnsi="Arial" w:cs="Arial"/>
                <w:color w:val="000000"/>
                <w:sz w:val="17"/>
                <w:szCs w:val="17"/>
                <w:shd w:val="clear" w:color="auto" w:fill="FFFFFF"/>
                <w:lang w:eastAsia="ja-JP"/>
              </w:rPr>
              <w:t>RWAes</w:t>
            </w:r>
            <w:proofErr w:type="spellEnd"/>
            <w:r>
              <w:rPr>
                <w:rFonts w:ascii="Arial" w:hAnsi="Arial" w:cs="Arial"/>
                <w:color w:val="000000"/>
                <w:sz w:val="17"/>
                <w:szCs w:val="17"/>
                <w:shd w:val="clear" w:color="auto" w:fill="FFFFFF"/>
                <w:lang w:eastAsia="ja-JP"/>
              </w:rPr>
              <w:t>).</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F630D" w:rsidRDefault="004160AB" w:rsidP="00862891">
            <w:pPr>
              <w:pStyle w:val="Normal00"/>
              <w:rPr>
                <w:rFonts w:ascii="Arial" w:hAnsi="Arial" w:cs="Arial"/>
                <w:sz w:val="17"/>
                <w:szCs w:val="17"/>
                <w:shd w:val="clear" w:color="auto" w:fill="FFFFFF"/>
              </w:rPr>
            </w:pPr>
            <w:r>
              <w:rPr>
                <w:rFonts w:ascii="Arial" w:hAnsi="Arial" w:cs="Arial"/>
                <w:sz w:val="17"/>
                <w:szCs w:val="17"/>
                <w:shd w:val="clear" w:color="auto" w:fill="FFFFFF"/>
              </w:rPr>
              <w:t>Table 1</w:t>
            </w:r>
          </w:p>
        </w:tc>
      </w:tr>
      <w:tr w:rsidR="00130A6D"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5F630D"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Operating expenses analysis – management view</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547C" w:rsidRPr="00E7759E" w:rsidRDefault="004160AB" w:rsidP="0047547C">
            <w:pPr>
              <w:autoSpaceDE w:val="0"/>
              <w:autoSpaceDN w:val="0"/>
              <w:adjustRightInd w:val="0"/>
              <w:spacing w:line="240" w:lineRule="auto"/>
              <w:rPr>
                <w:rFonts w:cs="Arial"/>
                <w:sz w:val="17"/>
                <w:szCs w:val="17"/>
              </w:rPr>
            </w:pPr>
            <w:r w:rsidRPr="00E7759E">
              <w:rPr>
                <w:rFonts w:cs="Arial"/>
                <w:sz w:val="17"/>
                <w:szCs w:val="17"/>
              </w:rPr>
              <w:t>The management analysis of operating expenses shows strategic costs and litigation</w:t>
            </w:r>
          </w:p>
          <w:p w:rsidR="0047547C" w:rsidRPr="00E7759E" w:rsidRDefault="004160AB" w:rsidP="0047547C">
            <w:pPr>
              <w:autoSpaceDE w:val="0"/>
              <w:autoSpaceDN w:val="0"/>
              <w:adjustRightInd w:val="0"/>
              <w:spacing w:line="240" w:lineRule="auto"/>
              <w:rPr>
                <w:rFonts w:cs="Arial"/>
                <w:sz w:val="17"/>
                <w:szCs w:val="17"/>
              </w:rPr>
            </w:pPr>
            <w:r w:rsidRPr="00E7759E">
              <w:rPr>
                <w:rFonts w:cs="Arial"/>
                <w:sz w:val="17"/>
                <w:szCs w:val="17"/>
              </w:rPr>
              <w:t>and conduct costs in separate lines. Depreciation and amortisation, impairment of</w:t>
            </w:r>
          </w:p>
          <w:p w:rsidR="0047547C" w:rsidRPr="00E7759E" w:rsidRDefault="004160AB" w:rsidP="0047547C">
            <w:pPr>
              <w:autoSpaceDE w:val="0"/>
              <w:autoSpaceDN w:val="0"/>
              <w:adjustRightInd w:val="0"/>
              <w:spacing w:line="240" w:lineRule="auto"/>
              <w:rPr>
                <w:rFonts w:cs="Arial"/>
                <w:sz w:val="17"/>
                <w:szCs w:val="17"/>
              </w:rPr>
            </w:pPr>
            <w:r w:rsidRPr="00E7759E">
              <w:rPr>
                <w:rFonts w:cs="Arial"/>
                <w:sz w:val="17"/>
                <w:szCs w:val="17"/>
              </w:rPr>
              <w:t>other intangibles and other administrative expenses attributable to these costs are</w:t>
            </w:r>
          </w:p>
          <w:p w:rsidR="0047547C" w:rsidRPr="00E7759E" w:rsidRDefault="004160AB" w:rsidP="0047547C">
            <w:pPr>
              <w:autoSpaceDE w:val="0"/>
              <w:autoSpaceDN w:val="0"/>
              <w:adjustRightInd w:val="0"/>
              <w:spacing w:line="240" w:lineRule="auto"/>
              <w:rPr>
                <w:rFonts w:cs="Arial"/>
                <w:sz w:val="17"/>
                <w:szCs w:val="17"/>
              </w:rPr>
            </w:pPr>
            <w:r w:rsidRPr="00E7759E">
              <w:rPr>
                <w:rFonts w:cs="Arial"/>
                <w:sz w:val="17"/>
                <w:szCs w:val="17"/>
              </w:rPr>
              <w:t>included in strategic costs and litigation and conduct costs lines for management</w:t>
            </w:r>
          </w:p>
          <w:p w:rsidR="0047547C" w:rsidRPr="00E7759E" w:rsidRDefault="004160AB" w:rsidP="0047547C">
            <w:pPr>
              <w:autoSpaceDE w:val="0"/>
              <w:autoSpaceDN w:val="0"/>
              <w:adjustRightInd w:val="0"/>
              <w:spacing w:line="240" w:lineRule="auto"/>
              <w:rPr>
                <w:rFonts w:cs="Arial"/>
                <w:sz w:val="17"/>
                <w:szCs w:val="17"/>
              </w:rPr>
            </w:pPr>
            <w:r w:rsidRPr="00E7759E">
              <w:rPr>
                <w:rFonts w:cs="Arial"/>
                <w:sz w:val="17"/>
                <w:szCs w:val="17"/>
              </w:rPr>
              <w:t>analysis. These amounts are included in staff, premises and equipment and other</w:t>
            </w:r>
          </w:p>
          <w:p w:rsidR="005F630D" w:rsidRDefault="004160AB" w:rsidP="0047547C">
            <w:pPr>
              <w:pStyle w:val="Normal00"/>
              <w:rPr>
                <w:rFonts w:ascii="Arial" w:hAnsi="Arial" w:cs="Arial"/>
                <w:sz w:val="17"/>
                <w:szCs w:val="17"/>
                <w:lang w:eastAsia="en-US"/>
              </w:rPr>
            </w:pPr>
            <w:r w:rsidRPr="00E7759E">
              <w:rPr>
                <w:rFonts w:ascii="Arial" w:hAnsi="Arial" w:cs="Arial"/>
                <w:sz w:val="17"/>
                <w:szCs w:val="17"/>
              </w:rPr>
              <w:t>administrative expenses in the statutory analysis.</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5F630D" w:rsidRDefault="004160AB" w:rsidP="008C55F4">
            <w:pPr>
              <w:pStyle w:val="Normal00"/>
              <w:rPr>
                <w:rFonts w:ascii="Arial" w:hAnsi="Arial" w:cs="Arial"/>
                <w:sz w:val="17"/>
                <w:szCs w:val="17"/>
                <w:lang w:eastAsia="en-US"/>
              </w:rPr>
            </w:pPr>
            <w:r>
              <w:rPr>
                <w:rFonts w:ascii="Arial" w:hAnsi="Arial" w:cs="Arial"/>
                <w:sz w:val="17"/>
                <w:szCs w:val="17"/>
                <w:shd w:val="clear" w:color="auto" w:fill="FFFFFF"/>
              </w:rPr>
              <w:t>Table 2</w:t>
            </w:r>
          </w:p>
        </w:tc>
      </w:tr>
      <w:tr w:rsidR="00130A6D"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5F630D" w:rsidRPr="0085079D" w:rsidRDefault="004160AB">
            <w:pPr>
              <w:pStyle w:val="Normal00"/>
              <w:rPr>
                <w:rFonts w:ascii="Arial" w:hAnsi="Arial" w:cs="Arial"/>
                <w:bCs/>
                <w:color w:val="5E10B1"/>
                <w:sz w:val="17"/>
                <w:szCs w:val="17"/>
                <w:lang w:eastAsia="en-US"/>
              </w:rPr>
            </w:pPr>
            <w:proofErr w:type="spellStart"/>
            <w:r w:rsidRPr="0085079D">
              <w:rPr>
                <w:rFonts w:ascii="Arial" w:hAnsi="Arial" w:cs="Arial"/>
                <w:bCs/>
                <w:color w:val="5E10B1"/>
                <w:sz w:val="17"/>
                <w:szCs w:val="17"/>
                <w:lang w:eastAsia="en-US"/>
              </w:rPr>
              <w:t>Cost:income</w:t>
            </w:r>
            <w:proofErr w:type="spellEnd"/>
            <w:r w:rsidRPr="0085079D">
              <w:rPr>
                <w:rFonts w:ascii="Arial" w:hAnsi="Arial" w:cs="Arial"/>
                <w:bCs/>
                <w:color w:val="5E10B1"/>
                <w:sz w:val="17"/>
                <w:szCs w:val="17"/>
                <w:lang w:eastAsia="en-US"/>
              </w:rPr>
              <w:t xml:space="preserve"> ratio</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630D" w:rsidRDefault="004160AB">
            <w:pPr>
              <w:pStyle w:val="Normal00"/>
              <w:rPr>
                <w:rFonts w:ascii="Arial" w:hAnsi="Arial" w:cs="Arial"/>
                <w:sz w:val="17"/>
                <w:szCs w:val="17"/>
                <w:lang w:eastAsia="en-US"/>
              </w:rPr>
            </w:pPr>
            <w:r>
              <w:rPr>
                <w:rFonts w:ascii="Arial" w:hAnsi="Arial" w:cs="Arial"/>
                <w:sz w:val="17"/>
                <w:szCs w:val="17"/>
                <w:lang w:eastAsia="en-US"/>
              </w:rPr>
              <w:t>Total operating expenses less operating lease depreciation divided by total income less operating lease depreciation.</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5F630D" w:rsidRDefault="004160AB" w:rsidP="008C55F4">
            <w:pPr>
              <w:pStyle w:val="Normal00"/>
              <w:rPr>
                <w:rFonts w:ascii="Arial" w:hAnsi="Arial" w:cs="Arial"/>
                <w:sz w:val="17"/>
                <w:szCs w:val="17"/>
                <w:lang w:eastAsia="en-US"/>
              </w:rPr>
            </w:pPr>
            <w:r>
              <w:rPr>
                <w:rFonts w:ascii="Arial" w:hAnsi="Arial" w:cs="Arial"/>
                <w:sz w:val="17"/>
                <w:szCs w:val="17"/>
                <w:shd w:val="clear" w:color="auto" w:fill="FFFFFF"/>
              </w:rPr>
              <w:t>Table 3</w:t>
            </w:r>
          </w:p>
        </w:tc>
      </w:tr>
      <w:tr w:rsidR="00130A6D"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7547C"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Commentary – adjusted periodically for specific items</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547C" w:rsidRPr="0047547C" w:rsidRDefault="004160AB" w:rsidP="0047547C">
            <w:pPr>
              <w:autoSpaceDE w:val="0"/>
              <w:autoSpaceDN w:val="0"/>
              <w:adjustRightInd w:val="0"/>
              <w:spacing w:line="240" w:lineRule="auto"/>
              <w:rPr>
                <w:rFonts w:eastAsia="Times New Roman" w:cs="Arial"/>
                <w:sz w:val="17"/>
                <w:szCs w:val="17"/>
              </w:rPr>
            </w:pPr>
            <w:r>
              <w:rPr>
                <w:rFonts w:eastAsia="Times New Roman" w:cs="Arial"/>
                <w:sz w:val="17"/>
                <w:szCs w:val="17"/>
              </w:rPr>
              <w:t xml:space="preserve">NatWest Group and segmental business performance commentary have been adjusted for the impact of specific items such as transfers, strategic costs and, litigation and conduct costs </w:t>
            </w:r>
            <w:r w:rsidRPr="00011E8B">
              <w:rPr>
                <w:rFonts w:cs="Arial"/>
                <w:sz w:val="17"/>
                <w:szCs w:val="17"/>
              </w:rPr>
              <w:t>(detailed on pages 10 to 14).</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47547C" w:rsidRDefault="004160AB" w:rsidP="0047547C">
            <w:pPr>
              <w:pStyle w:val="Normal00"/>
              <w:rPr>
                <w:rFonts w:ascii="Arial" w:hAnsi="Arial" w:cs="Arial"/>
                <w:sz w:val="17"/>
                <w:szCs w:val="17"/>
                <w:lang w:eastAsia="en-US"/>
              </w:rPr>
            </w:pPr>
            <w:bookmarkStart w:id="29" w:name="_GoBack"/>
            <w:r>
              <w:rPr>
                <w:rFonts w:ascii="Arial" w:hAnsi="Arial" w:cs="Arial"/>
                <w:sz w:val="17"/>
                <w:szCs w:val="17"/>
                <w:lang w:eastAsia="en-US"/>
              </w:rPr>
              <w:t>Notable items - page 4</w:t>
            </w:r>
          </w:p>
          <w:p w:rsidR="0047547C" w:rsidRDefault="004160AB" w:rsidP="0047547C">
            <w:pPr>
              <w:pStyle w:val="Normal00"/>
              <w:rPr>
                <w:rFonts w:ascii="Arial" w:hAnsi="Arial" w:cs="Arial"/>
                <w:sz w:val="17"/>
                <w:szCs w:val="17"/>
                <w:lang w:eastAsia="en-US"/>
              </w:rPr>
            </w:pPr>
            <w:r>
              <w:rPr>
                <w:rFonts w:ascii="Arial" w:hAnsi="Arial" w:cs="Arial"/>
                <w:sz w:val="17"/>
                <w:szCs w:val="17"/>
                <w:lang w:eastAsia="en-US"/>
              </w:rPr>
              <w:t>Transfers – pages 5 and 8</w:t>
            </w:r>
          </w:p>
          <w:p w:rsidR="0047547C" w:rsidRDefault="004160AB" w:rsidP="0047547C">
            <w:pPr>
              <w:pStyle w:val="Normal00"/>
              <w:rPr>
                <w:rFonts w:ascii="Arial" w:hAnsi="Arial" w:cs="Arial"/>
                <w:sz w:val="17"/>
                <w:szCs w:val="17"/>
                <w:lang w:eastAsia="en-US"/>
              </w:rPr>
            </w:pPr>
            <w:r>
              <w:rPr>
                <w:rFonts w:ascii="Arial" w:hAnsi="Arial" w:cs="Arial"/>
                <w:sz w:val="17"/>
                <w:szCs w:val="17"/>
                <w:lang w:eastAsia="en-US"/>
              </w:rPr>
              <w:t>Strategic costs and, litigation and conduct costs - pages 10 to 14</w:t>
            </w:r>
            <w:bookmarkEnd w:id="29"/>
          </w:p>
        </w:tc>
      </w:tr>
      <w:tr w:rsidR="00130A6D" w:rsidTr="0047547C">
        <w:tc>
          <w:tcPr>
            <w:tcW w:w="1586" w:type="dxa"/>
            <w:tcBorders>
              <w:top w:val="single" w:sz="4" w:space="0" w:color="auto"/>
              <w:left w:val="nil"/>
              <w:bottom w:val="nil"/>
              <w:right w:val="single" w:sz="4" w:space="0" w:color="auto"/>
            </w:tcBorders>
            <w:tcMar>
              <w:top w:w="0" w:type="dxa"/>
              <w:left w:w="108" w:type="dxa"/>
              <w:bottom w:w="0" w:type="dxa"/>
              <w:right w:w="108" w:type="dxa"/>
            </w:tcMar>
            <w:hideMark/>
          </w:tcPr>
          <w:p w:rsidR="0047547C"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 xml:space="preserve">Bank net interest margin (NIM) </w:t>
            </w:r>
          </w:p>
        </w:tc>
        <w:tc>
          <w:tcPr>
            <w:tcW w:w="667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47547C" w:rsidRDefault="004160AB" w:rsidP="00011E8B">
            <w:pPr>
              <w:pStyle w:val="Normal00"/>
              <w:rPr>
                <w:rFonts w:ascii="Arial" w:hAnsi="Arial" w:cs="Arial"/>
                <w:sz w:val="17"/>
                <w:szCs w:val="17"/>
                <w:lang w:eastAsia="en-US"/>
              </w:rPr>
            </w:pPr>
            <w:r>
              <w:rPr>
                <w:rFonts w:ascii="Arial" w:hAnsi="Arial" w:cs="Arial"/>
                <w:color w:val="000000"/>
                <w:sz w:val="17"/>
                <w:szCs w:val="17"/>
                <w:shd w:val="clear" w:color="auto" w:fill="FFFFFF"/>
                <w:lang w:eastAsia="ja-JP"/>
              </w:rPr>
              <w:t>Net interest income of the banking business less NatWest Markets (NWM) element as a percentage of interest-earning assets of the banking business less NWM element.</w:t>
            </w:r>
          </w:p>
        </w:tc>
        <w:tc>
          <w:tcPr>
            <w:tcW w:w="1948" w:type="dxa"/>
            <w:tcBorders>
              <w:top w:val="single" w:sz="4" w:space="0" w:color="auto"/>
              <w:left w:val="single" w:sz="4" w:space="0" w:color="auto"/>
              <w:bottom w:val="nil"/>
              <w:right w:val="nil"/>
            </w:tcBorders>
            <w:tcMar>
              <w:top w:w="0" w:type="dxa"/>
              <w:left w:w="108" w:type="dxa"/>
              <w:bottom w:w="0" w:type="dxa"/>
              <w:right w:w="108" w:type="dxa"/>
            </w:tcMar>
            <w:hideMark/>
          </w:tcPr>
          <w:p w:rsidR="0047547C" w:rsidRDefault="004160AB" w:rsidP="002C2139">
            <w:pPr>
              <w:pStyle w:val="Normal00"/>
              <w:rPr>
                <w:rFonts w:ascii="Arial" w:hAnsi="Arial" w:cs="Arial"/>
                <w:sz w:val="17"/>
                <w:szCs w:val="17"/>
                <w:lang w:eastAsia="en-US"/>
              </w:rPr>
            </w:pPr>
            <w:r>
              <w:rPr>
                <w:rFonts w:ascii="Arial" w:hAnsi="Arial" w:cs="Arial"/>
                <w:sz w:val="17"/>
                <w:szCs w:val="17"/>
                <w:shd w:val="clear" w:color="auto" w:fill="FFFFFF"/>
              </w:rPr>
              <w:t>Table 4</w:t>
            </w:r>
          </w:p>
        </w:tc>
      </w:tr>
    </w:tbl>
    <w:p w:rsidR="007561B2" w:rsidRDefault="007561B2" w:rsidP="007561B2">
      <w:pPr>
        <w:pStyle w:val="Normal00"/>
        <w:spacing w:line="276" w:lineRule="auto"/>
        <w:rPr>
          <w:rFonts w:ascii="Arial" w:hAnsi="Arial" w:cs="Arial"/>
          <w:b/>
          <w:bCs/>
          <w:sz w:val="18"/>
          <w:szCs w:val="18"/>
          <w:u w:val="single"/>
          <w:lang w:eastAsia="en-US"/>
        </w:rPr>
      </w:pPr>
    </w:p>
    <w:p w:rsidR="007561B2" w:rsidRPr="00E257B3" w:rsidRDefault="004160AB" w:rsidP="007561B2">
      <w:pPr>
        <w:pStyle w:val="Normal00"/>
        <w:spacing w:line="276" w:lineRule="auto"/>
        <w:rPr>
          <w:rFonts w:ascii="Arial" w:hAnsi="Arial" w:cs="Arial"/>
          <w:b/>
          <w:bCs/>
          <w:color w:val="42145F"/>
          <w:sz w:val="18"/>
          <w:szCs w:val="20"/>
          <w:lang w:eastAsia="en-US"/>
        </w:rPr>
      </w:pPr>
      <w:r w:rsidRPr="00E257B3">
        <w:rPr>
          <w:rFonts w:ascii="Arial" w:hAnsi="Arial" w:cs="Arial"/>
          <w:b/>
          <w:bCs/>
          <w:color w:val="42145F"/>
          <w:sz w:val="18"/>
          <w:szCs w:val="20"/>
          <w:lang w:eastAsia="en-US"/>
        </w:rPr>
        <w:t xml:space="preserve">Performance metrics not defined under </w:t>
      </w:r>
      <w:proofErr w:type="gramStart"/>
      <w:r w:rsidRPr="00E257B3">
        <w:rPr>
          <w:rFonts w:ascii="Arial" w:hAnsi="Arial" w:cs="Arial"/>
          <w:b/>
          <w:bCs/>
          <w:color w:val="42145F"/>
          <w:sz w:val="18"/>
          <w:szCs w:val="20"/>
          <w:lang w:eastAsia="en-US"/>
        </w:rPr>
        <w:t>IFRS</w:t>
      </w:r>
      <w:r w:rsidRPr="00E257B3">
        <w:rPr>
          <w:rFonts w:ascii="Arial" w:hAnsi="Arial" w:cs="Arial"/>
          <w:b/>
          <w:bCs/>
          <w:color w:val="42145F"/>
          <w:sz w:val="18"/>
          <w:szCs w:val="20"/>
          <w:vertAlign w:val="superscript"/>
          <w:lang w:eastAsia="en-US"/>
        </w:rPr>
        <w:t>(</w:t>
      </w:r>
      <w:proofErr w:type="gramEnd"/>
      <w:r w:rsidRPr="00E257B3">
        <w:rPr>
          <w:rFonts w:ascii="Arial" w:hAnsi="Arial" w:cs="Arial"/>
          <w:b/>
          <w:bCs/>
          <w:color w:val="42145F"/>
          <w:sz w:val="18"/>
          <w:szCs w:val="20"/>
          <w:vertAlign w:val="superscript"/>
          <w:lang w:eastAsia="en-US"/>
        </w:rPr>
        <w:t>1)</w:t>
      </w:r>
      <w:r w:rsidRPr="00E257B3">
        <w:rPr>
          <w:rFonts w:ascii="Arial" w:hAnsi="Arial" w:cs="Arial"/>
          <w:b/>
          <w:bCs/>
          <w:color w:val="42145F"/>
          <w:sz w:val="18"/>
          <w:szCs w:val="20"/>
          <w:lang w:eastAsia="en-US"/>
        </w:rPr>
        <w:t xml:space="preserve">  </w:t>
      </w:r>
    </w:p>
    <w:tbl>
      <w:tblPr>
        <w:tblW w:w="10206" w:type="dxa"/>
        <w:tblBorders>
          <w:insideH w:val="single" w:sz="4" w:space="0" w:color="auto"/>
          <w:insideV w:val="single" w:sz="4" w:space="0" w:color="auto"/>
        </w:tblBorders>
        <w:tblCellMar>
          <w:left w:w="0" w:type="dxa"/>
          <w:right w:w="0" w:type="dxa"/>
        </w:tblCellMar>
        <w:tblLook w:val="00A0" w:firstRow="1" w:lastRow="0" w:firstColumn="1" w:lastColumn="0" w:noHBand="0" w:noVBand="0"/>
      </w:tblPr>
      <w:tblGrid>
        <w:gridCol w:w="1615"/>
        <w:gridCol w:w="6653"/>
        <w:gridCol w:w="1938"/>
      </w:tblGrid>
      <w:tr w:rsidR="00130A6D" w:rsidTr="007561B2">
        <w:tc>
          <w:tcPr>
            <w:tcW w:w="1724"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7561B2"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rPr>
              <w:br w:type="page"/>
            </w:r>
            <w:r w:rsidRPr="0085079D">
              <w:rPr>
                <w:rFonts w:ascii="Arial" w:hAnsi="Arial" w:cs="Arial"/>
                <w:bCs/>
                <w:color w:val="5E10B1"/>
                <w:sz w:val="17"/>
                <w:szCs w:val="17"/>
                <w:lang w:eastAsia="en-US"/>
              </w:rPr>
              <w:t>Measure</w:t>
            </w:r>
          </w:p>
        </w:tc>
        <w:tc>
          <w:tcPr>
            <w:tcW w:w="804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7561B2"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Basis of preparation</w:t>
            </w:r>
          </w:p>
        </w:tc>
        <w:tc>
          <w:tcPr>
            <w:tcW w:w="2126" w:type="dxa"/>
            <w:tcBorders>
              <w:top w:val="nil"/>
              <w:left w:val="single" w:sz="4" w:space="0" w:color="auto"/>
              <w:bottom w:val="single" w:sz="4" w:space="0" w:color="auto"/>
              <w:right w:val="nil"/>
            </w:tcBorders>
            <w:tcMar>
              <w:top w:w="0" w:type="dxa"/>
              <w:left w:w="108" w:type="dxa"/>
              <w:bottom w:w="0" w:type="dxa"/>
              <w:right w:w="108" w:type="dxa"/>
            </w:tcMar>
            <w:vAlign w:val="bottom"/>
            <w:hideMark/>
          </w:tcPr>
          <w:p w:rsidR="007561B2" w:rsidRPr="0085079D" w:rsidRDefault="004160AB">
            <w:pPr>
              <w:pStyle w:val="Normal00"/>
              <w:rPr>
                <w:rFonts w:ascii="Arial" w:hAnsi="Arial" w:cs="Arial"/>
                <w:bCs/>
                <w:color w:val="5E10B1"/>
                <w:sz w:val="17"/>
                <w:szCs w:val="17"/>
                <w:shd w:val="clear" w:color="auto" w:fill="FFFFFF"/>
                <w:lang w:eastAsia="ja-JP"/>
              </w:rPr>
            </w:pPr>
            <w:r w:rsidRPr="0085079D">
              <w:rPr>
                <w:rFonts w:ascii="Arial" w:hAnsi="Arial" w:cs="Arial"/>
                <w:bCs/>
                <w:color w:val="5E10B1"/>
                <w:sz w:val="17"/>
                <w:szCs w:val="17"/>
                <w:lang w:eastAsia="en-US"/>
              </w:rPr>
              <w:t>Additional analysis or reconciliation</w:t>
            </w:r>
          </w:p>
        </w:tc>
      </w:tr>
      <w:tr w:rsidR="00130A6D" w:rsidTr="007561B2">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Pr="0085079D" w:rsidRDefault="004160AB">
            <w:pPr>
              <w:pStyle w:val="Normal00"/>
              <w:rPr>
                <w:rFonts w:ascii="Arial" w:hAnsi="Arial" w:cs="Arial"/>
                <w:bCs/>
                <w:color w:val="5E10B1"/>
                <w:sz w:val="17"/>
                <w:szCs w:val="17"/>
                <w:lang w:eastAsia="en-US"/>
              </w:rPr>
            </w:pPr>
            <w:proofErr w:type="spellStart"/>
            <w:r w:rsidRPr="0085079D">
              <w:rPr>
                <w:rFonts w:ascii="Arial" w:hAnsi="Arial" w:cs="Arial"/>
                <w:bCs/>
                <w:color w:val="5E10B1"/>
                <w:sz w:val="17"/>
                <w:szCs w:val="17"/>
                <w:lang w:eastAsia="en-US"/>
              </w:rPr>
              <w:t>Loan:deposit</w:t>
            </w:r>
            <w:proofErr w:type="spellEnd"/>
            <w:r w:rsidRPr="0085079D">
              <w:rPr>
                <w:rFonts w:ascii="Arial" w:hAnsi="Arial" w:cs="Arial"/>
                <w:bCs/>
                <w:color w:val="5E10B1"/>
                <w:sz w:val="17"/>
                <w:szCs w:val="17"/>
                <w:lang w:eastAsia="en-US"/>
              </w:rPr>
              <w:t xml:space="preserve"> ratio </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4160AB" w:rsidP="00083765">
            <w:pPr>
              <w:pStyle w:val="Normal00"/>
              <w:rPr>
                <w:rFonts w:ascii="Arial" w:hAnsi="Arial" w:cs="Arial"/>
                <w:sz w:val="17"/>
                <w:szCs w:val="17"/>
                <w:lang w:eastAsia="en-US"/>
              </w:rPr>
            </w:pPr>
            <w:r>
              <w:rPr>
                <w:rFonts w:ascii="Arial" w:hAnsi="Arial" w:cs="Arial"/>
                <w:color w:val="000000"/>
                <w:sz w:val="17"/>
                <w:szCs w:val="17"/>
              </w:rPr>
              <w:t>Net customer loans held at amortised cost divided by total customer deposits.</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4160AB" w:rsidP="008C55F4">
            <w:pPr>
              <w:pStyle w:val="Normal00"/>
              <w:rPr>
                <w:rFonts w:ascii="Arial" w:hAnsi="Arial" w:cs="Arial"/>
                <w:sz w:val="17"/>
                <w:szCs w:val="17"/>
                <w:lang w:eastAsia="ja-JP"/>
              </w:rPr>
            </w:pPr>
            <w:r>
              <w:rPr>
                <w:rFonts w:ascii="Arial" w:hAnsi="Arial" w:cs="Arial"/>
                <w:sz w:val="17"/>
                <w:szCs w:val="17"/>
                <w:shd w:val="clear" w:color="auto" w:fill="FFFFFF"/>
              </w:rPr>
              <w:t>Table 5</w:t>
            </w:r>
          </w:p>
        </w:tc>
      </w:tr>
      <w:tr w:rsidR="00130A6D" w:rsidTr="007561B2">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Pr="0085079D" w:rsidRDefault="001F5395">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Tangible net asset value (TNAV)</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4160AB">
            <w:pPr>
              <w:pStyle w:val="Normal00"/>
              <w:rPr>
                <w:rFonts w:ascii="Arial" w:hAnsi="Arial" w:cs="Arial"/>
                <w:sz w:val="17"/>
                <w:szCs w:val="17"/>
                <w:lang w:eastAsia="ja-JP"/>
              </w:rPr>
            </w:pPr>
            <w:r>
              <w:rPr>
                <w:rFonts w:ascii="Arial" w:hAnsi="Arial" w:cs="Arial"/>
                <w:sz w:val="17"/>
                <w:szCs w:val="17"/>
                <w:lang w:eastAsia="ja-JP"/>
              </w:rPr>
              <w:t xml:space="preserve">Tangible equity divided by the number of ordinary shares in issue. Tangible equity is ordinary shareholders’ interest </w:t>
            </w:r>
            <w:proofErr w:type="gramStart"/>
            <w:r>
              <w:rPr>
                <w:rFonts w:ascii="Arial" w:hAnsi="Arial" w:cs="Arial"/>
                <w:sz w:val="17"/>
                <w:szCs w:val="17"/>
                <w:lang w:eastAsia="ja-JP"/>
              </w:rPr>
              <w:t>less</w:t>
            </w:r>
            <w:proofErr w:type="gramEnd"/>
            <w:r>
              <w:rPr>
                <w:rFonts w:ascii="Arial" w:hAnsi="Arial" w:cs="Arial"/>
                <w:sz w:val="17"/>
                <w:szCs w:val="17"/>
                <w:lang w:eastAsia="ja-JP"/>
              </w:rPr>
              <w:t xml:space="preserve"> intangible assets. </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4160AB" w:rsidP="0085079D">
            <w:pPr>
              <w:pStyle w:val="Normal00"/>
              <w:rPr>
                <w:rFonts w:ascii="Arial" w:hAnsi="Arial" w:cs="Arial"/>
                <w:sz w:val="17"/>
                <w:szCs w:val="17"/>
                <w:lang w:eastAsia="ja-JP"/>
              </w:rPr>
            </w:pPr>
            <w:r>
              <w:rPr>
                <w:rFonts w:ascii="Arial" w:hAnsi="Arial" w:cs="Arial"/>
                <w:sz w:val="17"/>
                <w:szCs w:val="17"/>
                <w:lang w:eastAsia="ja-JP"/>
              </w:rPr>
              <w:t>Page 3</w:t>
            </w:r>
          </w:p>
        </w:tc>
      </w:tr>
      <w:tr w:rsidR="00130A6D" w:rsidTr="007561B2">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NIM</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4160AB">
            <w:pPr>
              <w:pStyle w:val="Normal00"/>
              <w:rPr>
                <w:rFonts w:ascii="Arial" w:hAnsi="Arial" w:cs="Arial"/>
                <w:sz w:val="17"/>
                <w:szCs w:val="17"/>
                <w:lang w:eastAsia="ja-JP"/>
              </w:rPr>
            </w:pPr>
            <w:r>
              <w:rPr>
                <w:rFonts w:ascii="Arial" w:hAnsi="Arial" w:cs="Arial"/>
                <w:color w:val="000000"/>
                <w:sz w:val="17"/>
                <w:szCs w:val="17"/>
                <w:shd w:val="clear" w:color="auto" w:fill="FFFFFF"/>
                <w:lang w:eastAsia="ja-JP"/>
              </w:rPr>
              <w:t xml:space="preserve">Net interest income of the banking business as a percentage of interest-earning assets of the banking business. </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4160AB" w:rsidP="0085079D">
            <w:pPr>
              <w:pStyle w:val="Normal00"/>
              <w:rPr>
                <w:rFonts w:ascii="Arial" w:hAnsi="Arial" w:cs="Arial"/>
                <w:sz w:val="17"/>
                <w:szCs w:val="17"/>
                <w:lang w:eastAsia="en-US"/>
              </w:rPr>
            </w:pPr>
            <w:r>
              <w:rPr>
                <w:rFonts w:ascii="Arial" w:hAnsi="Arial" w:cs="Arial"/>
                <w:sz w:val="17"/>
                <w:szCs w:val="17"/>
                <w:lang w:eastAsia="en-US"/>
              </w:rPr>
              <w:t>Page 3</w:t>
            </w:r>
          </w:p>
        </w:tc>
      </w:tr>
      <w:tr w:rsidR="00130A6D" w:rsidTr="00BC3A5D">
        <w:trPr>
          <w:trHeight w:val="229"/>
        </w:trPr>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Funded assets</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4160AB">
            <w:pPr>
              <w:pStyle w:val="Normal00"/>
              <w:rPr>
                <w:rFonts w:ascii="Arial" w:hAnsi="Arial" w:cs="Arial"/>
                <w:sz w:val="17"/>
                <w:szCs w:val="17"/>
                <w:lang w:eastAsia="en-US"/>
              </w:rPr>
            </w:pPr>
            <w:r>
              <w:rPr>
                <w:rFonts w:ascii="Arial" w:hAnsi="Arial" w:cs="Arial"/>
                <w:sz w:val="17"/>
                <w:szCs w:val="17"/>
                <w:lang w:eastAsia="ja-JP"/>
              </w:rPr>
              <w:t>Total assets less derivatives.</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4160AB" w:rsidP="0085079D">
            <w:pPr>
              <w:pStyle w:val="Normal00"/>
              <w:rPr>
                <w:rFonts w:ascii="Arial" w:hAnsi="Arial" w:cs="Arial"/>
                <w:sz w:val="17"/>
                <w:szCs w:val="17"/>
                <w:lang w:eastAsia="en-US"/>
              </w:rPr>
            </w:pPr>
            <w:r>
              <w:rPr>
                <w:rFonts w:ascii="Arial" w:hAnsi="Arial" w:cs="Arial"/>
                <w:sz w:val="17"/>
                <w:szCs w:val="17"/>
                <w:lang w:eastAsia="en-US"/>
              </w:rPr>
              <w:t>Pages 10 to 14</w:t>
            </w:r>
          </w:p>
        </w:tc>
      </w:tr>
      <w:tr w:rsidR="00130A6D" w:rsidTr="00C1795F">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Pr="0085079D" w:rsidRDefault="004160AB">
            <w:pPr>
              <w:pStyle w:val="Normal00"/>
              <w:rPr>
                <w:rFonts w:ascii="Arial" w:hAnsi="Arial" w:cs="Arial"/>
                <w:bCs/>
                <w:color w:val="5E10B1"/>
                <w:sz w:val="17"/>
                <w:szCs w:val="17"/>
                <w:lang w:eastAsia="en-US"/>
              </w:rPr>
            </w:pPr>
            <w:r w:rsidRPr="0085079D">
              <w:rPr>
                <w:rFonts w:ascii="Arial" w:hAnsi="Arial" w:cs="Arial"/>
                <w:bCs/>
                <w:color w:val="5E10B1"/>
                <w:sz w:val="17"/>
                <w:szCs w:val="17"/>
                <w:lang w:eastAsia="en-US"/>
              </w:rPr>
              <w:t>ECL loss rate</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4160AB">
            <w:pPr>
              <w:pStyle w:val="Normal00"/>
              <w:rPr>
                <w:rFonts w:ascii="Arial" w:hAnsi="Arial" w:cs="Arial"/>
                <w:sz w:val="17"/>
                <w:szCs w:val="17"/>
                <w:lang w:eastAsia="en-US"/>
              </w:rPr>
            </w:pPr>
            <w:r>
              <w:rPr>
                <w:rFonts w:ascii="Arial" w:hAnsi="Arial" w:cs="Arial"/>
                <w:sz w:val="17"/>
                <w:szCs w:val="17"/>
                <w:lang w:eastAsia="en-US"/>
              </w:rPr>
              <w:t>The annualised loan impairment charge divided by gross customer loans.</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4160AB" w:rsidP="0085079D">
            <w:pPr>
              <w:pStyle w:val="Normal00"/>
              <w:rPr>
                <w:rFonts w:ascii="Arial" w:hAnsi="Arial" w:cs="Arial"/>
                <w:sz w:val="17"/>
                <w:szCs w:val="17"/>
                <w:lang w:eastAsia="en-US"/>
              </w:rPr>
            </w:pPr>
            <w:r>
              <w:rPr>
                <w:rFonts w:ascii="Arial" w:hAnsi="Arial" w:cs="Arial"/>
                <w:sz w:val="17"/>
                <w:szCs w:val="17"/>
                <w:lang w:eastAsia="en-US"/>
              </w:rPr>
              <w:t>Pages 10 to 14</w:t>
            </w:r>
          </w:p>
        </w:tc>
      </w:tr>
      <w:tr w:rsidR="00130A6D" w:rsidTr="00C1795F">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C1795F" w:rsidRPr="0085079D" w:rsidRDefault="004160AB">
            <w:pPr>
              <w:pStyle w:val="Normal00"/>
              <w:rPr>
                <w:rFonts w:ascii="Arial" w:hAnsi="Arial" w:cs="Arial"/>
                <w:bCs/>
                <w:color w:val="5E10B1"/>
                <w:sz w:val="17"/>
                <w:szCs w:val="17"/>
                <w:lang w:eastAsia="en-US"/>
              </w:rPr>
            </w:pPr>
            <w:r>
              <w:rPr>
                <w:rFonts w:ascii="Arial" w:hAnsi="Arial" w:cs="Arial"/>
                <w:bCs/>
                <w:color w:val="5E10B1"/>
                <w:sz w:val="17"/>
                <w:szCs w:val="17"/>
                <w:lang w:eastAsia="en-US"/>
              </w:rPr>
              <w:t>Third party customer asset rate</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795F" w:rsidRDefault="004160AB">
            <w:pPr>
              <w:pStyle w:val="Normal00"/>
              <w:rPr>
                <w:rFonts w:ascii="Arial" w:hAnsi="Arial" w:cs="Arial"/>
                <w:sz w:val="17"/>
                <w:szCs w:val="17"/>
                <w:lang w:eastAsia="en-US"/>
              </w:rPr>
            </w:pPr>
            <w:r w:rsidRPr="00DA48CE">
              <w:rPr>
                <w:rFonts w:ascii="Arial" w:hAnsi="Arial" w:cs="Arial"/>
                <w:sz w:val="17"/>
                <w:szCs w:val="17"/>
                <w:lang w:eastAsia="en-US"/>
              </w:rPr>
              <w:t>Third party customer asset rate is calculated as annualised interest receivable on third-party loans to customers as a percentage of third-party loans to customers only. This excludes intragroup items, loans to banks and liquid asset portfolios, which are included for the calculation of net interest margin.</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C1795F" w:rsidRDefault="004160AB" w:rsidP="0085079D">
            <w:pPr>
              <w:pStyle w:val="Normal00"/>
              <w:rPr>
                <w:rFonts w:ascii="Arial" w:hAnsi="Arial" w:cs="Arial"/>
                <w:sz w:val="17"/>
                <w:szCs w:val="17"/>
                <w:lang w:eastAsia="en-US"/>
              </w:rPr>
            </w:pPr>
            <w:r>
              <w:rPr>
                <w:rFonts w:ascii="Arial" w:hAnsi="Arial" w:cs="Arial"/>
                <w:sz w:val="17"/>
                <w:szCs w:val="17"/>
                <w:lang w:eastAsia="en-US"/>
              </w:rPr>
              <w:t>Pages 10 to 14</w:t>
            </w:r>
          </w:p>
        </w:tc>
      </w:tr>
      <w:tr w:rsidR="00130A6D" w:rsidTr="007561B2">
        <w:tc>
          <w:tcPr>
            <w:tcW w:w="1724" w:type="dxa"/>
            <w:tcBorders>
              <w:top w:val="single" w:sz="4" w:space="0" w:color="auto"/>
              <w:left w:val="nil"/>
              <w:bottom w:val="nil"/>
              <w:right w:val="single" w:sz="4" w:space="0" w:color="auto"/>
            </w:tcBorders>
            <w:tcMar>
              <w:top w:w="0" w:type="dxa"/>
              <w:left w:w="108" w:type="dxa"/>
              <w:bottom w:w="0" w:type="dxa"/>
              <w:right w:w="108" w:type="dxa"/>
            </w:tcMar>
          </w:tcPr>
          <w:p w:rsidR="00C1795F" w:rsidRPr="0085079D" w:rsidRDefault="004160AB">
            <w:pPr>
              <w:pStyle w:val="Normal00"/>
              <w:rPr>
                <w:rFonts w:ascii="Arial" w:hAnsi="Arial" w:cs="Arial"/>
                <w:bCs/>
                <w:color w:val="5E10B1"/>
                <w:sz w:val="17"/>
                <w:szCs w:val="17"/>
                <w:lang w:eastAsia="en-US"/>
              </w:rPr>
            </w:pPr>
            <w:r>
              <w:rPr>
                <w:rFonts w:ascii="Arial" w:hAnsi="Arial" w:cs="Arial"/>
                <w:bCs/>
                <w:color w:val="5E10B1"/>
                <w:sz w:val="17"/>
                <w:szCs w:val="17"/>
                <w:lang w:eastAsia="en-US"/>
              </w:rPr>
              <w:t>Third party customer funding rate</w:t>
            </w:r>
          </w:p>
        </w:tc>
        <w:tc>
          <w:tcPr>
            <w:tcW w:w="8049" w:type="dxa"/>
            <w:tcBorders>
              <w:top w:val="single" w:sz="4" w:space="0" w:color="auto"/>
              <w:left w:val="single" w:sz="4" w:space="0" w:color="auto"/>
              <w:bottom w:val="nil"/>
              <w:right w:val="single" w:sz="4" w:space="0" w:color="auto"/>
            </w:tcBorders>
            <w:tcMar>
              <w:top w:w="0" w:type="dxa"/>
              <w:left w:w="108" w:type="dxa"/>
              <w:bottom w:w="0" w:type="dxa"/>
              <w:right w:w="108" w:type="dxa"/>
            </w:tcMar>
          </w:tcPr>
          <w:p w:rsidR="00C1795F" w:rsidRDefault="004160AB">
            <w:pPr>
              <w:pStyle w:val="Normal00"/>
              <w:rPr>
                <w:rFonts w:ascii="Arial" w:hAnsi="Arial" w:cs="Arial"/>
                <w:sz w:val="17"/>
                <w:szCs w:val="17"/>
                <w:lang w:eastAsia="en-US"/>
              </w:rPr>
            </w:pPr>
            <w:r w:rsidRPr="00DA48CE">
              <w:rPr>
                <w:rFonts w:ascii="Arial" w:hAnsi="Arial" w:cs="Arial"/>
                <w:sz w:val="17"/>
                <w:szCs w:val="17"/>
                <w:lang w:eastAsia="en-US"/>
              </w:rPr>
              <w:t>Third party customer funding rate is calculated as annualised interest payable on third-party customer deposits as a percentage of third-party customer deposits. This excludes intragroup items, bank deposits and debt securities in issue.</w:t>
            </w:r>
          </w:p>
        </w:tc>
        <w:tc>
          <w:tcPr>
            <w:tcW w:w="2126" w:type="dxa"/>
            <w:tcBorders>
              <w:top w:val="single" w:sz="4" w:space="0" w:color="auto"/>
              <w:left w:val="single" w:sz="4" w:space="0" w:color="auto"/>
              <w:bottom w:val="nil"/>
              <w:right w:val="nil"/>
            </w:tcBorders>
            <w:tcMar>
              <w:top w:w="0" w:type="dxa"/>
              <w:left w:w="108" w:type="dxa"/>
              <w:bottom w:w="0" w:type="dxa"/>
              <w:right w:w="108" w:type="dxa"/>
            </w:tcMar>
          </w:tcPr>
          <w:p w:rsidR="00C1795F" w:rsidRDefault="004160AB" w:rsidP="0085079D">
            <w:pPr>
              <w:pStyle w:val="Normal00"/>
              <w:rPr>
                <w:rFonts w:ascii="Arial" w:hAnsi="Arial" w:cs="Arial"/>
                <w:sz w:val="17"/>
                <w:szCs w:val="17"/>
                <w:lang w:eastAsia="en-US"/>
              </w:rPr>
            </w:pPr>
            <w:r>
              <w:rPr>
                <w:rFonts w:ascii="Arial" w:hAnsi="Arial" w:cs="Arial"/>
                <w:sz w:val="17"/>
                <w:szCs w:val="17"/>
                <w:lang w:eastAsia="en-US"/>
              </w:rPr>
              <w:t>Pages 10 to 14</w:t>
            </w:r>
          </w:p>
        </w:tc>
      </w:tr>
    </w:tbl>
    <w:p w:rsidR="007561B2" w:rsidRDefault="007561B2" w:rsidP="007561B2">
      <w:pPr>
        <w:pStyle w:val="Heading100"/>
        <w:pBdr>
          <w:bottom w:val="none" w:sz="0" w:space="0" w:color="auto"/>
        </w:pBdr>
        <w:rPr>
          <w:rFonts w:cs="Arial"/>
          <w:b/>
          <w:color w:val="0A2F64"/>
          <w:sz w:val="18"/>
          <w:szCs w:val="18"/>
        </w:rPr>
      </w:pPr>
    </w:p>
    <w:p w:rsidR="007561B2" w:rsidRDefault="004160AB" w:rsidP="007561B2">
      <w:pPr>
        <w:pStyle w:val="Heading100"/>
        <w:pBdr>
          <w:bottom w:val="none" w:sz="0" w:space="0" w:color="auto"/>
        </w:pBdr>
        <w:rPr>
          <w:rFonts w:cs="Arial"/>
          <w:color w:val="auto"/>
          <w:sz w:val="14"/>
          <w:szCs w:val="14"/>
        </w:rPr>
      </w:pPr>
      <w:r>
        <w:rPr>
          <w:rFonts w:cs="Arial"/>
          <w:color w:val="auto"/>
          <w:sz w:val="14"/>
          <w:szCs w:val="14"/>
        </w:rPr>
        <w:t>Note:</w:t>
      </w:r>
    </w:p>
    <w:p w:rsidR="007561B2" w:rsidRDefault="004160AB" w:rsidP="007561B2">
      <w:pPr>
        <w:pStyle w:val="Heading100"/>
        <w:pBdr>
          <w:bottom w:val="none" w:sz="0" w:space="0" w:color="auto"/>
        </w:pBdr>
        <w:rPr>
          <w:rFonts w:cs="Arial"/>
          <w:color w:val="auto"/>
          <w:sz w:val="14"/>
          <w:szCs w:val="14"/>
        </w:rPr>
      </w:pPr>
      <w:r>
        <w:rPr>
          <w:rFonts w:cs="Arial"/>
          <w:color w:val="auto"/>
          <w:sz w:val="14"/>
          <w:szCs w:val="14"/>
        </w:rPr>
        <w:t xml:space="preserve">(1)     Metric based on GAAP measures, included as not defined under IFRS and reported for compliance with ESMA adjusted performance measure rules. </w:t>
      </w:r>
    </w:p>
    <w:p w:rsidR="00FB10E6" w:rsidRDefault="00FB10E6" w:rsidP="007561B2">
      <w:pPr>
        <w:pStyle w:val="Heading100"/>
        <w:pBdr>
          <w:bottom w:val="none" w:sz="0" w:space="0" w:color="auto"/>
        </w:pBdr>
        <w:rPr>
          <w:rFonts w:cs="Arial"/>
          <w:b/>
          <w:color w:val="42145F"/>
          <w:sz w:val="18"/>
        </w:rPr>
      </w:pPr>
    </w:p>
    <w:p w:rsidR="006065A3" w:rsidRDefault="004160AB">
      <w:pPr>
        <w:spacing w:after="200"/>
        <w:rPr>
          <w:rFonts w:eastAsia="Times New Roman" w:cs="Arial"/>
          <w:b/>
          <w:color w:val="42145F"/>
          <w:szCs w:val="20"/>
          <w:lang w:eastAsia="ja-JP"/>
        </w:rPr>
      </w:pPr>
      <w:r>
        <w:rPr>
          <w:rFonts w:cs="Arial"/>
          <w:b/>
          <w:color w:val="42145F"/>
        </w:rPr>
        <w:br w:type="page"/>
      </w:r>
    </w:p>
    <w:p w:rsidR="007561B2" w:rsidRPr="00E257B3" w:rsidRDefault="004160AB" w:rsidP="007561B2">
      <w:pPr>
        <w:pStyle w:val="Heading100"/>
        <w:pBdr>
          <w:bottom w:val="none" w:sz="0" w:space="0" w:color="auto"/>
        </w:pBdr>
        <w:rPr>
          <w:rFonts w:cs="Arial"/>
          <w:b/>
          <w:color w:val="0A2F64"/>
          <w:sz w:val="18"/>
        </w:rPr>
      </w:pPr>
      <w:r w:rsidRPr="00E257B3">
        <w:rPr>
          <w:rFonts w:cs="Arial"/>
          <w:b/>
          <w:color w:val="42145F"/>
          <w:sz w:val="18"/>
        </w:rPr>
        <w:lastRenderedPageBreak/>
        <w:t xml:space="preserve">Appendix Non-IFRS financial measures </w:t>
      </w:r>
    </w:p>
    <w:p w:rsidR="007561B2" w:rsidRPr="00E257B3" w:rsidRDefault="004160AB" w:rsidP="007561B2">
      <w:pPr>
        <w:pStyle w:val="Normal00"/>
        <w:rPr>
          <w:rFonts w:ascii="Arial" w:hAnsi="Arial" w:cs="Arial"/>
          <w:b/>
          <w:color w:val="5E10B1"/>
          <w:sz w:val="18"/>
          <w:szCs w:val="20"/>
        </w:rPr>
      </w:pPr>
      <w:r w:rsidRPr="00E257B3">
        <w:rPr>
          <w:rFonts w:ascii="Arial" w:hAnsi="Arial" w:cs="Arial"/>
          <w:b/>
          <w:color w:val="5E10B1"/>
          <w:sz w:val="18"/>
          <w:szCs w:val="20"/>
        </w:rPr>
        <w:t xml:space="preserve">1. Return on tangible equity </w:t>
      </w:r>
    </w:p>
    <w:p w:rsidR="000731E4" w:rsidRDefault="000731E4" w:rsidP="007561B2">
      <w:pPr>
        <w:spacing w:line="4" w:lineRule="exact"/>
      </w:pPr>
    </w:p>
    <w:p w:rsidR="000731E4" w:rsidRDefault="000731E4" w:rsidP="007561B2">
      <w:pPr>
        <w:spacing w:line="4" w:lineRule="exact"/>
      </w:pPr>
    </w:p>
    <w:tbl>
      <w:tblPr>
        <w:tblStyle w:val="table"/>
        <w:tblW w:w="10080" w:type="dxa"/>
        <w:tblInd w:w="5" w:type="dxa"/>
        <w:tblCellMar>
          <w:left w:w="0" w:type="dxa"/>
          <w:right w:w="0" w:type="dxa"/>
        </w:tblCellMar>
        <w:tblLook w:val="05E0" w:firstRow="1" w:lastRow="1" w:firstColumn="1" w:lastColumn="1" w:noHBand="0" w:noVBand="1"/>
      </w:tblPr>
      <w:tblGrid>
        <w:gridCol w:w="4325"/>
        <w:gridCol w:w="1259"/>
        <w:gridCol w:w="1109"/>
        <w:gridCol w:w="60"/>
        <w:gridCol w:w="1259"/>
        <w:gridCol w:w="959"/>
        <w:gridCol w:w="1109"/>
      </w:tblGrid>
      <w:tr w:rsidR="00130A6D">
        <w:trPr>
          <w:trHeight w:val="195"/>
        </w:trPr>
        <w:tc>
          <w:tcPr>
            <w:tcW w:w="43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2370" w:type="dxa"/>
            <w:gridSpan w:val="2"/>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Nine months ended or as at</w:t>
            </w: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3330" w:type="dxa"/>
            <w:gridSpan w:val="3"/>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 or as at</w:t>
            </w: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12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3366"/>
                <w:sz w:val="16"/>
                <w:szCs w:val="16"/>
              </w:rPr>
            </w:pPr>
          </w:p>
        </w:tc>
        <w:tc>
          <w:tcPr>
            <w:tcW w:w="12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r>
      <w:tr w:rsidR="00130A6D">
        <w:trPr>
          <w:trHeight w:val="195"/>
        </w:trPr>
        <w:tc>
          <w:tcPr>
            <w:tcW w:w="4335"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5E10B1"/>
                <w:sz w:val="16"/>
                <w:szCs w:val="16"/>
              </w:rPr>
            </w:pPr>
          </w:p>
        </w:tc>
        <w:tc>
          <w:tcPr>
            <w:tcW w:w="12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3366"/>
                <w:sz w:val="16"/>
                <w:szCs w:val="16"/>
              </w:rPr>
            </w:pPr>
          </w:p>
        </w:tc>
        <w:tc>
          <w:tcPr>
            <w:tcW w:w="12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(Loss)/profit attributable to ordinary shareholders (£m)</w:t>
            </w: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(644)</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1,723</w:t>
            </w: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61</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(993)</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(315)</w:t>
            </w: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Annualised (loss)/profit attributable to ordinary</w:t>
            </w: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r>
      <w:tr w:rsidR="00130A6D">
        <w:trPr>
          <w:trHeight w:val="195"/>
        </w:trPr>
        <w:tc>
          <w:tcPr>
            <w:tcW w:w="43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shareholders (£m)</w:t>
            </w: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(859)</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2,297</w:t>
            </w: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244</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(3,972)</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(1,260)</w:t>
            </w: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Adjustment for PPI provision for Q3 2019 (£m)</w:t>
            </w: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900</w:t>
            </w: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profit attributable to ordinary shareholders (£m)</w:t>
            </w: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585</w:t>
            </w: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Annualised adjusted (loss)/profit attributable to ordinary </w:t>
            </w: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r>
      <w:tr w:rsidR="00130A6D">
        <w:trPr>
          <w:trHeight w:val="195"/>
        </w:trPr>
        <w:tc>
          <w:tcPr>
            <w:tcW w:w="43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shareholders (£m)</w:t>
            </w: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2,340</w:t>
            </w: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Average total equity (£m)</w:t>
            </w: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43,766</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46,025</w:t>
            </w: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43,145</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44,068</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45,579</w:t>
            </w:r>
          </w:p>
        </w:tc>
      </w:tr>
      <w:tr w:rsidR="00130A6D">
        <w:trPr>
          <w:trHeight w:val="195"/>
        </w:trPr>
        <w:tc>
          <w:tcPr>
            <w:tcW w:w="43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Adjustment for other owners' equity and intangibles (£m)</w:t>
            </w: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(11,760)</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(12,432)</w:t>
            </w: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(11,482)</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(11,987)</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(12,226)</w:t>
            </w: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total tangible equity (£m)</w:t>
            </w: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32,006</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33,593</w:t>
            </w: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31,663</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32,081</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33,353</w:t>
            </w:r>
          </w:p>
        </w:tc>
      </w:tr>
      <w:tr w:rsidR="00130A6D">
        <w:trPr>
          <w:trHeight w:val="60"/>
        </w:trPr>
        <w:tc>
          <w:tcPr>
            <w:tcW w:w="43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Return on tangible equity (%)</w:t>
            </w: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(2.7%)</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6.8%</w:t>
            </w: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0.8%</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(12.4%)</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(3.8%)</w:t>
            </w:r>
          </w:p>
        </w:tc>
      </w:tr>
      <w:tr w:rsidR="00130A6D">
        <w:trPr>
          <w:trHeight w:val="195"/>
        </w:trPr>
        <w:tc>
          <w:tcPr>
            <w:tcW w:w="43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Return on tangible equity adjusting for impact</w:t>
            </w: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r>
      <w:tr w:rsidR="00130A6D">
        <w:trPr>
          <w:trHeight w:val="195"/>
        </w:trPr>
        <w:tc>
          <w:tcPr>
            <w:tcW w:w="43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of PPI provision (%)</w:t>
            </w: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7.0%</w:t>
            </w:r>
          </w:p>
        </w:tc>
      </w:tr>
    </w:tbl>
    <w:p w:rsidR="00ED1EAA" w:rsidRDefault="00ED1EAA" w:rsidP="00073BD4">
      <w:pPr>
        <w:rPr>
          <w:rFonts w:cs="Arial"/>
          <w:b/>
          <w:color w:val="0A2F64"/>
          <w:szCs w:val="18"/>
        </w:rPr>
      </w:pPr>
    </w:p>
    <w:p w:rsidR="006065A3" w:rsidRDefault="004160AB">
      <w:pPr>
        <w:spacing w:after="200"/>
        <w:rPr>
          <w:rFonts w:eastAsia="Times New Roman" w:cs="Arial"/>
          <w:b/>
          <w:color w:val="42145F"/>
          <w:szCs w:val="20"/>
          <w:lang w:eastAsia="ja-JP"/>
        </w:rPr>
      </w:pPr>
      <w:r>
        <w:rPr>
          <w:rFonts w:cs="Arial"/>
          <w:b/>
          <w:color w:val="42145F"/>
        </w:rPr>
        <w:br w:type="page"/>
      </w:r>
    </w:p>
    <w:p w:rsidR="00ED1EAA" w:rsidRPr="00E257B3" w:rsidRDefault="004160AB" w:rsidP="00ED1EAA">
      <w:pPr>
        <w:pStyle w:val="Heading100"/>
        <w:pBdr>
          <w:bottom w:val="none" w:sz="0" w:space="0" w:color="auto"/>
        </w:pBdr>
        <w:rPr>
          <w:rFonts w:cs="Arial"/>
          <w:b/>
          <w:color w:val="0A2F64"/>
          <w:sz w:val="18"/>
        </w:rPr>
      </w:pPr>
      <w:r w:rsidRPr="00E257B3">
        <w:rPr>
          <w:rFonts w:cs="Arial"/>
          <w:b/>
          <w:color w:val="42145F"/>
          <w:sz w:val="18"/>
        </w:rPr>
        <w:lastRenderedPageBreak/>
        <w:t xml:space="preserve">Appendix Non-IFRS financial measures </w:t>
      </w:r>
    </w:p>
    <w:p w:rsidR="00073BD4" w:rsidRPr="00ED1EAA" w:rsidRDefault="004160AB" w:rsidP="00ED1EAA">
      <w:pPr>
        <w:pStyle w:val="Normal00"/>
        <w:rPr>
          <w:rFonts w:ascii="Arial" w:hAnsi="Arial" w:cs="Arial"/>
          <w:b/>
          <w:color w:val="5E10B1"/>
          <w:sz w:val="18"/>
          <w:szCs w:val="20"/>
        </w:rPr>
      </w:pPr>
      <w:r w:rsidRPr="00E257B3">
        <w:rPr>
          <w:rFonts w:ascii="Arial" w:hAnsi="Arial" w:cs="Arial"/>
          <w:b/>
          <w:color w:val="5E10B1"/>
          <w:sz w:val="18"/>
          <w:szCs w:val="20"/>
        </w:rPr>
        <w:t xml:space="preserve">1. Return on tangible equity </w:t>
      </w:r>
      <w:r w:rsidRPr="00ED1EAA">
        <w:rPr>
          <w:rFonts w:ascii="Arial" w:hAnsi="Arial" w:cs="Arial"/>
          <w:bCs/>
          <w:color w:val="5E10B1"/>
          <w:sz w:val="18"/>
          <w:szCs w:val="20"/>
        </w:rPr>
        <w:t>continued</w:t>
      </w:r>
    </w:p>
    <w:tbl>
      <w:tblPr>
        <w:tblStyle w:val="table"/>
        <w:tblW w:w="10080" w:type="dxa"/>
        <w:tblInd w:w="5" w:type="dxa"/>
        <w:tblCellMar>
          <w:left w:w="0" w:type="dxa"/>
          <w:right w:w="0" w:type="dxa"/>
        </w:tblCellMar>
        <w:tblLook w:val="05E0" w:firstRow="1" w:lastRow="1" w:firstColumn="1" w:lastColumn="1" w:noHBand="0" w:noVBand="1"/>
      </w:tblPr>
      <w:tblGrid>
        <w:gridCol w:w="3801"/>
        <w:gridCol w:w="1034"/>
        <w:gridCol w:w="1033"/>
        <w:gridCol w:w="1109"/>
        <w:gridCol w:w="1034"/>
        <w:gridCol w:w="1110"/>
        <w:gridCol w:w="959"/>
      </w:tblGrid>
      <w:tr w:rsidR="00130A6D">
        <w:trPr>
          <w:trHeight w:val="195"/>
        </w:trPr>
        <w:tc>
          <w:tcPr>
            <w:tcW w:w="38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Ulster</w:t>
            </w: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center"/>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center"/>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Retail</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Bank</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Commercial</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Private</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RBS</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NatWest</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b/>
                <w:bCs/>
                <w:color w:val="5E10B1"/>
                <w:sz w:val="16"/>
                <w:szCs w:val="16"/>
              </w:rPr>
            </w:pPr>
            <w:r>
              <w:rPr>
                <w:rFonts w:eastAsia="Arial" w:cs="Arial"/>
                <w:b/>
                <w:bCs/>
                <w:color w:val="5E10B1"/>
                <w:sz w:val="16"/>
                <w:szCs w:val="16"/>
              </w:rPr>
              <w:t>Nine months ended 30 September 2020</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proofErr w:type="spellStart"/>
            <w:r>
              <w:rPr>
                <w:rFonts w:eastAsia="Arial" w:cs="Arial"/>
                <w:b/>
                <w:bCs/>
                <w:color w:val="000000"/>
                <w:sz w:val="16"/>
                <w:szCs w:val="16"/>
              </w:rPr>
              <w:t>RoI</w:t>
            </w:r>
            <w:proofErr w:type="spellEnd"/>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International</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Markets</w:t>
            </w: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profit/(loss) (£m)</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758</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(244)</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(684)</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141</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9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(114)</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(51)</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Adjustment for tax (£m)</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(194)</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223</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attributable profit/(loss) (£m)</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498</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(244)</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(575)</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89</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83</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Annualised adjusted attributable profit/(loss) (£m)</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664</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(325)</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(767)</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119</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111</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(£bn)</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37.6</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12.6</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76.6</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10.3</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6.9</w:t>
            </w:r>
          </w:p>
        </w:tc>
        <w:tc>
          <w:tcPr>
            <w:tcW w:w="9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39.2</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Equity factor</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14.5%</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15.5%</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11.5%</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12.5%</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16.0%</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8.8</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5.9</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12.2%</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(16.6%)</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(8.7%)</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10.0%</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(0.8%)</w:t>
            </w: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5E10B1"/>
                <w:sz w:val="16"/>
                <w:szCs w:val="16"/>
              </w:rPr>
            </w:pPr>
            <w:r>
              <w:rPr>
                <w:rFonts w:eastAsia="Arial" w:cs="Arial"/>
                <w:color w:val="5E10B1"/>
                <w:sz w:val="16"/>
                <w:szCs w:val="16"/>
              </w:rPr>
              <w:t>Nine months ended 30 September 2019</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profit (£m)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529</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1,032</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236</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282</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107</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Adjustment for tax (£m)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(148)</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(289)</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(39)</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(123)</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(50)</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attributable profit(£m)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327</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620</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158</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238</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27</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Annualised adjusted attributable profit (£m)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436</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72</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827</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211</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317</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36</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Adjustment for </w:t>
            </w:r>
            <w:proofErr w:type="spellStart"/>
            <w:r>
              <w:rPr>
                <w:rFonts w:eastAsia="Arial" w:cs="Arial"/>
                <w:color w:val="000000"/>
                <w:sz w:val="16"/>
                <w:szCs w:val="16"/>
              </w:rPr>
              <w:t>Alawwal</w:t>
            </w:r>
            <w:proofErr w:type="spellEnd"/>
            <w:r>
              <w:rPr>
                <w:rFonts w:eastAsia="Arial" w:cs="Arial"/>
                <w:color w:val="000000"/>
                <w:sz w:val="16"/>
                <w:szCs w:val="16"/>
              </w:rPr>
              <w:t xml:space="preserve"> bank merger gain (£m)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(200)</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Annualised adjusted attributable profit/(loss) (£m)</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436</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72</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827</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211</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317</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(164)</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(£bn)</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37.4</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14.2</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79.3</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9.7</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49.0</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Equity factor</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13.0%</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5.6</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7.4</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7.8%</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16.7%</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28.5%</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b/>
                <w:bCs/>
                <w:color w:val="5E10B1"/>
                <w:sz w:val="16"/>
                <w:szCs w:val="16"/>
              </w:rPr>
            </w:pPr>
            <w:r>
              <w:rPr>
                <w:rFonts w:eastAsia="Arial" w:cs="Arial"/>
                <w:b/>
                <w:bCs/>
                <w:color w:val="5E10B1"/>
                <w:sz w:val="16"/>
                <w:szCs w:val="16"/>
              </w:rPr>
              <w:t>Quarter ended 30 September 2020</w:t>
            </w: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profit/(loss) (£m)</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305</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324</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w:t>
            </w:r>
          </w:p>
        </w:tc>
        <w:tc>
          <w:tcPr>
            <w:tcW w:w="9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Adjustment for tax (£m)</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(79)</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(80)</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attributable profit/(loss) (£m)</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204</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206</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(60)</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Annualised adjusted attributable profit/(loss) (£m)</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816</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824</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148</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(240)</w:t>
            </w: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(£bn)</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36.7</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12.3</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77.8</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10.5</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w:t>
            </w:r>
          </w:p>
        </w:tc>
        <w:tc>
          <w:tcPr>
            <w:tcW w:w="9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34.0</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Equity factor</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14.5%</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15.5%</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11.5%</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12.5%</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16.0%</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8.9</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5.1</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15.3%</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9.2%</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w:t>
            </w: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5E10B1"/>
                <w:sz w:val="16"/>
                <w:szCs w:val="16"/>
              </w:rPr>
            </w:pPr>
            <w:r>
              <w:rPr>
                <w:rFonts w:eastAsia="Arial" w:cs="Arial"/>
                <w:color w:val="5E10B1"/>
                <w:sz w:val="16"/>
                <w:szCs w:val="16"/>
              </w:rPr>
              <w:t>Quarter ended 30 June 2020</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profit/(loss) (£m)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129</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(218)</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(971)</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35</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(137)</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(38)</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(17)</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Adjustment for tax (£m)</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283</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43</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attributable profit/(loss)(£m)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77</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(218)</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(726)</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(111)</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Annualised adjusted attributable profit/(loss) (£m)</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308</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(872)</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(2,904)</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88</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48</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(444)</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(£bn)</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37.4</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12.6</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77.8</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10.3</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7.1</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41.8</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Equity factor</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14.5%</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12.5%</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8.9</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6.3</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5.7%</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(44.5%)</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(32.5%)</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4.3%</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(7.1%)</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5E10B1"/>
                <w:sz w:val="16"/>
                <w:szCs w:val="16"/>
              </w:rPr>
            </w:pPr>
            <w:r>
              <w:rPr>
                <w:rFonts w:eastAsia="Arial" w:cs="Arial"/>
                <w:color w:val="5E10B1"/>
                <w:sz w:val="16"/>
                <w:szCs w:val="16"/>
              </w:rPr>
              <w:t>Quarter ended 30 September 2019</w:t>
            </w: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(loss)/profit (£m)</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(508)</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331</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81</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88</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(193)</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Adjustment for tax (£m)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142</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(92)</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(23)</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(41)</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attributable (loss)/profit (£m)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(384)</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198</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71</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(159)</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Annualised adjusted attributable (loss)/profit (£m)</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(1,536)</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124</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792</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216</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283</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(634)</w:t>
            </w: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(£bn)</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38.2</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14.2</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78.8</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9.9</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6.8</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48.7</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Equity factor</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13.0%</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r>
      <w:tr w:rsidR="00130A6D">
        <w:trPr>
          <w:trHeight w:val="195"/>
        </w:trPr>
        <w:tc>
          <w:tcPr>
            <w:tcW w:w="3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5.7</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7.3</w:t>
            </w:r>
          </w:p>
        </w:tc>
      </w:tr>
      <w:tr w:rsidR="00130A6D">
        <w:trPr>
          <w:trHeight w:val="195"/>
        </w:trPr>
        <w:tc>
          <w:tcPr>
            <w:tcW w:w="3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(26.8%)</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5.8%</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8.4%</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16.8%</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26.0%</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(8.7%)</w:t>
            </w:r>
          </w:p>
        </w:tc>
      </w:tr>
      <w:tr w:rsidR="00130A6D">
        <w:trPr>
          <w:trHeight w:val="195"/>
        </w:trPr>
        <w:tc>
          <w:tcPr>
            <w:tcW w:w="38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r>
    </w:tbl>
    <w:p w:rsidR="00F44293" w:rsidRDefault="004160AB">
      <w:pPr>
        <w:spacing w:after="200"/>
        <w:rPr>
          <w:rFonts w:cs="Arial"/>
          <w:b/>
          <w:color w:val="0A2F64"/>
          <w:szCs w:val="18"/>
        </w:rPr>
      </w:pPr>
      <w:r>
        <w:rPr>
          <w:rFonts w:cs="Arial"/>
          <w:b/>
          <w:color w:val="0A2F64"/>
          <w:szCs w:val="18"/>
        </w:rPr>
        <w:br w:type="page"/>
      </w:r>
    </w:p>
    <w:p w:rsidR="008F71AC" w:rsidRPr="00E257B3" w:rsidRDefault="004160AB" w:rsidP="008F71AC">
      <w:pPr>
        <w:pStyle w:val="Heading100"/>
        <w:pBdr>
          <w:bottom w:val="none" w:sz="0" w:space="0" w:color="auto"/>
        </w:pBdr>
        <w:rPr>
          <w:rFonts w:cs="Arial"/>
          <w:b/>
          <w:color w:val="42145F"/>
          <w:sz w:val="18"/>
        </w:rPr>
      </w:pPr>
      <w:r w:rsidRPr="00E257B3">
        <w:rPr>
          <w:rFonts w:cs="Arial"/>
          <w:b/>
          <w:color w:val="42145F"/>
          <w:sz w:val="18"/>
        </w:rPr>
        <w:lastRenderedPageBreak/>
        <w:t xml:space="preserve">Appendix Non-IFRS financial measures </w:t>
      </w:r>
    </w:p>
    <w:p w:rsidR="007561B2" w:rsidRPr="00E257B3" w:rsidRDefault="004160AB" w:rsidP="007561B2">
      <w:pPr>
        <w:pStyle w:val="Normal00"/>
        <w:rPr>
          <w:rFonts w:ascii="Arial" w:eastAsia="MS Mincho" w:hAnsi="Arial" w:cs="Arial"/>
          <w:b/>
          <w:color w:val="5E10B1"/>
          <w:sz w:val="18"/>
          <w:szCs w:val="20"/>
          <w:shd w:val="clear" w:color="auto" w:fill="FFFFFF"/>
          <w:lang w:eastAsia="ja-JP"/>
        </w:rPr>
      </w:pPr>
      <w:r w:rsidRPr="00E257B3">
        <w:rPr>
          <w:rFonts w:ascii="Arial" w:eastAsia="MS Mincho" w:hAnsi="Arial" w:cs="Arial"/>
          <w:b/>
          <w:color w:val="5E10B1"/>
          <w:sz w:val="18"/>
          <w:szCs w:val="20"/>
          <w:shd w:val="clear" w:color="auto" w:fill="FFFFFF"/>
          <w:lang w:eastAsia="ja-JP"/>
        </w:rPr>
        <w:t>2. Operating expenses analysis</w:t>
      </w:r>
    </w:p>
    <w:tbl>
      <w:tblPr>
        <w:tblStyle w:val="table"/>
        <w:tblW w:w="10080" w:type="dxa"/>
        <w:tblInd w:w="5" w:type="dxa"/>
        <w:tblCellMar>
          <w:left w:w="0" w:type="dxa"/>
          <w:right w:w="0" w:type="dxa"/>
        </w:tblCellMar>
        <w:tblLook w:val="05E0" w:firstRow="1" w:lastRow="1" w:firstColumn="1" w:lastColumn="1" w:noHBand="0" w:noVBand="1"/>
      </w:tblPr>
      <w:tblGrid>
        <w:gridCol w:w="4170"/>
        <w:gridCol w:w="1260"/>
        <w:gridCol w:w="1110"/>
        <w:gridCol w:w="60"/>
        <w:gridCol w:w="1260"/>
        <w:gridCol w:w="1110"/>
        <w:gridCol w:w="1110"/>
      </w:tblGrid>
      <w:tr w:rsidR="00130A6D">
        <w:trPr>
          <w:trHeight w:val="195"/>
        </w:trPr>
        <w:tc>
          <w:tcPr>
            <w:tcW w:w="418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b/>
                <w:bCs/>
                <w:color w:val="5E10B1"/>
                <w:sz w:val="16"/>
                <w:szCs w:val="16"/>
              </w:rPr>
            </w:pPr>
            <w:r>
              <w:rPr>
                <w:rStyle w:val="font51"/>
              </w:rPr>
              <w:t>Statutory analysis</w:t>
            </w:r>
            <w:r>
              <w:rPr>
                <w:rStyle w:val="font90"/>
              </w:rPr>
              <w:t> (1,2)</w:t>
            </w:r>
          </w:p>
        </w:tc>
        <w:tc>
          <w:tcPr>
            <w:tcW w:w="126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b/>
                <w:bCs/>
                <w:color w:val="000000"/>
                <w:sz w:val="16"/>
                <w:szCs w:val="16"/>
              </w:rPr>
            </w:pPr>
          </w:p>
        </w:tc>
      </w:tr>
      <w:tr w:rsidR="00130A6D">
        <w:trPr>
          <w:trHeight w:val="195"/>
        </w:trPr>
        <w:tc>
          <w:tcPr>
            <w:tcW w:w="418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gridSpan w:val="2"/>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Nine months ended</w:t>
            </w:r>
          </w:p>
        </w:tc>
        <w:tc>
          <w:tcPr>
            <w:tcW w:w="6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gridSpan w:val="3"/>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r>
      <w:tr w:rsidR="00130A6D">
        <w:trPr>
          <w:trHeight w:val="195"/>
        </w:trPr>
        <w:tc>
          <w:tcPr>
            <w:tcW w:w="418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6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r>
      <w:tr w:rsidR="00130A6D">
        <w:trPr>
          <w:trHeight w:val="195"/>
        </w:trPr>
        <w:tc>
          <w:tcPr>
            <w:tcW w:w="418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6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418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5E10B1"/>
                <w:sz w:val="16"/>
                <w:szCs w:val="16"/>
              </w:rPr>
            </w:pPr>
            <w:r>
              <w:rPr>
                <w:rFonts w:eastAsia="Arial" w:cs="Arial"/>
                <w:color w:val="5E10B1"/>
                <w:sz w:val="16"/>
                <w:szCs w:val="16"/>
              </w:rPr>
              <w:t>Operating expenses</w:t>
            </w:r>
          </w:p>
        </w:tc>
        <w:tc>
          <w:tcPr>
            <w:tcW w:w="126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 </w:t>
            </w:r>
          </w:p>
        </w:tc>
        <w:tc>
          <w:tcPr>
            <w:tcW w:w="111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c>
          <w:tcPr>
            <w:tcW w:w="6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color w:val="000000"/>
                <w:sz w:val="16"/>
                <w:szCs w:val="16"/>
              </w:rPr>
            </w:pPr>
          </w:p>
        </w:tc>
        <w:tc>
          <w:tcPr>
            <w:tcW w:w="126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 </w:t>
            </w:r>
          </w:p>
        </w:tc>
        <w:tc>
          <w:tcPr>
            <w:tcW w:w="111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c>
          <w:tcPr>
            <w:tcW w:w="111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£m </w:t>
            </w:r>
          </w:p>
        </w:tc>
      </w:tr>
      <w:tr w:rsidR="00130A6D">
        <w:trPr>
          <w:trHeight w:val="195"/>
        </w:trPr>
        <w:tc>
          <w:tcPr>
            <w:tcW w:w="4185" w:type="dxa"/>
            <w:tcBorders>
              <w:top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Staff costs</w:t>
            </w:r>
          </w:p>
        </w:tc>
        <w:tc>
          <w:tcPr>
            <w:tcW w:w="1260" w:type="dxa"/>
            <w:tcBorders>
              <w:top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2,937</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3,028</w:t>
            </w:r>
          </w:p>
        </w:tc>
        <w:tc>
          <w:tcPr>
            <w:tcW w:w="60" w:type="dxa"/>
            <w:tcBorders>
              <w:top w:val="single" w:sz="6" w:space="0" w:color="000000"/>
            </w:tcBorders>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982</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963</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1,000</w:t>
            </w:r>
          </w:p>
        </w:tc>
      </w:tr>
      <w:tr w:rsidR="00130A6D">
        <w:trPr>
          <w:trHeight w:val="195"/>
        </w:trPr>
        <w:tc>
          <w:tcPr>
            <w:tcW w:w="418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Premises and equipment</w:t>
            </w:r>
          </w:p>
        </w:tc>
        <w:tc>
          <w:tcPr>
            <w:tcW w:w="1260"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902</w:t>
            </w:r>
          </w:p>
        </w:tc>
        <w:tc>
          <w:tcPr>
            <w:tcW w:w="11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823</w:t>
            </w:r>
          </w:p>
        </w:tc>
        <w:tc>
          <w:tcPr>
            <w:tcW w:w="6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251</w:t>
            </w:r>
          </w:p>
        </w:tc>
        <w:tc>
          <w:tcPr>
            <w:tcW w:w="11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393</w:t>
            </w:r>
          </w:p>
        </w:tc>
        <w:tc>
          <w:tcPr>
            <w:tcW w:w="11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265</w:t>
            </w:r>
          </w:p>
        </w:tc>
      </w:tr>
      <w:tr w:rsidR="00130A6D">
        <w:trPr>
          <w:trHeight w:val="195"/>
        </w:trPr>
        <w:tc>
          <w:tcPr>
            <w:tcW w:w="418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Other administrative expenses</w:t>
            </w:r>
          </w:p>
        </w:tc>
        <w:tc>
          <w:tcPr>
            <w:tcW w:w="1260"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1,081</w:t>
            </w:r>
          </w:p>
        </w:tc>
        <w:tc>
          <w:tcPr>
            <w:tcW w:w="11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2,085</w:t>
            </w:r>
          </w:p>
        </w:tc>
        <w:tc>
          <w:tcPr>
            <w:tcW w:w="6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385</w:t>
            </w:r>
          </w:p>
        </w:tc>
        <w:tc>
          <w:tcPr>
            <w:tcW w:w="11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298</w:t>
            </w:r>
          </w:p>
        </w:tc>
        <w:tc>
          <w:tcPr>
            <w:tcW w:w="11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1,222</w:t>
            </w:r>
          </w:p>
        </w:tc>
      </w:tr>
      <w:tr w:rsidR="00130A6D">
        <w:trPr>
          <w:trHeight w:val="195"/>
        </w:trPr>
        <w:tc>
          <w:tcPr>
            <w:tcW w:w="418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Depreciation and amortisation</w:t>
            </w:r>
          </w:p>
        </w:tc>
        <w:tc>
          <w:tcPr>
            <w:tcW w:w="1260"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635</w:t>
            </w:r>
          </w:p>
        </w:tc>
        <w:tc>
          <w:tcPr>
            <w:tcW w:w="11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853</w:t>
            </w:r>
          </w:p>
        </w:tc>
        <w:tc>
          <w:tcPr>
            <w:tcW w:w="60"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194</w:t>
            </w:r>
          </w:p>
        </w:tc>
        <w:tc>
          <w:tcPr>
            <w:tcW w:w="11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248</w:t>
            </w:r>
          </w:p>
        </w:tc>
        <w:tc>
          <w:tcPr>
            <w:tcW w:w="11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232</w:t>
            </w:r>
          </w:p>
        </w:tc>
      </w:tr>
      <w:tr w:rsidR="00130A6D">
        <w:trPr>
          <w:trHeight w:val="195"/>
        </w:trPr>
        <w:tc>
          <w:tcPr>
            <w:tcW w:w="4185" w:type="dxa"/>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Impairment of other intangible assets</w:t>
            </w: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9</w:t>
            </w:r>
          </w:p>
        </w:tc>
        <w:tc>
          <w:tcPr>
            <w:tcW w:w="60" w:type="dxa"/>
            <w:tcBorders>
              <w:bottom w:val="single" w:sz="6" w:space="0" w:color="000000"/>
            </w:tcBorders>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r>
      <w:tr w:rsidR="00130A6D">
        <w:trPr>
          <w:trHeight w:val="195"/>
        </w:trPr>
        <w:tc>
          <w:tcPr>
            <w:tcW w:w="418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b/>
                <w:bCs/>
                <w:color w:val="5E10B1"/>
                <w:sz w:val="16"/>
                <w:szCs w:val="16"/>
              </w:rPr>
            </w:pPr>
            <w:r>
              <w:rPr>
                <w:rFonts w:eastAsia="Arial" w:cs="Arial"/>
                <w:b/>
                <w:bCs/>
                <w:color w:val="5E10B1"/>
                <w:sz w:val="16"/>
                <w:szCs w:val="16"/>
              </w:rPr>
              <w:t>Total operating expenses</w:t>
            </w:r>
          </w:p>
        </w:tc>
        <w:tc>
          <w:tcPr>
            <w:tcW w:w="12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5,564</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6,798</w:t>
            </w:r>
          </w:p>
        </w:tc>
        <w:tc>
          <w:tcPr>
            <w:tcW w:w="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2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1,814</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1,909</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2,698</w:t>
            </w:r>
          </w:p>
        </w:tc>
      </w:tr>
    </w:tbl>
    <w:p w:rsidR="00073BD4" w:rsidRDefault="00073BD4" w:rsidP="007561B2">
      <w:pPr>
        <w:pStyle w:val="Normal00"/>
        <w:rPr>
          <w:rFonts w:ascii="Arial" w:hAnsi="Arial" w:cs="Arial"/>
          <w:sz w:val="14"/>
          <w:szCs w:val="14"/>
        </w:rPr>
      </w:pPr>
    </w:p>
    <w:tbl>
      <w:tblPr>
        <w:tblStyle w:val="table"/>
        <w:tblW w:w="10040" w:type="dxa"/>
        <w:tblInd w:w="5" w:type="dxa"/>
        <w:tblCellMar>
          <w:left w:w="0" w:type="dxa"/>
          <w:right w:w="0" w:type="dxa"/>
        </w:tblCellMar>
        <w:tblLook w:val="05E0" w:firstRow="1" w:lastRow="1" w:firstColumn="1" w:lastColumn="1" w:noHBand="0" w:noVBand="1"/>
      </w:tblPr>
      <w:tblGrid>
        <w:gridCol w:w="3375"/>
        <w:gridCol w:w="795"/>
        <w:gridCol w:w="825"/>
        <w:gridCol w:w="885"/>
        <w:gridCol w:w="945"/>
        <w:gridCol w:w="135"/>
        <w:gridCol w:w="735"/>
        <w:gridCol w:w="735"/>
        <w:gridCol w:w="810"/>
        <w:gridCol w:w="810"/>
      </w:tblGrid>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b/>
                <w:bCs/>
                <w:color w:val="5E10B1"/>
                <w:sz w:val="16"/>
                <w:szCs w:val="16"/>
              </w:rPr>
            </w:pPr>
            <w:r>
              <w:rPr>
                <w:rFonts w:eastAsia="Arial" w:cs="Arial"/>
                <w:b/>
                <w:bCs/>
                <w:color w:val="5E10B1"/>
                <w:sz w:val="16"/>
                <w:szCs w:val="16"/>
              </w:rPr>
              <w:t>Non-statutory analysis</w:t>
            </w:r>
          </w:p>
        </w:tc>
        <w:tc>
          <w:tcPr>
            <w:tcW w:w="79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82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94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000000"/>
                <w:sz w:val="16"/>
                <w:szCs w:val="16"/>
              </w:rPr>
            </w:pPr>
          </w:p>
        </w:tc>
        <w:tc>
          <w:tcPr>
            <w:tcW w:w="73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22"/>
              </w:rPr>
            </w:pPr>
          </w:p>
        </w:tc>
        <w:tc>
          <w:tcPr>
            <w:tcW w:w="810"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22"/>
              </w:rPr>
            </w:pPr>
          </w:p>
        </w:tc>
        <w:tc>
          <w:tcPr>
            <w:tcW w:w="810"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22"/>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gridSpan w:val="9"/>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Nine months ended</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gridSpan w:val="4"/>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center"/>
              <w:rPr>
                <w:rFonts w:eastAsia="Arial" w:cs="Arial"/>
                <w:b/>
                <w:bCs/>
                <w:color w:val="000000"/>
                <w:sz w:val="16"/>
                <w:szCs w:val="16"/>
              </w:rPr>
            </w:pPr>
            <w:r>
              <w:rPr>
                <w:rFonts w:eastAsia="Arial" w:cs="Arial"/>
                <w:b/>
                <w:bCs/>
                <w:color w:val="000000"/>
                <w:sz w:val="16"/>
                <w:szCs w:val="16"/>
              </w:rPr>
              <w:t>30 September 2020</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b/>
                <w:bCs/>
                <w:color w:val="000000"/>
                <w:sz w:val="16"/>
                <w:szCs w:val="16"/>
              </w:rPr>
            </w:pPr>
          </w:p>
        </w:tc>
        <w:tc>
          <w:tcPr>
            <w:tcW w:w="735" w:type="dxa"/>
            <w:gridSpan w:val="4"/>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center"/>
              <w:rPr>
                <w:rFonts w:eastAsia="Arial" w:cs="Arial"/>
                <w:color w:val="000000"/>
                <w:sz w:val="16"/>
                <w:szCs w:val="16"/>
              </w:rPr>
            </w:pPr>
            <w:r>
              <w:rPr>
                <w:rFonts w:eastAsia="Arial" w:cs="Arial"/>
                <w:color w:val="000000"/>
                <w:sz w:val="16"/>
                <w:szCs w:val="16"/>
              </w:rPr>
              <w:t>30 September 2019</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82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Litigation </w:t>
            </w:r>
          </w:p>
        </w:tc>
        <w:tc>
          <w:tcPr>
            <w:tcW w:w="88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 xml:space="preserve">Litigation </w:t>
            </w: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82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and</w:t>
            </w:r>
          </w:p>
        </w:tc>
        <w:tc>
          <w:tcPr>
            <w:tcW w:w="88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Statutory</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and</w:t>
            </w: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Statutory</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Strategic </w:t>
            </w:r>
          </w:p>
        </w:tc>
        <w:tc>
          <w:tcPr>
            <w:tcW w:w="82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conduct </w:t>
            </w:r>
          </w:p>
        </w:tc>
        <w:tc>
          <w:tcPr>
            <w:tcW w:w="88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Other</w:t>
            </w:r>
          </w:p>
        </w:tc>
        <w:tc>
          <w:tcPr>
            <w:tcW w:w="94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operating</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 xml:space="preserve">Strategic </w:t>
            </w:r>
          </w:p>
        </w:tc>
        <w:tc>
          <w:tcPr>
            <w:tcW w:w="73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 xml:space="preserve">conduct </w:t>
            </w:r>
          </w:p>
        </w:tc>
        <w:tc>
          <w:tcPr>
            <w:tcW w:w="81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Other</w:t>
            </w:r>
          </w:p>
        </w:tc>
        <w:tc>
          <w:tcPr>
            <w:tcW w:w="81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operating</w:t>
            </w:r>
          </w:p>
        </w:tc>
      </w:tr>
      <w:tr w:rsidR="00130A6D">
        <w:trPr>
          <w:trHeight w:val="195"/>
        </w:trPr>
        <w:tc>
          <w:tcPr>
            <w:tcW w:w="3375" w:type="dxa"/>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5E10B1"/>
                <w:sz w:val="16"/>
                <w:szCs w:val="16"/>
              </w:rPr>
            </w:pPr>
            <w:r>
              <w:rPr>
                <w:rFonts w:eastAsia="Arial" w:cs="Arial"/>
                <w:color w:val="5E10B1"/>
                <w:sz w:val="16"/>
                <w:szCs w:val="16"/>
              </w:rPr>
              <w:t>Operating expenses</w:t>
            </w:r>
          </w:p>
        </w:tc>
        <w:tc>
          <w:tcPr>
            <w:tcW w:w="79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costs</w:t>
            </w:r>
          </w:p>
        </w:tc>
        <w:tc>
          <w:tcPr>
            <w:tcW w:w="82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costs</w:t>
            </w:r>
          </w:p>
        </w:tc>
        <w:tc>
          <w:tcPr>
            <w:tcW w:w="88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expenses</w:t>
            </w:r>
          </w:p>
        </w:tc>
        <w:tc>
          <w:tcPr>
            <w:tcW w:w="94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expenses</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73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costs</w:t>
            </w:r>
          </w:p>
        </w:tc>
        <w:tc>
          <w:tcPr>
            <w:tcW w:w="73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costs</w:t>
            </w:r>
          </w:p>
        </w:tc>
        <w:tc>
          <w:tcPr>
            <w:tcW w:w="810"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expenses</w:t>
            </w:r>
          </w:p>
        </w:tc>
        <w:tc>
          <w:tcPr>
            <w:tcW w:w="810"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expenses</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Staff costs</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315</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2,622</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2,937</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296</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2,732</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3,028</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Premises and equipment</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170</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732</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902</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93</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730</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823</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Other administrative expenses</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143</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1,019</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1,081</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197</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810</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1,078</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2,085</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Depreciation and amortisation</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52</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583</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635</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233</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620</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853</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Impairment of other intangible assets</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25</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(16)</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9</w:t>
            </w:r>
          </w:p>
        </w:tc>
      </w:tr>
      <w:tr w:rsidR="00130A6D">
        <w:trPr>
          <w:trHeight w:val="195"/>
        </w:trPr>
        <w:tc>
          <w:tcPr>
            <w:tcW w:w="337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Total </w:t>
            </w:r>
          </w:p>
        </w:tc>
        <w:tc>
          <w:tcPr>
            <w:tcW w:w="79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687</w:t>
            </w:r>
          </w:p>
        </w:tc>
        <w:tc>
          <w:tcPr>
            <w:tcW w:w="82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w:t>
            </w:r>
          </w:p>
        </w:tc>
        <w:tc>
          <w:tcPr>
            <w:tcW w:w="88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4,958</w:t>
            </w:r>
          </w:p>
        </w:tc>
        <w:tc>
          <w:tcPr>
            <w:tcW w:w="94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5,564</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844</w:t>
            </w:r>
          </w:p>
        </w:tc>
        <w:tc>
          <w:tcPr>
            <w:tcW w:w="7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810</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5,144</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6,798</w:t>
            </w:r>
          </w:p>
        </w:tc>
      </w:tr>
      <w:tr w:rsidR="00130A6D">
        <w:trPr>
          <w:trHeight w:val="195"/>
        </w:trPr>
        <w:tc>
          <w:tcPr>
            <w:tcW w:w="337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79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82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94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13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73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73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810"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810"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gridSpan w:val="9"/>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gridSpan w:val="4"/>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30 September 2020</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b/>
                <w:bCs/>
                <w:color w:val="5E10B1"/>
                <w:sz w:val="16"/>
                <w:szCs w:val="16"/>
              </w:rPr>
            </w:pPr>
          </w:p>
        </w:tc>
        <w:tc>
          <w:tcPr>
            <w:tcW w:w="735" w:type="dxa"/>
            <w:gridSpan w:val="4"/>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center"/>
              <w:rPr>
                <w:rFonts w:eastAsia="Arial" w:cs="Arial"/>
                <w:color w:val="5E10B1"/>
                <w:sz w:val="16"/>
                <w:szCs w:val="16"/>
              </w:rPr>
            </w:pPr>
            <w:r>
              <w:rPr>
                <w:rFonts w:eastAsia="Arial" w:cs="Arial"/>
                <w:color w:val="5E10B1"/>
                <w:sz w:val="16"/>
                <w:szCs w:val="16"/>
              </w:rPr>
              <w:t>30 June 2020</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82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Litigation </w:t>
            </w:r>
          </w:p>
        </w:tc>
        <w:tc>
          <w:tcPr>
            <w:tcW w:w="88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 xml:space="preserve">Litigation </w:t>
            </w: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82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and</w:t>
            </w:r>
          </w:p>
        </w:tc>
        <w:tc>
          <w:tcPr>
            <w:tcW w:w="88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Statutory</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and</w:t>
            </w: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Statutory</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Strategic </w:t>
            </w:r>
          </w:p>
        </w:tc>
        <w:tc>
          <w:tcPr>
            <w:tcW w:w="82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conduct </w:t>
            </w:r>
          </w:p>
        </w:tc>
        <w:tc>
          <w:tcPr>
            <w:tcW w:w="88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Other</w:t>
            </w:r>
          </w:p>
        </w:tc>
        <w:tc>
          <w:tcPr>
            <w:tcW w:w="94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operating</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 xml:space="preserve">Strategic </w:t>
            </w:r>
          </w:p>
        </w:tc>
        <w:tc>
          <w:tcPr>
            <w:tcW w:w="73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 xml:space="preserve">conduct </w:t>
            </w:r>
          </w:p>
        </w:tc>
        <w:tc>
          <w:tcPr>
            <w:tcW w:w="81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Other</w:t>
            </w:r>
          </w:p>
        </w:tc>
        <w:tc>
          <w:tcPr>
            <w:tcW w:w="810"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operating</w:t>
            </w:r>
          </w:p>
        </w:tc>
      </w:tr>
      <w:tr w:rsidR="00130A6D">
        <w:trPr>
          <w:trHeight w:val="195"/>
        </w:trPr>
        <w:tc>
          <w:tcPr>
            <w:tcW w:w="3375" w:type="dxa"/>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5E10B1"/>
                <w:sz w:val="16"/>
                <w:szCs w:val="16"/>
              </w:rPr>
            </w:pPr>
            <w:r>
              <w:rPr>
                <w:rFonts w:eastAsia="Arial" w:cs="Arial"/>
                <w:color w:val="5E10B1"/>
                <w:sz w:val="16"/>
                <w:szCs w:val="16"/>
              </w:rPr>
              <w:t>Operating expenses</w:t>
            </w:r>
          </w:p>
        </w:tc>
        <w:tc>
          <w:tcPr>
            <w:tcW w:w="79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costs</w:t>
            </w:r>
          </w:p>
        </w:tc>
        <w:tc>
          <w:tcPr>
            <w:tcW w:w="82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costs</w:t>
            </w:r>
          </w:p>
        </w:tc>
        <w:tc>
          <w:tcPr>
            <w:tcW w:w="88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expenses</w:t>
            </w:r>
          </w:p>
        </w:tc>
        <w:tc>
          <w:tcPr>
            <w:tcW w:w="94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expenses</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73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costs</w:t>
            </w:r>
          </w:p>
        </w:tc>
        <w:tc>
          <w:tcPr>
            <w:tcW w:w="73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costs</w:t>
            </w:r>
          </w:p>
        </w:tc>
        <w:tc>
          <w:tcPr>
            <w:tcW w:w="810"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expenses</w:t>
            </w:r>
          </w:p>
        </w:tc>
        <w:tc>
          <w:tcPr>
            <w:tcW w:w="810"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expenses</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Staff costs</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155</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827</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982</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876</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963</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Premises and equipment</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229</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251</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135</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258</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393</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Other administrative expenses</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43</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334</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385</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57</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(85)</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326</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298</w:t>
            </w: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Depreciation and amortisation</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191</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194</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47</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201</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248</w:t>
            </w:r>
          </w:p>
        </w:tc>
      </w:tr>
      <w:tr w:rsidR="00130A6D">
        <w:trPr>
          <w:trHeight w:val="195"/>
        </w:trPr>
        <w:tc>
          <w:tcPr>
            <w:tcW w:w="3375" w:type="dxa"/>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Impairment of other intangible assets</w:t>
            </w:r>
          </w:p>
        </w:tc>
        <w:tc>
          <w:tcPr>
            <w:tcW w:w="79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2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945" w:type="dxa"/>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73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10"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7</w:t>
            </w:r>
          </w:p>
        </w:tc>
      </w:tr>
      <w:tr w:rsidR="00130A6D">
        <w:trPr>
          <w:trHeight w:val="195"/>
        </w:trPr>
        <w:tc>
          <w:tcPr>
            <w:tcW w:w="3375" w:type="dxa"/>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Total </w:t>
            </w:r>
          </w:p>
        </w:tc>
        <w:tc>
          <w:tcPr>
            <w:tcW w:w="79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223</w:t>
            </w:r>
          </w:p>
        </w:tc>
        <w:tc>
          <w:tcPr>
            <w:tcW w:w="82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88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1,583</w:t>
            </w:r>
          </w:p>
        </w:tc>
        <w:tc>
          <w:tcPr>
            <w:tcW w:w="945"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1,814</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333</w:t>
            </w:r>
          </w:p>
        </w:tc>
        <w:tc>
          <w:tcPr>
            <w:tcW w:w="7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(85)</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1,661</w:t>
            </w:r>
          </w:p>
        </w:tc>
        <w:tc>
          <w:tcPr>
            <w:tcW w:w="8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1,909</w:t>
            </w:r>
          </w:p>
        </w:tc>
      </w:tr>
      <w:tr w:rsidR="00130A6D">
        <w:trPr>
          <w:trHeight w:val="195"/>
        </w:trPr>
        <w:tc>
          <w:tcPr>
            <w:tcW w:w="337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79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82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94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13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73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735"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810"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c>
          <w:tcPr>
            <w:tcW w:w="810" w:type="dxa"/>
            <w:shd w:val="clear" w:color="auto" w:fill="FFFFFF"/>
            <w:noWrap/>
            <w:tcMar>
              <w:top w:w="0" w:type="dxa"/>
              <w:left w:w="5" w:type="dxa"/>
              <w:bottom w:w="0" w:type="dxa"/>
              <w:right w:w="5" w:type="dxa"/>
            </w:tcMar>
            <w:vAlign w:val="bottom"/>
            <w:hideMark/>
          </w:tcPr>
          <w:p w:rsidR="00923F29" w:rsidRDefault="00923F29">
            <w:pPr>
              <w:spacing w:line="240" w:lineRule="auto"/>
              <w:contextualSpacing/>
              <w:rPr>
                <w:rFonts w:eastAsia="Arial" w:cs="Arial"/>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gridSpan w:val="4"/>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center"/>
              <w:rPr>
                <w:rFonts w:eastAsia="Arial" w:cs="Arial"/>
                <w:b/>
                <w:bCs/>
                <w:color w:val="5E10B1"/>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center"/>
              <w:rPr>
                <w:rFonts w:eastAsia="Arial" w:cs="Arial"/>
                <w:b/>
                <w:bCs/>
                <w:color w:val="5E10B1"/>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center"/>
              <w:rPr>
                <w:rFonts w:eastAsia="Arial" w:cs="Arial"/>
                <w:b/>
                <w:bCs/>
                <w:color w:val="5E10B1"/>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center"/>
              <w:rPr>
                <w:rFonts w:eastAsia="Arial" w:cs="Arial"/>
                <w:b/>
                <w:bCs/>
                <w:color w:val="5E10B1"/>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center"/>
              <w:rPr>
                <w:rFonts w:eastAsia="Arial" w:cs="Arial"/>
                <w:b/>
                <w:bCs/>
                <w:color w:val="5E10B1"/>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gridSpan w:val="4"/>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center"/>
              <w:rPr>
                <w:rFonts w:eastAsia="Arial" w:cs="Arial"/>
                <w:color w:val="5E10B1"/>
                <w:sz w:val="16"/>
                <w:szCs w:val="16"/>
              </w:rPr>
            </w:pPr>
            <w:r>
              <w:rPr>
                <w:rFonts w:eastAsia="Arial" w:cs="Arial"/>
                <w:color w:val="5E10B1"/>
                <w:sz w:val="16"/>
                <w:szCs w:val="16"/>
              </w:rPr>
              <w:t>30 September 2019</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b/>
                <w:bCs/>
                <w:color w:val="000000"/>
                <w:sz w:val="16"/>
                <w:szCs w:val="16"/>
              </w:rPr>
            </w:pPr>
          </w:p>
        </w:tc>
        <w:tc>
          <w:tcPr>
            <w:tcW w:w="735" w:type="dxa"/>
            <w:gridSpan w:val="4"/>
            <w:shd w:val="clear" w:color="auto" w:fill="FFFFFF"/>
            <w:tcMar>
              <w:top w:w="0" w:type="dxa"/>
              <w:left w:w="5" w:type="dxa"/>
              <w:bottom w:w="0" w:type="dxa"/>
              <w:right w:w="5" w:type="dxa"/>
            </w:tcMar>
            <w:vAlign w:val="center"/>
            <w:hideMark/>
          </w:tcPr>
          <w:p w:rsidR="00923F29" w:rsidRDefault="00923F29">
            <w:pPr>
              <w:spacing w:line="240" w:lineRule="auto"/>
              <w:contextualSpacing/>
              <w:jc w:val="center"/>
              <w:rPr>
                <w:rFonts w:eastAsia="Arial" w:cs="Arial"/>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82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Litigation </w:t>
            </w:r>
          </w:p>
        </w:tc>
        <w:tc>
          <w:tcPr>
            <w:tcW w:w="88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b/>
                <w:bCs/>
                <w:color w:val="000000"/>
                <w:sz w:val="16"/>
                <w:szCs w:val="16"/>
              </w:rPr>
            </w:pPr>
          </w:p>
        </w:tc>
        <w:tc>
          <w:tcPr>
            <w:tcW w:w="82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and</w:t>
            </w:r>
          </w:p>
        </w:tc>
        <w:tc>
          <w:tcPr>
            <w:tcW w:w="88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94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Statutory</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b/>
                <w:bCs/>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923F29">
            <w:pPr>
              <w:spacing w:line="240" w:lineRule="auto"/>
              <w:contextualSpacing/>
              <w:rPr>
                <w:rFonts w:eastAsia="Arial" w:cs="Arial"/>
                <w:color w:val="5E10B1"/>
                <w:sz w:val="16"/>
                <w:szCs w:val="16"/>
              </w:rPr>
            </w:pPr>
          </w:p>
        </w:tc>
        <w:tc>
          <w:tcPr>
            <w:tcW w:w="79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Strategic </w:t>
            </w:r>
          </w:p>
        </w:tc>
        <w:tc>
          <w:tcPr>
            <w:tcW w:w="82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conduct </w:t>
            </w:r>
          </w:p>
        </w:tc>
        <w:tc>
          <w:tcPr>
            <w:tcW w:w="88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Other</w:t>
            </w:r>
          </w:p>
        </w:tc>
        <w:tc>
          <w:tcPr>
            <w:tcW w:w="945" w:type="dxa"/>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operating</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b/>
                <w:bCs/>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color w:val="000000"/>
                <w:sz w:val="16"/>
                <w:szCs w:val="16"/>
              </w:rPr>
            </w:pPr>
          </w:p>
        </w:tc>
      </w:tr>
      <w:tr w:rsidR="00130A6D">
        <w:trPr>
          <w:trHeight w:val="195"/>
        </w:trPr>
        <w:tc>
          <w:tcPr>
            <w:tcW w:w="3375" w:type="dxa"/>
            <w:tcBorders>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5E10B1"/>
                <w:sz w:val="16"/>
                <w:szCs w:val="16"/>
              </w:rPr>
            </w:pPr>
            <w:r>
              <w:rPr>
                <w:rFonts w:eastAsia="Arial" w:cs="Arial"/>
                <w:color w:val="5E10B1"/>
                <w:sz w:val="16"/>
                <w:szCs w:val="16"/>
              </w:rPr>
              <w:t>Operating expenses</w:t>
            </w:r>
          </w:p>
        </w:tc>
        <w:tc>
          <w:tcPr>
            <w:tcW w:w="79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costs</w:t>
            </w:r>
          </w:p>
        </w:tc>
        <w:tc>
          <w:tcPr>
            <w:tcW w:w="82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costs</w:t>
            </w:r>
          </w:p>
        </w:tc>
        <w:tc>
          <w:tcPr>
            <w:tcW w:w="88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expenses</w:t>
            </w:r>
          </w:p>
        </w:tc>
        <w:tc>
          <w:tcPr>
            <w:tcW w:w="945" w:type="dxa"/>
            <w:tcBorders>
              <w:bottom w:val="single" w:sz="6" w:space="0" w:color="000000"/>
            </w:tcBorders>
            <w:shd w:val="clear" w:color="auto" w:fill="FFFFFF"/>
            <w:tcMar>
              <w:top w:w="0" w:type="dxa"/>
              <w:left w:w="5" w:type="dxa"/>
              <w:bottom w:w="0" w:type="dxa"/>
              <w:right w:w="5" w:type="dxa"/>
            </w:tcMar>
            <w:vAlign w:val="bottom"/>
            <w:hideMark/>
          </w:tcPr>
          <w:p w:rsidR="00923F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expenses</w:t>
            </w:r>
          </w:p>
        </w:tc>
        <w:tc>
          <w:tcPr>
            <w:tcW w:w="1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b/>
                <w:bCs/>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bottom"/>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color w:val="000000"/>
                <w:sz w:val="16"/>
                <w:szCs w:val="16"/>
              </w:rPr>
            </w:pPr>
          </w:p>
        </w:tc>
        <w:tc>
          <w:tcPr>
            <w:tcW w:w="810" w:type="dxa"/>
            <w:shd w:val="clear" w:color="auto" w:fill="FFFFFF"/>
            <w:tcMar>
              <w:top w:w="0" w:type="dxa"/>
              <w:left w:w="5" w:type="dxa"/>
              <w:bottom w:w="0" w:type="dxa"/>
              <w:right w:w="5" w:type="dxa"/>
            </w:tcMar>
            <w:vAlign w:val="bottom"/>
            <w:hideMark/>
          </w:tcPr>
          <w:p w:rsidR="00923F29" w:rsidRDefault="00923F29">
            <w:pPr>
              <w:spacing w:line="240" w:lineRule="auto"/>
              <w:contextualSpacing/>
              <w:jc w:val="center"/>
              <w:rPr>
                <w:rFonts w:eastAsia="Arial" w:cs="Arial"/>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Staff costs</w:t>
            </w:r>
          </w:p>
        </w:tc>
        <w:tc>
          <w:tcPr>
            <w:tcW w:w="79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109</w:t>
            </w:r>
          </w:p>
        </w:tc>
        <w:tc>
          <w:tcPr>
            <w:tcW w:w="82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891</w:t>
            </w:r>
          </w:p>
        </w:tc>
        <w:tc>
          <w:tcPr>
            <w:tcW w:w="94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1,000</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Premises and equipment</w:t>
            </w:r>
          </w:p>
        </w:tc>
        <w:tc>
          <w:tcPr>
            <w:tcW w:w="79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28</w:t>
            </w:r>
          </w:p>
        </w:tc>
        <w:tc>
          <w:tcPr>
            <w:tcW w:w="82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237</w:t>
            </w:r>
          </w:p>
        </w:tc>
        <w:tc>
          <w:tcPr>
            <w:tcW w:w="94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265</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Other administrative expenses</w:t>
            </w:r>
          </w:p>
        </w:tc>
        <w:tc>
          <w:tcPr>
            <w:tcW w:w="79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67</w:t>
            </w:r>
          </w:p>
        </w:tc>
        <w:tc>
          <w:tcPr>
            <w:tcW w:w="82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750</w:t>
            </w:r>
          </w:p>
        </w:tc>
        <w:tc>
          <w:tcPr>
            <w:tcW w:w="88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405</w:t>
            </w:r>
          </w:p>
        </w:tc>
        <w:tc>
          <w:tcPr>
            <w:tcW w:w="94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1,222</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Depreciation and amortisation</w:t>
            </w:r>
          </w:p>
        </w:tc>
        <w:tc>
          <w:tcPr>
            <w:tcW w:w="79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82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221</w:t>
            </w:r>
          </w:p>
        </w:tc>
        <w:tc>
          <w:tcPr>
            <w:tcW w:w="94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232</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r>
      <w:tr w:rsidR="00130A6D">
        <w:trPr>
          <w:trHeight w:val="195"/>
        </w:trPr>
        <w:tc>
          <w:tcPr>
            <w:tcW w:w="3375" w:type="dxa"/>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color w:val="000000"/>
                <w:sz w:val="16"/>
                <w:szCs w:val="16"/>
              </w:rPr>
            </w:pPr>
            <w:r>
              <w:rPr>
                <w:rFonts w:eastAsia="Arial" w:cs="Arial"/>
                <w:color w:val="000000"/>
                <w:sz w:val="16"/>
                <w:szCs w:val="16"/>
              </w:rPr>
              <w:t>Impairment of other intangible assets</w:t>
            </w:r>
          </w:p>
        </w:tc>
        <w:tc>
          <w:tcPr>
            <w:tcW w:w="79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2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945" w:type="dxa"/>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r>
      <w:tr w:rsidR="00130A6D">
        <w:trPr>
          <w:trHeight w:val="195"/>
        </w:trPr>
        <w:tc>
          <w:tcPr>
            <w:tcW w:w="337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rPr>
                <w:rFonts w:eastAsia="Arial" w:cs="Arial"/>
                <w:b/>
                <w:bCs/>
                <w:color w:val="5E10B1"/>
                <w:sz w:val="16"/>
                <w:szCs w:val="16"/>
              </w:rPr>
            </w:pPr>
            <w:r>
              <w:rPr>
                <w:rFonts w:eastAsia="Arial" w:cs="Arial"/>
                <w:b/>
                <w:bCs/>
                <w:color w:val="5E10B1"/>
                <w:sz w:val="16"/>
                <w:szCs w:val="16"/>
              </w:rPr>
              <w:t xml:space="preserve">Total </w:t>
            </w:r>
          </w:p>
        </w:tc>
        <w:tc>
          <w:tcPr>
            <w:tcW w:w="79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215</w:t>
            </w:r>
          </w:p>
        </w:tc>
        <w:tc>
          <w:tcPr>
            <w:tcW w:w="82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750</w:t>
            </w:r>
          </w:p>
        </w:tc>
        <w:tc>
          <w:tcPr>
            <w:tcW w:w="88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1,733</w:t>
            </w:r>
          </w:p>
        </w:tc>
        <w:tc>
          <w:tcPr>
            <w:tcW w:w="94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923F29" w:rsidRDefault="004160AB">
            <w:pPr>
              <w:spacing w:line="240" w:lineRule="auto"/>
              <w:contextualSpacing/>
              <w:jc w:val="right"/>
              <w:rPr>
                <w:rFonts w:eastAsia="Arial" w:cs="Arial"/>
                <w:color w:val="000000"/>
                <w:sz w:val="16"/>
                <w:szCs w:val="16"/>
              </w:rPr>
            </w:pPr>
            <w:r>
              <w:rPr>
                <w:rFonts w:eastAsia="Arial" w:cs="Arial"/>
                <w:color w:val="000000"/>
                <w:sz w:val="16"/>
                <w:szCs w:val="16"/>
              </w:rPr>
              <w:t>2,698</w:t>
            </w:r>
          </w:p>
        </w:tc>
        <w:tc>
          <w:tcPr>
            <w:tcW w:w="1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735"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c>
          <w:tcPr>
            <w:tcW w:w="810" w:type="dxa"/>
            <w:shd w:val="clear" w:color="auto" w:fill="FFFFFF"/>
            <w:tcMar>
              <w:top w:w="0" w:type="dxa"/>
              <w:left w:w="5" w:type="dxa"/>
              <w:bottom w:w="0" w:type="dxa"/>
              <w:right w:w="5" w:type="dxa"/>
            </w:tcMar>
            <w:vAlign w:val="center"/>
            <w:hideMark/>
          </w:tcPr>
          <w:p w:rsidR="00923F29" w:rsidRDefault="00923F29">
            <w:pPr>
              <w:spacing w:line="240" w:lineRule="auto"/>
              <w:contextualSpacing/>
              <w:jc w:val="right"/>
              <w:rPr>
                <w:rFonts w:eastAsia="Arial" w:cs="Arial"/>
                <w:b/>
                <w:bCs/>
                <w:color w:val="000000"/>
                <w:sz w:val="16"/>
                <w:szCs w:val="16"/>
              </w:rPr>
            </w:pPr>
          </w:p>
        </w:tc>
      </w:tr>
    </w:tbl>
    <w:p w:rsidR="007B495C" w:rsidRDefault="007B495C" w:rsidP="007561B2">
      <w:pPr>
        <w:pStyle w:val="Normal00"/>
        <w:rPr>
          <w:rFonts w:ascii="Arial" w:hAnsi="Arial" w:cs="Arial"/>
          <w:sz w:val="14"/>
          <w:szCs w:val="14"/>
        </w:rPr>
      </w:pPr>
    </w:p>
    <w:p w:rsidR="007B495C" w:rsidRPr="007B495C" w:rsidRDefault="004160AB" w:rsidP="007B495C">
      <w:pPr>
        <w:pStyle w:val="Normal00"/>
        <w:rPr>
          <w:rFonts w:ascii="Arial" w:hAnsi="Arial" w:cs="Arial"/>
          <w:sz w:val="14"/>
          <w:szCs w:val="14"/>
        </w:rPr>
      </w:pPr>
      <w:r>
        <w:rPr>
          <w:rFonts w:ascii="Arial" w:hAnsi="Arial" w:cs="Arial"/>
          <w:sz w:val="14"/>
          <w:szCs w:val="14"/>
        </w:rPr>
        <w:t>Notes:</w:t>
      </w:r>
    </w:p>
    <w:p w:rsidR="007B495C" w:rsidRPr="007150CB" w:rsidRDefault="004160AB" w:rsidP="007B495C">
      <w:pPr>
        <w:pStyle w:val="ListParagraph0"/>
        <w:numPr>
          <w:ilvl w:val="0"/>
          <w:numId w:val="20"/>
        </w:numPr>
        <w:autoSpaceDE w:val="0"/>
        <w:autoSpaceDN w:val="0"/>
        <w:adjustRightInd w:val="0"/>
        <w:spacing w:line="240" w:lineRule="auto"/>
        <w:rPr>
          <w:rFonts w:cs="Arial"/>
          <w:sz w:val="14"/>
          <w:szCs w:val="14"/>
        </w:rPr>
      </w:pPr>
      <w:r w:rsidRPr="007150CB">
        <w:rPr>
          <w:rFonts w:cs="Arial"/>
          <w:sz w:val="14"/>
          <w:szCs w:val="14"/>
        </w:rPr>
        <w:t>On a statutory, or GAAP basis, strategic costs are included within staff costs, premises and equipment, depreciation and amortisation, impairment of other    intangible assets and other administrative expenses. Strategic costs relate to restructuring provisions, related costs and projects that are transformational in nature.</w:t>
      </w:r>
    </w:p>
    <w:p w:rsidR="007B495C" w:rsidRPr="007150CB" w:rsidRDefault="004160AB" w:rsidP="007B495C">
      <w:pPr>
        <w:pStyle w:val="ListParagraph0"/>
        <w:numPr>
          <w:ilvl w:val="0"/>
          <w:numId w:val="20"/>
        </w:numPr>
        <w:autoSpaceDE w:val="0"/>
        <w:autoSpaceDN w:val="0"/>
        <w:adjustRightInd w:val="0"/>
        <w:spacing w:line="240" w:lineRule="auto"/>
        <w:rPr>
          <w:rFonts w:cs="Arial"/>
          <w:sz w:val="14"/>
          <w:szCs w:val="14"/>
        </w:rPr>
      </w:pPr>
      <w:r w:rsidRPr="007150CB">
        <w:rPr>
          <w:rFonts w:cs="Arial"/>
          <w:sz w:val="14"/>
          <w:szCs w:val="14"/>
        </w:rPr>
        <w:t>On a statutory, or GAAP basis, litigation and conduct costs are included within other administrative expenses.</w:t>
      </w:r>
    </w:p>
    <w:p w:rsidR="006065A3" w:rsidRDefault="004160AB">
      <w:pPr>
        <w:spacing w:after="200"/>
        <w:rPr>
          <w:rFonts w:eastAsia="MS Mincho" w:cs="Arial"/>
          <w:b/>
          <w:color w:val="003366"/>
          <w:szCs w:val="18"/>
          <w:shd w:val="clear" w:color="auto" w:fill="FFFFFF"/>
          <w:lang w:eastAsia="ja-JP"/>
        </w:rPr>
      </w:pPr>
      <w:r>
        <w:rPr>
          <w:rFonts w:eastAsia="MS Mincho" w:cs="Arial"/>
          <w:b/>
          <w:color w:val="003366"/>
          <w:szCs w:val="18"/>
          <w:shd w:val="clear" w:color="auto" w:fill="FFFFFF"/>
          <w:lang w:eastAsia="ja-JP"/>
        </w:rPr>
        <w:br w:type="page"/>
      </w:r>
    </w:p>
    <w:p w:rsidR="000E4FC7" w:rsidRPr="00E257B3" w:rsidRDefault="004160AB" w:rsidP="000E4FC7">
      <w:pPr>
        <w:pStyle w:val="Heading100"/>
        <w:pBdr>
          <w:bottom w:val="none" w:sz="0" w:space="0" w:color="auto"/>
        </w:pBdr>
        <w:rPr>
          <w:rFonts w:cs="Arial"/>
          <w:b/>
          <w:color w:val="42145F"/>
          <w:sz w:val="18"/>
        </w:rPr>
      </w:pPr>
      <w:r w:rsidRPr="00E257B3">
        <w:rPr>
          <w:rFonts w:cs="Arial"/>
          <w:b/>
          <w:color w:val="42145F"/>
          <w:sz w:val="18"/>
        </w:rPr>
        <w:lastRenderedPageBreak/>
        <w:t xml:space="preserve">Appendix Non-IFRS performance measures </w:t>
      </w:r>
    </w:p>
    <w:p w:rsidR="00E36487" w:rsidRPr="007E6FB8" w:rsidRDefault="004160AB" w:rsidP="000E4FC7">
      <w:pPr>
        <w:pStyle w:val="Normal00"/>
        <w:rPr>
          <w:rFonts w:ascii="Arial" w:eastAsia="MS Mincho" w:hAnsi="Arial" w:cs="Arial"/>
          <w:b/>
          <w:color w:val="5E10B1"/>
          <w:sz w:val="18"/>
          <w:szCs w:val="20"/>
          <w:shd w:val="clear" w:color="auto" w:fill="FFFFFF"/>
          <w:lang w:eastAsia="ja-JP"/>
        </w:rPr>
      </w:pPr>
      <w:r w:rsidRPr="00E257B3">
        <w:rPr>
          <w:rFonts w:ascii="Arial" w:eastAsia="MS Mincho" w:hAnsi="Arial" w:cs="Arial"/>
          <w:b/>
          <w:color w:val="5E10B1"/>
          <w:sz w:val="18"/>
          <w:szCs w:val="20"/>
          <w:shd w:val="clear" w:color="auto" w:fill="FFFFFF"/>
          <w:lang w:eastAsia="ja-JP"/>
        </w:rPr>
        <w:t xml:space="preserve">3. </w:t>
      </w:r>
      <w:proofErr w:type="spellStart"/>
      <w:r w:rsidRPr="00E257B3">
        <w:rPr>
          <w:rFonts w:ascii="Arial" w:eastAsia="MS Mincho" w:hAnsi="Arial" w:cs="Arial"/>
          <w:b/>
          <w:color w:val="5E10B1"/>
          <w:sz w:val="18"/>
          <w:szCs w:val="20"/>
          <w:shd w:val="clear" w:color="auto" w:fill="FFFFFF"/>
          <w:lang w:eastAsia="ja-JP"/>
        </w:rPr>
        <w:t>Cost:income</w:t>
      </w:r>
      <w:proofErr w:type="spellEnd"/>
      <w:r w:rsidRPr="00E257B3">
        <w:rPr>
          <w:rFonts w:ascii="Arial" w:eastAsia="MS Mincho" w:hAnsi="Arial" w:cs="Arial"/>
          <w:b/>
          <w:color w:val="5E10B1"/>
          <w:sz w:val="18"/>
          <w:szCs w:val="20"/>
          <w:shd w:val="clear" w:color="auto" w:fill="FFFFFF"/>
          <w:lang w:eastAsia="ja-JP"/>
        </w:rPr>
        <w:t xml:space="preserve"> ratio</w:t>
      </w:r>
    </w:p>
    <w:tbl>
      <w:tblPr>
        <w:tblStyle w:val="table"/>
        <w:tblW w:w="10060" w:type="dxa"/>
        <w:tblInd w:w="5" w:type="dxa"/>
        <w:tblCellMar>
          <w:left w:w="0" w:type="dxa"/>
          <w:right w:w="0" w:type="dxa"/>
        </w:tblCellMar>
        <w:tblLook w:val="05E0" w:firstRow="1" w:lastRow="1" w:firstColumn="1" w:lastColumn="1" w:noHBand="0" w:noVBand="1"/>
      </w:tblPr>
      <w:tblGrid>
        <w:gridCol w:w="2230"/>
        <w:gridCol w:w="885"/>
        <w:gridCol w:w="885"/>
        <w:gridCol w:w="1035"/>
        <w:gridCol w:w="885"/>
        <w:gridCol w:w="1110"/>
        <w:gridCol w:w="885"/>
        <w:gridCol w:w="1185"/>
        <w:gridCol w:w="960"/>
      </w:tblGrid>
      <w:tr w:rsidR="00130A6D">
        <w:trPr>
          <w:trHeight w:val="195"/>
        </w:trPr>
        <w:tc>
          <w:tcPr>
            <w:tcW w:w="22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Ulster</w:t>
            </w:r>
          </w:p>
        </w:tc>
        <w:tc>
          <w:tcPr>
            <w:tcW w:w="103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center"/>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center"/>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0000"/>
                <w:sz w:val="16"/>
                <w:szCs w:val="16"/>
              </w:rPr>
            </w:pPr>
          </w:p>
        </w:tc>
        <w:tc>
          <w:tcPr>
            <w:tcW w:w="11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Central</w:t>
            </w:r>
          </w:p>
        </w:tc>
        <w:tc>
          <w:tcPr>
            <w:tcW w:w="960"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Total</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Retail</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Bank</w:t>
            </w:r>
          </w:p>
        </w:tc>
        <w:tc>
          <w:tcPr>
            <w:tcW w:w="103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Commercial</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Private</w:t>
            </w:r>
          </w:p>
        </w:tc>
        <w:tc>
          <w:tcPr>
            <w:tcW w:w="1110"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RBS</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NatWest</w:t>
            </w:r>
          </w:p>
        </w:tc>
        <w:tc>
          <w:tcPr>
            <w:tcW w:w="11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items</w:t>
            </w:r>
          </w:p>
        </w:tc>
        <w:tc>
          <w:tcPr>
            <w:tcW w:w="960"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 xml:space="preserve">NatWest </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proofErr w:type="spellStart"/>
            <w:r>
              <w:rPr>
                <w:rFonts w:eastAsia="Arial" w:cs="Arial"/>
                <w:b/>
                <w:bCs/>
                <w:color w:val="000000"/>
                <w:sz w:val="16"/>
                <w:szCs w:val="16"/>
              </w:rPr>
              <w:t>RoI</w:t>
            </w:r>
            <w:proofErr w:type="spellEnd"/>
          </w:p>
        </w:tc>
        <w:tc>
          <w:tcPr>
            <w:tcW w:w="103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Banking</w:t>
            </w:r>
          </w:p>
        </w:tc>
        <w:tc>
          <w:tcPr>
            <w:tcW w:w="1110"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International</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Markets</w:t>
            </w:r>
          </w:p>
        </w:tc>
        <w:tc>
          <w:tcPr>
            <w:tcW w:w="11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&amp; other</w:t>
            </w:r>
          </w:p>
        </w:tc>
        <w:tc>
          <w:tcPr>
            <w:tcW w:w="960"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Group</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b/>
                <w:bCs/>
                <w:color w:val="5E10B1"/>
                <w:sz w:val="16"/>
                <w:szCs w:val="16"/>
              </w:rPr>
            </w:pPr>
            <w:r>
              <w:rPr>
                <w:rFonts w:eastAsia="Arial" w:cs="Arial"/>
                <w:b/>
                <w:bCs/>
                <w:color w:val="5E10B1"/>
                <w:sz w:val="16"/>
                <w:szCs w:val="16"/>
              </w:rPr>
              <w:t>Nine months ended</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03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8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85"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960" w:type="dxa"/>
            <w:shd w:val="clear" w:color="auto" w:fill="FFFFFF"/>
            <w:noWrap/>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b/>
                <w:bCs/>
                <w:color w:val="5E10B1"/>
                <w:sz w:val="16"/>
                <w:szCs w:val="16"/>
              </w:rPr>
            </w:pPr>
            <w:r>
              <w:rPr>
                <w:rFonts w:eastAsia="Arial" w:cs="Arial"/>
                <w:b/>
                <w:bCs/>
                <w:color w:val="5E10B1"/>
                <w:sz w:val="16"/>
                <w:szCs w:val="16"/>
              </w:rPr>
              <w:t>30 September 2020</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960"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(1,722)</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(372)</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(1,774)</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(364)</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(179)</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(1,009)</w:t>
            </w:r>
          </w:p>
        </w:tc>
        <w:tc>
          <w:tcPr>
            <w:tcW w:w="11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(144)</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(5,564)</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(1,722)</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(372)</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(1,664)</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(364)</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(179)</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(1,009)</w:t>
            </w:r>
          </w:p>
        </w:tc>
        <w:tc>
          <w:tcPr>
            <w:tcW w:w="11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(144)</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(5,454)</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3,207</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379</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3,007</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579</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371</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1,050</w:t>
            </w:r>
          </w:p>
        </w:tc>
        <w:tc>
          <w:tcPr>
            <w:tcW w:w="11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(332)</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8,261</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(110)</w:t>
            </w: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3,207</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379</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2,897</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579</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371</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1,050</w:t>
            </w: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(332)</w:t>
            </w:r>
          </w:p>
        </w:tc>
        <w:tc>
          <w:tcPr>
            <w:tcW w:w="9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8,151</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 </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53.7%</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98.2%</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57.4%</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62.9%</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48.2%</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96.1%</w:t>
            </w:r>
          </w:p>
        </w:tc>
        <w:tc>
          <w:tcPr>
            <w:tcW w:w="11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66.9%</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5E10B1"/>
                <w:sz w:val="16"/>
                <w:szCs w:val="16"/>
              </w:rPr>
            </w:pPr>
            <w:r>
              <w:rPr>
                <w:rFonts w:eastAsia="Arial" w:cs="Arial"/>
                <w:color w:val="5E10B1"/>
                <w:sz w:val="16"/>
                <w:szCs w:val="16"/>
              </w:rPr>
              <w:t>30 September 2019</w:t>
            </w: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1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(2,830)</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(412)</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(1,900)</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(351)</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(181)</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(1,026)</w:t>
            </w:r>
          </w:p>
        </w:tc>
        <w:tc>
          <w:tcPr>
            <w:tcW w:w="11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(98)</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(6,798)</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103</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103</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(2,830)</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(412)</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(1,797)</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(351)</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(181)</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(1,026)</w:t>
            </w:r>
          </w:p>
        </w:tc>
        <w:tc>
          <w:tcPr>
            <w:tcW w:w="11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(98)</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(6,695)</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3,671</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428</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3,242</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582</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460</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1,092</w:t>
            </w:r>
          </w:p>
        </w:tc>
        <w:tc>
          <w:tcPr>
            <w:tcW w:w="11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545</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10,020</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(103)</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(103)</w:t>
            </w: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3,671</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428</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3,139</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582</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460</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1,092</w:t>
            </w:r>
          </w:p>
        </w:tc>
        <w:tc>
          <w:tcPr>
            <w:tcW w:w="11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545</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9,917</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 </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77.1%</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96.3%</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57.2%</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60.3%</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39.3%</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94.0%</w:t>
            </w:r>
          </w:p>
        </w:tc>
        <w:tc>
          <w:tcPr>
            <w:tcW w:w="11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67.5%</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5E10B1"/>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b/>
                <w:bCs/>
                <w:color w:val="5E10B1"/>
                <w:sz w:val="16"/>
                <w:szCs w:val="16"/>
              </w:rPr>
            </w:pPr>
            <w:r>
              <w:rPr>
                <w:rFonts w:eastAsia="Arial" w:cs="Arial"/>
                <w:b/>
                <w:bCs/>
                <w:color w:val="5E10B1"/>
                <w:sz w:val="16"/>
                <w:szCs w:val="16"/>
              </w:rPr>
              <w:t>Quarter ended</w:t>
            </w: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85"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b/>
                <w:bCs/>
                <w:color w:val="5E10B1"/>
                <w:sz w:val="16"/>
                <w:szCs w:val="16"/>
              </w:rPr>
            </w:pPr>
            <w:r>
              <w:rPr>
                <w:rFonts w:eastAsia="Arial" w:cs="Arial"/>
                <w:b/>
                <w:bCs/>
                <w:color w:val="5E10B1"/>
                <w:sz w:val="16"/>
                <w:szCs w:val="16"/>
              </w:rPr>
              <w:t>30 September 2020</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960" w:type="dxa"/>
            <w:tcBorders>
              <w:top w:val="single" w:sz="6" w:space="0" w:color="000000"/>
            </w:tcBorders>
            <w:shd w:val="clear" w:color="auto" w:fill="F4F0E8"/>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(647)</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(127)</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(553)</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(302)</w:t>
            </w:r>
          </w:p>
        </w:tc>
        <w:tc>
          <w:tcPr>
            <w:tcW w:w="11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(1,814)</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(647)</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(127)</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(516)</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(302)</w:t>
            </w:r>
          </w:p>
        </w:tc>
        <w:tc>
          <w:tcPr>
            <w:tcW w:w="11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(1,777)</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1,022</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130</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1,004</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187</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234</w:t>
            </w:r>
          </w:p>
        </w:tc>
        <w:tc>
          <w:tcPr>
            <w:tcW w:w="11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(266)</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2,423</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1,022</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130</w:t>
            </w:r>
          </w:p>
        </w:tc>
        <w:tc>
          <w:tcPr>
            <w:tcW w:w="103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967</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187</w:t>
            </w:r>
          </w:p>
        </w:tc>
        <w:tc>
          <w:tcPr>
            <w:tcW w:w="111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8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234</w:t>
            </w:r>
          </w:p>
        </w:tc>
        <w:tc>
          <w:tcPr>
            <w:tcW w:w="1185"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(266)</w:t>
            </w:r>
          </w:p>
        </w:tc>
        <w:tc>
          <w:tcPr>
            <w:tcW w:w="9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2,386</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 </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63.3%</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97.7%</w:t>
            </w:r>
          </w:p>
        </w:tc>
        <w:tc>
          <w:tcPr>
            <w:tcW w:w="103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53.4%</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59.9%</w:t>
            </w:r>
          </w:p>
        </w:tc>
        <w:tc>
          <w:tcPr>
            <w:tcW w:w="111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47.3%</w:t>
            </w:r>
          </w:p>
        </w:tc>
        <w:tc>
          <w:tcPr>
            <w:tcW w:w="8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129.1%</w:t>
            </w:r>
          </w:p>
        </w:tc>
        <w:tc>
          <w:tcPr>
            <w:tcW w:w="1185"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9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74.5%</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5E10B1"/>
                <w:sz w:val="16"/>
                <w:szCs w:val="16"/>
              </w:rPr>
            </w:pPr>
            <w:r>
              <w:rPr>
                <w:rFonts w:eastAsia="Arial" w:cs="Arial"/>
                <w:color w:val="5E10B1"/>
                <w:sz w:val="16"/>
                <w:szCs w:val="16"/>
              </w:rPr>
              <w:t>30 June 2020</w:t>
            </w: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1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(546)</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(122)</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(611)</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(129)</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(65)</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(365)</w:t>
            </w:r>
          </w:p>
        </w:tc>
        <w:tc>
          <w:tcPr>
            <w:tcW w:w="11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(71)</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(1,909)</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37</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37</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(546)</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(122)</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(574)</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(129)</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(65)</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(365)</w:t>
            </w:r>
          </w:p>
        </w:tc>
        <w:tc>
          <w:tcPr>
            <w:tcW w:w="11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(71)</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(1,872)</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1,035</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995</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191</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273</w:t>
            </w:r>
          </w:p>
        </w:tc>
        <w:tc>
          <w:tcPr>
            <w:tcW w:w="11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(53)</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2,676</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(37)</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(37)</w:t>
            </w: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1,035</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958</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191</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273</w:t>
            </w:r>
          </w:p>
        </w:tc>
        <w:tc>
          <w:tcPr>
            <w:tcW w:w="11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(53)</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2,639</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 </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52.8%</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101.7%</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59.9%</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67.5%</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56.5%</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133.7%</w:t>
            </w:r>
          </w:p>
        </w:tc>
        <w:tc>
          <w:tcPr>
            <w:tcW w:w="11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70.9%</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1185"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color w:val="000000"/>
                <w:sz w:val="16"/>
                <w:szCs w:val="16"/>
              </w:rPr>
            </w:pP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5E10B1"/>
                <w:sz w:val="16"/>
                <w:szCs w:val="16"/>
              </w:rPr>
            </w:pPr>
            <w:r>
              <w:rPr>
                <w:rFonts w:eastAsia="Arial" w:cs="Arial"/>
                <w:color w:val="5E10B1"/>
                <w:sz w:val="16"/>
                <w:szCs w:val="16"/>
              </w:rPr>
              <w:t>30 September 2019</w:t>
            </w: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3366"/>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3366"/>
                <w:sz w:val="16"/>
                <w:szCs w:val="16"/>
              </w:rPr>
            </w:pPr>
          </w:p>
        </w:tc>
        <w:tc>
          <w:tcPr>
            <w:tcW w:w="10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3366"/>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3366"/>
                <w:sz w:val="16"/>
                <w:szCs w:val="16"/>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3366"/>
                <w:sz w:val="16"/>
                <w:szCs w:val="16"/>
              </w:rPr>
            </w:pPr>
          </w:p>
        </w:tc>
        <w:tc>
          <w:tcPr>
            <w:tcW w:w="88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3366"/>
                <w:sz w:val="16"/>
                <w:szCs w:val="16"/>
              </w:rPr>
            </w:pPr>
          </w:p>
        </w:tc>
        <w:tc>
          <w:tcPr>
            <w:tcW w:w="118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3366"/>
                <w:sz w:val="16"/>
                <w:szCs w:val="16"/>
              </w:rPr>
            </w:pPr>
          </w:p>
        </w:tc>
        <w:tc>
          <w:tcPr>
            <w:tcW w:w="9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3366"/>
                <w:sz w:val="16"/>
                <w:szCs w:val="16"/>
              </w:rPr>
            </w:pP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(1,601)</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(131)</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(638)</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(119)</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(348)</w:t>
            </w:r>
          </w:p>
        </w:tc>
        <w:tc>
          <w:tcPr>
            <w:tcW w:w="11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201</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(2,698)</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35</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35</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(1,601)</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(131)</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(603)</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(119)</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(348)</w:t>
            </w:r>
          </w:p>
        </w:tc>
        <w:tc>
          <w:tcPr>
            <w:tcW w:w="11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201</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(2,663)</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1,224</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145</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1,077</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198</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1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(41)</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2,903</w:t>
            </w:r>
          </w:p>
        </w:tc>
      </w:tr>
      <w:tr w:rsidR="00130A6D">
        <w:trPr>
          <w:trHeight w:val="195"/>
        </w:trPr>
        <w:tc>
          <w:tcPr>
            <w:tcW w:w="2235"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(35)</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(35)</w:t>
            </w:r>
          </w:p>
        </w:tc>
      </w:tr>
      <w:tr w:rsidR="00130A6D">
        <w:trPr>
          <w:trHeight w:val="195"/>
        </w:trPr>
        <w:tc>
          <w:tcPr>
            <w:tcW w:w="22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1,224</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145</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1,042</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198</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8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18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(41)</w:t>
            </w:r>
          </w:p>
        </w:tc>
        <w:tc>
          <w:tcPr>
            <w:tcW w:w="9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2,868</w:t>
            </w:r>
          </w:p>
        </w:tc>
      </w:tr>
      <w:tr w:rsidR="00130A6D">
        <w:trPr>
          <w:trHeight w:val="195"/>
        </w:trPr>
        <w:tc>
          <w:tcPr>
            <w:tcW w:w="22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Cost:income</w:t>
            </w:r>
            <w:proofErr w:type="spellEnd"/>
            <w:r>
              <w:rPr>
                <w:rFonts w:eastAsia="Arial" w:cs="Arial"/>
                <w:color w:val="000000"/>
                <w:sz w:val="16"/>
                <w:szCs w:val="16"/>
              </w:rPr>
              <w:t xml:space="preserve"> ratio </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130.8%</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90.3%</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57.9%</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60.1%</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41.3%</w:t>
            </w:r>
          </w:p>
        </w:tc>
        <w:tc>
          <w:tcPr>
            <w:tcW w:w="8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232.0%</w:t>
            </w:r>
          </w:p>
        </w:tc>
        <w:tc>
          <w:tcPr>
            <w:tcW w:w="118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92.9%</w:t>
            </w:r>
          </w:p>
        </w:tc>
      </w:tr>
    </w:tbl>
    <w:p w:rsidR="0051082D" w:rsidRDefault="0051082D" w:rsidP="007561B2">
      <w:pPr>
        <w:pStyle w:val="Normal00"/>
        <w:rPr>
          <w:rFonts w:ascii="Arial" w:hAnsi="Arial" w:cs="Arial"/>
          <w:b/>
          <w:color w:val="003366"/>
          <w:sz w:val="18"/>
          <w:szCs w:val="18"/>
        </w:rPr>
      </w:pPr>
    </w:p>
    <w:p w:rsidR="00E36487" w:rsidRDefault="004160AB">
      <w:pPr>
        <w:spacing w:after="200"/>
        <w:rPr>
          <w:rFonts w:eastAsia="Calibri" w:cs="Arial"/>
          <w:b/>
          <w:color w:val="5E10B1"/>
          <w:sz w:val="20"/>
          <w:szCs w:val="20"/>
          <w:lang w:eastAsia="en-GB"/>
        </w:rPr>
      </w:pPr>
      <w:r>
        <w:rPr>
          <w:rFonts w:cs="Arial"/>
          <w:b/>
          <w:color w:val="5E10B1"/>
          <w:sz w:val="20"/>
          <w:szCs w:val="20"/>
        </w:rPr>
        <w:br w:type="page"/>
      </w:r>
    </w:p>
    <w:p w:rsidR="00E36487" w:rsidRPr="00E257B3" w:rsidRDefault="004160AB" w:rsidP="00E36487">
      <w:pPr>
        <w:pStyle w:val="Heading100"/>
        <w:pBdr>
          <w:bottom w:val="none" w:sz="0" w:space="0" w:color="auto"/>
        </w:pBdr>
        <w:rPr>
          <w:rFonts w:cs="Arial"/>
          <w:b/>
          <w:color w:val="42145F"/>
          <w:sz w:val="18"/>
        </w:rPr>
      </w:pPr>
      <w:r w:rsidRPr="00E257B3">
        <w:rPr>
          <w:rFonts w:cs="Arial"/>
          <w:b/>
          <w:color w:val="42145F"/>
          <w:sz w:val="18"/>
        </w:rPr>
        <w:lastRenderedPageBreak/>
        <w:t xml:space="preserve">Appendix Non-IFRS performance measures </w:t>
      </w:r>
    </w:p>
    <w:p w:rsidR="007561B2" w:rsidRPr="00E257B3" w:rsidRDefault="004160AB" w:rsidP="007561B2">
      <w:pPr>
        <w:pStyle w:val="Normal00"/>
        <w:rPr>
          <w:rFonts w:ascii="Arial" w:hAnsi="Arial" w:cs="Arial"/>
          <w:b/>
          <w:color w:val="5E10B1"/>
          <w:sz w:val="18"/>
          <w:szCs w:val="20"/>
        </w:rPr>
      </w:pPr>
      <w:r w:rsidRPr="00E257B3">
        <w:rPr>
          <w:rFonts w:ascii="Arial" w:hAnsi="Arial" w:cs="Arial"/>
          <w:b/>
          <w:color w:val="5E10B1"/>
          <w:sz w:val="18"/>
          <w:szCs w:val="20"/>
        </w:rPr>
        <w:t>4. Net interest margin</w:t>
      </w:r>
    </w:p>
    <w:tbl>
      <w:tblPr>
        <w:tblStyle w:val="table"/>
        <w:tblW w:w="10060" w:type="dxa"/>
        <w:tblInd w:w="5" w:type="dxa"/>
        <w:tblCellMar>
          <w:left w:w="0" w:type="dxa"/>
          <w:right w:w="0" w:type="dxa"/>
        </w:tblCellMar>
        <w:tblLook w:val="05E0" w:firstRow="1" w:lastRow="1" w:firstColumn="1" w:lastColumn="1" w:noHBand="0" w:noVBand="1"/>
      </w:tblPr>
      <w:tblGrid>
        <w:gridCol w:w="4555"/>
        <w:gridCol w:w="1260"/>
        <w:gridCol w:w="1110"/>
        <w:gridCol w:w="30"/>
        <w:gridCol w:w="1260"/>
        <w:gridCol w:w="735"/>
        <w:gridCol w:w="1110"/>
      </w:tblGrid>
      <w:tr w:rsidR="00130A6D">
        <w:trPr>
          <w:trHeight w:val="195"/>
        </w:trPr>
        <w:tc>
          <w:tcPr>
            <w:tcW w:w="45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2370" w:type="dxa"/>
            <w:gridSpan w:val="2"/>
            <w:tcBorders>
              <w:bottom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Nine months ended or as at</w:t>
            </w:r>
          </w:p>
        </w:tc>
        <w:tc>
          <w:tcPr>
            <w:tcW w:w="30" w:type="dxa"/>
            <w:shd w:val="clear" w:color="auto" w:fill="FFFFFF"/>
            <w:noWrap/>
            <w:tcMar>
              <w:top w:w="0" w:type="dxa"/>
              <w:left w:w="5" w:type="dxa"/>
              <w:bottom w:w="0" w:type="dxa"/>
              <w:right w:w="5" w:type="dxa"/>
            </w:tcMar>
            <w:vAlign w:val="bottom"/>
            <w:hideMark/>
          </w:tcPr>
          <w:p w:rsidR="00143A29" w:rsidRDefault="00143A29">
            <w:pPr>
              <w:spacing w:line="240" w:lineRule="auto"/>
              <w:contextualSpacing/>
              <w:rPr>
                <w:rFonts w:eastAsia="Arial" w:cs="Arial"/>
                <w:b/>
                <w:bCs/>
                <w:color w:val="5E10B1"/>
                <w:sz w:val="16"/>
                <w:szCs w:val="16"/>
              </w:rPr>
            </w:pPr>
          </w:p>
        </w:tc>
        <w:tc>
          <w:tcPr>
            <w:tcW w:w="3105" w:type="dxa"/>
            <w:gridSpan w:val="3"/>
            <w:tcBorders>
              <w:bottom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Quarter ended or as at</w:t>
            </w:r>
          </w:p>
        </w:tc>
      </w:tr>
      <w:tr w:rsidR="00130A6D">
        <w:trPr>
          <w:trHeight w:val="195"/>
        </w:trPr>
        <w:tc>
          <w:tcPr>
            <w:tcW w:w="45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c>
          <w:tcPr>
            <w:tcW w:w="3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735" w:type="dxa"/>
            <w:tcBorders>
              <w:top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110" w:type="dxa"/>
            <w:tcBorders>
              <w:top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 September</w:t>
            </w:r>
          </w:p>
        </w:tc>
      </w:tr>
      <w:tr w:rsidR="00130A6D">
        <w:trPr>
          <w:trHeight w:val="195"/>
        </w:trPr>
        <w:tc>
          <w:tcPr>
            <w:tcW w:w="45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c>
          <w:tcPr>
            <w:tcW w:w="3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26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735"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11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45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3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26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735"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11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r>
      <w:tr w:rsidR="00130A6D">
        <w:trPr>
          <w:trHeight w:val="195"/>
        </w:trPr>
        <w:tc>
          <w:tcPr>
            <w:tcW w:w="45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NatWest Group net interest income</w:t>
            </w:r>
          </w:p>
        </w:tc>
        <w:tc>
          <w:tcPr>
            <w:tcW w:w="12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5,778</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6,010</w:t>
            </w:r>
          </w:p>
        </w:tc>
        <w:tc>
          <w:tcPr>
            <w:tcW w:w="3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1,926</w:t>
            </w:r>
          </w:p>
        </w:tc>
        <w:tc>
          <w:tcPr>
            <w:tcW w:w="7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1,910</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2,006</w:t>
            </w:r>
          </w:p>
        </w:tc>
      </w:tr>
      <w:tr w:rsidR="00130A6D">
        <w:trPr>
          <w:trHeight w:val="195"/>
        </w:trPr>
        <w:tc>
          <w:tcPr>
            <w:tcW w:w="45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NWM net interest income</w:t>
            </w: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55</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184</w:t>
            </w:r>
          </w:p>
        </w:tc>
        <w:tc>
          <w:tcPr>
            <w:tcW w:w="3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7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62</w:t>
            </w:r>
          </w:p>
        </w:tc>
      </w:tr>
      <w:tr w:rsidR="00130A6D">
        <w:trPr>
          <w:trHeight w:val="195"/>
        </w:trPr>
        <w:tc>
          <w:tcPr>
            <w:tcW w:w="456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Net interest income excluding NWM</w:t>
            </w: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5,833</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6,194</w:t>
            </w:r>
          </w:p>
        </w:tc>
        <w:tc>
          <w:tcPr>
            <w:tcW w:w="3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1,947</w:t>
            </w:r>
          </w:p>
        </w:tc>
        <w:tc>
          <w:tcPr>
            <w:tcW w:w="7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1,904</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2,068</w:t>
            </w:r>
          </w:p>
        </w:tc>
      </w:tr>
      <w:tr w:rsidR="00130A6D">
        <w:trPr>
          <w:trHeight w:val="195"/>
        </w:trPr>
        <w:tc>
          <w:tcPr>
            <w:tcW w:w="45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Annualised net interest income </w:t>
            </w:r>
          </w:p>
        </w:tc>
        <w:tc>
          <w:tcPr>
            <w:tcW w:w="12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7,718</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8,035</w:t>
            </w:r>
          </w:p>
        </w:tc>
        <w:tc>
          <w:tcPr>
            <w:tcW w:w="3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7,662</w:t>
            </w:r>
          </w:p>
        </w:tc>
        <w:tc>
          <w:tcPr>
            <w:tcW w:w="7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7,682</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7,959</w:t>
            </w:r>
          </w:p>
        </w:tc>
      </w:tr>
      <w:tr w:rsidR="00130A6D">
        <w:trPr>
          <w:trHeight w:val="195"/>
        </w:trPr>
        <w:tc>
          <w:tcPr>
            <w:tcW w:w="456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Annualised net interest income excluding NWM</w:t>
            </w: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7,792</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8,281</w:t>
            </w:r>
          </w:p>
        </w:tc>
        <w:tc>
          <w:tcPr>
            <w:tcW w:w="3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7,746</w:t>
            </w:r>
          </w:p>
        </w:tc>
        <w:tc>
          <w:tcPr>
            <w:tcW w:w="7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7,658</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8,205</w:t>
            </w:r>
          </w:p>
        </w:tc>
      </w:tr>
      <w:tr w:rsidR="00130A6D">
        <w:trPr>
          <w:trHeight w:val="195"/>
        </w:trPr>
        <w:tc>
          <w:tcPr>
            <w:tcW w:w="45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Average interest earning assets (IEA)</w:t>
            </w: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487,777</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445,068</w:t>
            </w:r>
          </w:p>
        </w:tc>
        <w:tc>
          <w:tcPr>
            <w:tcW w:w="3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507,325</w:t>
            </w:r>
          </w:p>
        </w:tc>
        <w:tc>
          <w:tcPr>
            <w:tcW w:w="7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497,440</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454,429</w:t>
            </w:r>
          </w:p>
        </w:tc>
      </w:tr>
      <w:tr w:rsidR="00130A6D">
        <w:trPr>
          <w:trHeight w:val="195"/>
        </w:trPr>
        <w:tc>
          <w:tcPr>
            <w:tcW w:w="456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NWM average IEA</w:t>
            </w: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38,403</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35,065</w:t>
            </w:r>
          </w:p>
        </w:tc>
        <w:tc>
          <w:tcPr>
            <w:tcW w:w="3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39,213</w:t>
            </w:r>
          </w:p>
        </w:tc>
        <w:tc>
          <w:tcPr>
            <w:tcW w:w="7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39,874</w:t>
            </w:r>
          </w:p>
        </w:tc>
        <w:tc>
          <w:tcPr>
            <w:tcW w:w="1110"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38,616</w:t>
            </w:r>
          </w:p>
        </w:tc>
      </w:tr>
      <w:tr w:rsidR="00130A6D">
        <w:trPr>
          <w:trHeight w:val="195"/>
        </w:trPr>
        <w:tc>
          <w:tcPr>
            <w:tcW w:w="45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Bank average IEA excluding NWM</w:t>
            </w:r>
          </w:p>
        </w:tc>
        <w:tc>
          <w:tcPr>
            <w:tcW w:w="12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449,374</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410,003</w:t>
            </w:r>
          </w:p>
        </w:tc>
        <w:tc>
          <w:tcPr>
            <w:tcW w:w="3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tcBorders>
              <w:top w:val="single" w:sz="6" w:space="0" w:color="000000"/>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468,112</w:t>
            </w:r>
          </w:p>
        </w:tc>
        <w:tc>
          <w:tcPr>
            <w:tcW w:w="735"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457,566</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415,813</w:t>
            </w:r>
          </w:p>
        </w:tc>
      </w:tr>
      <w:tr w:rsidR="00130A6D">
        <w:trPr>
          <w:trHeight w:val="195"/>
        </w:trPr>
        <w:tc>
          <w:tcPr>
            <w:tcW w:w="45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12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3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126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735"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r>
      <w:tr w:rsidR="00130A6D">
        <w:trPr>
          <w:trHeight w:val="195"/>
        </w:trPr>
        <w:tc>
          <w:tcPr>
            <w:tcW w:w="456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1.58%</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1.81%</w:t>
            </w:r>
          </w:p>
        </w:tc>
        <w:tc>
          <w:tcPr>
            <w:tcW w:w="30" w:type="dxa"/>
            <w:tcBorders>
              <w:top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1.51%</w:t>
            </w:r>
          </w:p>
        </w:tc>
        <w:tc>
          <w:tcPr>
            <w:tcW w:w="7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1.54%</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1.75%</w:t>
            </w:r>
          </w:p>
        </w:tc>
      </w:tr>
      <w:tr w:rsidR="00130A6D">
        <w:trPr>
          <w:trHeight w:val="195"/>
        </w:trPr>
        <w:tc>
          <w:tcPr>
            <w:tcW w:w="456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Bank net interest margin (NatWest Group NIM excluding NWM)</w:t>
            </w: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1.73%</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2.02%</w:t>
            </w:r>
          </w:p>
        </w:tc>
        <w:tc>
          <w:tcPr>
            <w:tcW w:w="30" w:type="dxa"/>
            <w:tcBorders>
              <w:bottom w:val="single" w:sz="6" w:space="0" w:color="000000"/>
            </w:tcBorders>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0000"/>
                <w:sz w:val="16"/>
                <w:szCs w:val="16"/>
              </w:rPr>
            </w:pP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7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1.67%</w:t>
            </w:r>
          </w:p>
        </w:tc>
        <w:tc>
          <w:tcPr>
            <w:tcW w:w="11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1.97%</w:t>
            </w:r>
          </w:p>
        </w:tc>
      </w:tr>
    </w:tbl>
    <w:p w:rsidR="002C452D" w:rsidRDefault="002C452D" w:rsidP="007561B2">
      <w:pPr>
        <w:pStyle w:val="Normal00"/>
        <w:rPr>
          <w:rFonts w:ascii="Arial" w:hAnsi="Arial" w:cs="Arial"/>
          <w:b/>
          <w:color w:val="003366"/>
          <w:sz w:val="18"/>
          <w:szCs w:val="18"/>
        </w:rPr>
      </w:pPr>
    </w:p>
    <w:p w:rsidR="002C452D" w:rsidRPr="00E257B3" w:rsidRDefault="004160AB" w:rsidP="000E4FC7">
      <w:pPr>
        <w:pStyle w:val="Normal00"/>
        <w:rPr>
          <w:rFonts w:ascii="Arial" w:hAnsi="Arial" w:cs="Arial"/>
          <w:b/>
          <w:color w:val="5E10B1"/>
          <w:sz w:val="18"/>
          <w:szCs w:val="20"/>
        </w:rPr>
      </w:pPr>
      <w:r w:rsidRPr="00E257B3">
        <w:rPr>
          <w:rFonts w:ascii="Arial" w:hAnsi="Arial" w:cs="Arial"/>
          <w:b/>
          <w:color w:val="5E10B1"/>
          <w:sz w:val="18"/>
          <w:szCs w:val="20"/>
        </w:rPr>
        <w:t xml:space="preserve">5. </w:t>
      </w:r>
      <w:proofErr w:type="spellStart"/>
      <w:r w:rsidRPr="00E257B3">
        <w:rPr>
          <w:rFonts w:ascii="Arial" w:hAnsi="Arial" w:cs="Arial"/>
          <w:b/>
          <w:color w:val="5E10B1"/>
          <w:sz w:val="18"/>
          <w:szCs w:val="20"/>
        </w:rPr>
        <w:t>Loan:deposit</w:t>
      </w:r>
      <w:proofErr w:type="spellEnd"/>
      <w:r w:rsidRPr="00E257B3">
        <w:rPr>
          <w:rFonts w:ascii="Arial" w:hAnsi="Arial" w:cs="Arial"/>
          <w:b/>
          <w:color w:val="5E10B1"/>
          <w:sz w:val="18"/>
          <w:szCs w:val="20"/>
        </w:rPr>
        <w:t xml:space="preserve"> ratio </w:t>
      </w:r>
    </w:p>
    <w:tbl>
      <w:tblPr>
        <w:tblStyle w:val="table"/>
        <w:tblW w:w="10140" w:type="dxa"/>
        <w:tblInd w:w="5" w:type="dxa"/>
        <w:tblCellMar>
          <w:left w:w="0" w:type="dxa"/>
          <w:right w:w="0" w:type="dxa"/>
        </w:tblCellMar>
        <w:tblLook w:val="05E0" w:firstRow="1" w:lastRow="1" w:firstColumn="1" w:lastColumn="1" w:noHBand="0" w:noVBand="1"/>
      </w:tblPr>
      <w:tblGrid>
        <w:gridCol w:w="6810"/>
        <w:gridCol w:w="1260"/>
        <w:gridCol w:w="1035"/>
        <w:gridCol w:w="1035"/>
      </w:tblGrid>
      <w:tr w:rsidR="00130A6D">
        <w:trPr>
          <w:trHeight w:val="195"/>
        </w:trPr>
        <w:tc>
          <w:tcPr>
            <w:tcW w:w="68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color w:val="000000"/>
                <w:sz w:val="20"/>
                <w:szCs w:val="20"/>
              </w:rPr>
            </w:pPr>
          </w:p>
        </w:tc>
        <w:tc>
          <w:tcPr>
            <w:tcW w:w="3330" w:type="dxa"/>
            <w:gridSpan w:val="3"/>
            <w:tcBorders>
              <w:bottom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center"/>
              <w:rPr>
                <w:rFonts w:eastAsia="Arial" w:cs="Arial"/>
                <w:b/>
                <w:bCs/>
                <w:color w:val="5E10B1"/>
                <w:sz w:val="16"/>
                <w:szCs w:val="16"/>
              </w:rPr>
            </w:pPr>
            <w:r>
              <w:rPr>
                <w:rFonts w:eastAsia="Arial" w:cs="Arial"/>
                <w:b/>
                <w:bCs/>
                <w:color w:val="5E10B1"/>
                <w:sz w:val="16"/>
                <w:szCs w:val="16"/>
              </w:rPr>
              <w:t>As at</w:t>
            </w:r>
          </w:p>
        </w:tc>
      </w:tr>
      <w:tr w:rsidR="00130A6D">
        <w:trPr>
          <w:trHeight w:val="195"/>
        </w:trPr>
        <w:tc>
          <w:tcPr>
            <w:tcW w:w="68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1260" w:type="dxa"/>
            <w:tcBorders>
              <w:top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30 September</w:t>
            </w: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30 June</w:t>
            </w:r>
          </w:p>
        </w:tc>
        <w:tc>
          <w:tcPr>
            <w:tcW w:w="1035" w:type="dxa"/>
            <w:tcBorders>
              <w:top w:val="single" w:sz="6" w:space="0" w:color="000000"/>
            </w:tcBorders>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31 December</w:t>
            </w:r>
          </w:p>
        </w:tc>
      </w:tr>
      <w:tr w:rsidR="00130A6D">
        <w:trPr>
          <w:trHeight w:val="195"/>
        </w:trPr>
        <w:tc>
          <w:tcPr>
            <w:tcW w:w="6810" w:type="dxa"/>
            <w:shd w:val="clear" w:color="auto" w:fill="FFFFFF"/>
            <w:tcMar>
              <w:top w:w="0" w:type="dxa"/>
              <w:left w:w="5" w:type="dxa"/>
              <w:bottom w:w="0" w:type="dxa"/>
              <w:right w:w="5" w:type="dxa"/>
            </w:tcMar>
            <w:vAlign w:val="center"/>
            <w:hideMark/>
          </w:tcPr>
          <w:p w:rsidR="00143A29" w:rsidRDefault="00143A29">
            <w:pPr>
              <w:spacing w:line="240" w:lineRule="auto"/>
              <w:contextualSpacing/>
              <w:jc w:val="right"/>
              <w:rPr>
                <w:rFonts w:eastAsia="Arial" w:cs="Arial"/>
                <w:b/>
                <w:bCs/>
                <w:color w:val="003366"/>
                <w:sz w:val="16"/>
                <w:szCs w:val="16"/>
              </w:rPr>
            </w:pPr>
          </w:p>
        </w:tc>
        <w:tc>
          <w:tcPr>
            <w:tcW w:w="126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2020</w:t>
            </w:r>
          </w:p>
        </w:tc>
        <w:tc>
          <w:tcPr>
            <w:tcW w:w="1035"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2020</w:t>
            </w:r>
          </w:p>
        </w:tc>
        <w:tc>
          <w:tcPr>
            <w:tcW w:w="1035"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2019</w:t>
            </w:r>
          </w:p>
        </w:tc>
      </w:tr>
      <w:tr w:rsidR="00130A6D">
        <w:trPr>
          <w:trHeight w:val="195"/>
        </w:trPr>
        <w:tc>
          <w:tcPr>
            <w:tcW w:w="6810" w:type="dxa"/>
            <w:shd w:val="clear" w:color="auto" w:fill="FFFFFF"/>
            <w:tcMar>
              <w:top w:w="0" w:type="dxa"/>
              <w:left w:w="5" w:type="dxa"/>
              <w:bottom w:w="0" w:type="dxa"/>
              <w:right w:w="5" w:type="dxa"/>
            </w:tcMar>
            <w:vAlign w:val="center"/>
            <w:hideMark/>
          </w:tcPr>
          <w:p w:rsidR="00143A29" w:rsidRDefault="00143A29">
            <w:pPr>
              <w:spacing w:line="240" w:lineRule="auto"/>
              <w:contextualSpacing/>
              <w:rPr>
                <w:rFonts w:eastAsia="Arial" w:cs="Arial"/>
                <w:b/>
                <w:bCs/>
                <w:color w:val="003366"/>
                <w:sz w:val="16"/>
                <w:szCs w:val="16"/>
              </w:rPr>
            </w:pPr>
          </w:p>
        </w:tc>
        <w:tc>
          <w:tcPr>
            <w:tcW w:w="1260"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£m</w:t>
            </w:r>
          </w:p>
        </w:tc>
        <w:tc>
          <w:tcPr>
            <w:tcW w:w="1035"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c>
          <w:tcPr>
            <w:tcW w:w="1035" w:type="dxa"/>
            <w:shd w:val="clear" w:color="auto" w:fill="FFFFFF"/>
            <w:noWrap/>
            <w:tcMar>
              <w:top w:w="0" w:type="dxa"/>
              <w:left w:w="5" w:type="dxa"/>
              <w:bottom w:w="0" w:type="dxa"/>
              <w:right w:w="5" w:type="dxa"/>
            </w:tcMar>
            <w:vAlign w:val="bottom"/>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£m</w:t>
            </w:r>
          </w:p>
        </w:tc>
      </w:tr>
      <w:tr w:rsidR="00130A6D">
        <w:trPr>
          <w:trHeight w:val="195"/>
        </w:trPr>
        <w:tc>
          <w:tcPr>
            <w:tcW w:w="6810"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Loans to customers - amortised cost </w:t>
            </w:r>
          </w:p>
        </w:tc>
        <w:tc>
          <w:tcPr>
            <w:tcW w:w="1260" w:type="dxa"/>
            <w:tcBorders>
              <w:top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353,691</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352,341</w:t>
            </w:r>
          </w:p>
        </w:tc>
        <w:tc>
          <w:tcPr>
            <w:tcW w:w="1035" w:type="dxa"/>
            <w:tcBorders>
              <w:top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326,947</w:t>
            </w:r>
          </w:p>
        </w:tc>
      </w:tr>
      <w:tr w:rsidR="00130A6D">
        <w:trPr>
          <w:trHeight w:val="195"/>
        </w:trPr>
        <w:tc>
          <w:tcPr>
            <w:tcW w:w="6810" w:type="dxa"/>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r>
              <w:rPr>
                <w:rFonts w:eastAsia="Arial" w:cs="Arial"/>
                <w:color w:val="000000"/>
                <w:sz w:val="16"/>
                <w:szCs w:val="16"/>
              </w:rPr>
              <w:t xml:space="preserve">Customer deposits </w:t>
            </w:r>
          </w:p>
        </w:tc>
        <w:tc>
          <w:tcPr>
            <w:tcW w:w="1260" w:type="dxa"/>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418,358</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408,268</w:t>
            </w:r>
          </w:p>
        </w:tc>
        <w:tc>
          <w:tcPr>
            <w:tcW w:w="1035" w:type="dxa"/>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369,247</w:t>
            </w:r>
          </w:p>
        </w:tc>
      </w:tr>
      <w:tr w:rsidR="00130A6D">
        <w:trPr>
          <w:trHeight w:val="195"/>
        </w:trPr>
        <w:tc>
          <w:tcPr>
            <w:tcW w:w="6810"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rPr>
                <w:rFonts w:eastAsia="Arial" w:cs="Arial"/>
                <w:color w:val="000000"/>
                <w:sz w:val="16"/>
                <w:szCs w:val="16"/>
              </w:rPr>
            </w:pPr>
            <w:proofErr w:type="spellStart"/>
            <w:r>
              <w:rPr>
                <w:rFonts w:eastAsia="Arial" w:cs="Arial"/>
                <w:color w:val="000000"/>
                <w:sz w:val="16"/>
                <w:szCs w:val="16"/>
              </w:rPr>
              <w:t>Loan:deposit</w:t>
            </w:r>
            <w:proofErr w:type="spellEnd"/>
            <w:r>
              <w:rPr>
                <w:rFonts w:eastAsia="Arial" w:cs="Arial"/>
                <w:color w:val="000000"/>
                <w:sz w:val="16"/>
                <w:szCs w:val="16"/>
              </w:rPr>
              <w:t xml:space="preserve"> ratio (%)</w:t>
            </w:r>
          </w:p>
        </w:tc>
        <w:tc>
          <w:tcPr>
            <w:tcW w:w="1260" w:type="dxa"/>
            <w:tcBorders>
              <w:bottom w:val="single" w:sz="6" w:space="0" w:color="000000"/>
            </w:tcBorders>
            <w:shd w:val="clear" w:color="auto" w:fill="F4F0E8"/>
            <w:tcMar>
              <w:top w:w="0" w:type="dxa"/>
              <w:left w:w="5" w:type="dxa"/>
              <w:bottom w:w="0" w:type="dxa"/>
              <w:right w:w="5" w:type="dxa"/>
            </w:tcMar>
            <w:vAlign w:val="center"/>
            <w:hideMark/>
          </w:tcPr>
          <w:p w:rsidR="00143A29" w:rsidRDefault="004160AB">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86%</w:t>
            </w:r>
          </w:p>
        </w:tc>
        <w:tc>
          <w:tcPr>
            <w:tcW w:w="1035" w:type="dxa"/>
            <w:tcBorders>
              <w:bottom w:val="single" w:sz="6" w:space="0" w:color="000000"/>
            </w:tcBorders>
            <w:shd w:val="clear" w:color="auto" w:fill="FFFFFF"/>
            <w:tcMar>
              <w:top w:w="0" w:type="dxa"/>
              <w:left w:w="5" w:type="dxa"/>
              <w:bottom w:w="0" w:type="dxa"/>
              <w:right w:w="5" w:type="dxa"/>
            </w:tcMar>
            <w:vAlign w:val="center"/>
            <w:hideMark/>
          </w:tcPr>
          <w:p w:rsidR="00143A29" w:rsidRDefault="004160AB">
            <w:pPr>
              <w:spacing w:line="240" w:lineRule="auto"/>
              <w:contextualSpacing/>
              <w:jc w:val="right"/>
              <w:rPr>
                <w:rFonts w:eastAsia="Arial" w:cs="Arial"/>
                <w:color w:val="000000"/>
                <w:sz w:val="16"/>
                <w:szCs w:val="16"/>
              </w:rPr>
            </w:pPr>
            <w:r>
              <w:rPr>
                <w:rFonts w:eastAsia="Arial" w:cs="Arial"/>
                <w:color w:val="000000"/>
                <w:sz w:val="16"/>
                <w:szCs w:val="16"/>
              </w:rPr>
              <w:t>89%</w:t>
            </w:r>
          </w:p>
        </w:tc>
      </w:tr>
    </w:tbl>
    <w:p w:rsidR="000E4FC7" w:rsidRDefault="000E4FC7" w:rsidP="007561B2">
      <w:pPr>
        <w:pStyle w:val="GCAHeader1140"/>
        <w:jc w:val="both"/>
        <w:outlineLvl w:val="0"/>
        <w:rPr>
          <w:b w:val="0"/>
          <w:color w:val="000000"/>
          <w:sz w:val="18"/>
          <w:szCs w:val="18"/>
          <w:lang w:eastAsia="en-GB"/>
        </w:rPr>
      </w:pPr>
    </w:p>
    <w:sectPr w:rsidR="000E4FC7" w:rsidSect="000E4FC7">
      <w:headerReference w:type="even" r:id="rId84"/>
      <w:headerReference w:type="default" r:id="rId85"/>
      <w:footerReference w:type="even" r:id="rId86"/>
      <w:footerReference w:type="default" r:id="rId87"/>
      <w:headerReference w:type="first" r:id="rId88"/>
      <w:footerReference w:type="first" r:id="rId89"/>
      <w:type w:val="continuous"/>
      <w:pgSz w:w="11906" w:h="16838" w:code="9"/>
      <w:pgMar w:top="1134" w:right="851" w:bottom="68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573" w:rsidRDefault="004160AB">
      <w:pPr>
        <w:spacing w:line="240" w:lineRule="auto"/>
      </w:pPr>
      <w:r>
        <w:separator/>
      </w:r>
    </w:p>
  </w:endnote>
  <w:endnote w:type="continuationSeparator" w:id="0">
    <w:p w:rsidR="00F02573" w:rsidRDefault="0041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Edwardian Script ITC"/>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396" w:rsidRDefault="00B0739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CA" w:rsidRDefault="00496BC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CA" w:rsidRPr="00D7165F" w:rsidRDefault="004160AB" w:rsidP="00D7165F">
    <w:pPr>
      <w:pStyle w:val="Footer"/>
      <w:tabs>
        <w:tab w:val="clear" w:pos="4513"/>
        <w:tab w:val="center" w:pos="5103"/>
      </w:tabs>
    </w:pPr>
    <w:r w:rsidRPr="002F6E71">
      <w:t>NatWest Group – Q3 Results 2020</w:t>
    </w:r>
    <w:r w:rsidRPr="002F6E71">
      <w:tab/>
    </w:r>
    <w:r>
      <w:fldChar w:fldCharType="begin"/>
    </w:r>
    <w:r>
      <w:instrText xml:space="preserve"> page / mergeformat </w:instrText>
    </w:r>
    <w:r>
      <w:fldChar w:fldCharType="separate"/>
    </w:r>
    <w:r>
      <w:t>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CA" w:rsidRDefault="00496BC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45" w:rsidRDefault="00F65A4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02D" w:rsidRPr="004935FA" w:rsidRDefault="004160AB" w:rsidP="00C70882">
    <w:pPr>
      <w:pStyle w:val="Footer"/>
      <w:tabs>
        <w:tab w:val="clear" w:pos="4513"/>
        <w:tab w:val="clear" w:pos="9026"/>
        <w:tab w:val="center" w:pos="5103"/>
        <w:tab w:val="right" w:pos="7655"/>
      </w:tabs>
    </w:pPr>
    <w:r>
      <w:t>NatWest Group – Q3 Results 2020</w:t>
    </w:r>
    <w:r>
      <w:tab/>
    </w:r>
    <w:r>
      <w:tab/>
    </w:r>
    <w:r>
      <w:fldChar w:fldCharType="begin"/>
    </w:r>
    <w:r>
      <w:instrText xml:space="preserve"> page / mergeformat </w:instrText>
    </w:r>
    <w:r>
      <w:fldChar w:fldCharType="separate"/>
    </w:r>
    <w:r>
      <w:t>14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45" w:rsidRDefault="00F65A4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3A" w:rsidRDefault="00F27D3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3A" w:rsidRPr="003E2518" w:rsidRDefault="004160AB" w:rsidP="003E2518">
    <w:pPr>
      <w:pStyle w:val="Footer"/>
      <w:tabs>
        <w:tab w:val="clear" w:pos="4513"/>
        <w:tab w:val="center" w:pos="5103"/>
      </w:tabs>
    </w:pPr>
    <w:r w:rsidRPr="002F6E71">
      <w:t>NatWest Group – Q3 Results 2020</w:t>
    </w:r>
    <w:r w:rsidRPr="002F6E71">
      <w:tab/>
    </w:r>
    <w:r>
      <w:fldChar w:fldCharType="begin"/>
    </w:r>
    <w:r>
      <w:instrText xml:space="preserve"> page / mergeformat </w:instrText>
    </w:r>
    <w:r>
      <w:fldChar w:fldCharType="separate"/>
    </w:r>
    <w:r>
      <w:t>20</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3A" w:rsidRDefault="00F27D3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56B" w:rsidRDefault="00547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277" w:rsidRDefault="008E5277" w:rsidP="009E1D0C">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56B" w:rsidRPr="00770A46" w:rsidRDefault="004160AB" w:rsidP="00770A46">
    <w:pPr>
      <w:pStyle w:val="Footer"/>
      <w:tabs>
        <w:tab w:val="clear" w:pos="4513"/>
        <w:tab w:val="center" w:pos="5103"/>
      </w:tabs>
    </w:pPr>
    <w:r w:rsidRPr="002F6E71">
      <w:t>NatWest Group – Q3 Results 2020</w:t>
    </w:r>
    <w:r w:rsidRPr="002F6E71">
      <w:tab/>
    </w:r>
    <w:r>
      <w:fldChar w:fldCharType="begin"/>
    </w:r>
    <w:r>
      <w:instrText xml:space="preserve"> page / mergeformat </w:instrText>
    </w:r>
    <w:r>
      <w:fldChar w:fldCharType="separate"/>
    </w:r>
    <w:r>
      <w:t>27</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56B" w:rsidRDefault="0054756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BD" w:rsidRDefault="008B1BB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97B" w:rsidRPr="00E37286" w:rsidRDefault="004160AB" w:rsidP="00E37286">
    <w:pPr>
      <w:pStyle w:val="Footer"/>
      <w:tabs>
        <w:tab w:val="clear" w:pos="4513"/>
        <w:tab w:val="center" w:pos="5103"/>
      </w:tabs>
    </w:pPr>
    <w:r w:rsidRPr="002F6E71">
      <w:t>NatWest Group – Q3 Results 2020</w:t>
    </w:r>
    <w:r w:rsidRPr="002F6E71">
      <w:tab/>
    </w:r>
    <w:r>
      <w:fldChar w:fldCharType="begin"/>
    </w:r>
    <w:r>
      <w:instrText xml:space="preserve"> page / mergeformat </w:instrText>
    </w:r>
    <w:r>
      <w:fldChar w:fldCharType="separate"/>
    </w:r>
    <w:r>
      <w:t>31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BD" w:rsidRDefault="008B1BB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1" w:rsidRDefault="00C872C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97B" w:rsidRPr="004E235D" w:rsidRDefault="004160AB" w:rsidP="004E235D">
    <w:pPr>
      <w:pStyle w:val="Footer"/>
      <w:tabs>
        <w:tab w:val="clear" w:pos="4513"/>
        <w:tab w:val="center" w:pos="5103"/>
      </w:tabs>
    </w:pPr>
    <w:r w:rsidRPr="002F6E71">
      <w:t>NatWest Group – Q3 Results 2020</w:t>
    </w:r>
    <w:r w:rsidRPr="002F6E71">
      <w:tab/>
    </w:r>
    <w:r>
      <w:fldChar w:fldCharType="begin"/>
    </w:r>
    <w:r>
      <w:instrText xml:space="preserve"> page / mergeformat </w:instrText>
    </w:r>
    <w:r>
      <w:fldChar w:fldCharType="separate"/>
    </w:r>
    <w:r>
      <w:t>33</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1" w:rsidRDefault="00C872C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A6D" w:rsidRDefault="00130A6D"/>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1EF" w:rsidRPr="00020392" w:rsidRDefault="004160AB" w:rsidP="00020392">
    <w:pPr>
      <w:pStyle w:val="Footer"/>
      <w:tabs>
        <w:tab w:val="clear" w:pos="4513"/>
        <w:tab w:val="center" w:pos="5103"/>
      </w:tabs>
    </w:pPr>
    <w:r w:rsidRPr="002F6E71">
      <w:t>NatWest Group – Q3 Results 2020</w:t>
    </w:r>
    <w:r w:rsidRPr="002F6E71">
      <w:tab/>
    </w: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396" w:rsidRDefault="00B07396"/>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A6D" w:rsidRDefault="00130A6D"/>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1D5" w:rsidRDefault="006341D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1D5" w:rsidRDefault="004160AB">
    <w:pPr>
      <w:pStyle w:val="Footer"/>
    </w:pPr>
    <w:r w:rsidRPr="002F6E71">
      <w:t>NatWest Group – Q3 Results 2020</w:t>
    </w:r>
    <w:r w:rsidRPr="002F6E71">
      <w:tab/>
    </w:r>
    <w:r>
      <w:fldChar w:fldCharType="begin"/>
    </w:r>
    <w:r>
      <w:instrText xml:space="preserve"> page / mergeformat </w:instrText>
    </w:r>
    <w:r>
      <w:fldChar w:fldCharType="separate"/>
    </w:r>
    <w:r>
      <w:t>34</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1D5" w:rsidRDefault="006341D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rsidP="003C062F">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Pr="0085079D" w:rsidRDefault="004160AB" w:rsidP="0085079D">
    <w:pPr>
      <w:pStyle w:val="Footer"/>
      <w:tabs>
        <w:tab w:val="clear" w:pos="4513"/>
        <w:tab w:val="center" w:pos="5103"/>
      </w:tabs>
    </w:pPr>
    <w:r w:rsidRPr="002F6E71">
      <w:t>NatWest Group – Q3 Results 2020</w:t>
    </w:r>
    <w:r w:rsidRPr="002F6E71">
      <w:tab/>
    </w:r>
    <w:r>
      <w:fldChar w:fldCharType="begin"/>
    </w:r>
    <w:r>
      <w:instrText xml:space="preserve"> page / mergeformat </w:instrText>
    </w:r>
    <w:r>
      <w:fldChar w:fldCharType="separate"/>
    </w:r>
    <w:r>
      <w:t>41</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B8C" w:rsidRDefault="00867B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A98" w:rsidRPr="00BA49D4" w:rsidRDefault="004160AB" w:rsidP="00BA49D4">
    <w:pPr>
      <w:pStyle w:val="Footer"/>
      <w:tabs>
        <w:tab w:val="clear" w:pos="4513"/>
        <w:tab w:val="center" w:pos="5103"/>
      </w:tabs>
    </w:pPr>
    <w:r w:rsidRPr="002F6E71">
      <w:t>NatWest Group – Q3 Results 2020</w:t>
    </w:r>
    <w:r w:rsidRPr="002F6E71">
      <w:tab/>
    </w:r>
    <w:r>
      <w:fldChar w:fldCharType="begin"/>
    </w:r>
    <w:r>
      <w:instrText xml:space="preserve"> page / mergeformat </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B8C" w:rsidRDefault="00867B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5BF" w:rsidRDefault="004305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5BF" w:rsidRPr="00832875" w:rsidRDefault="004160AB" w:rsidP="00832875">
    <w:pPr>
      <w:pStyle w:val="Footer"/>
      <w:tabs>
        <w:tab w:val="clear" w:pos="4513"/>
        <w:tab w:val="center" w:pos="5103"/>
      </w:tabs>
    </w:pPr>
    <w:r w:rsidRPr="002F6E71">
      <w:t>NatWest Group – Q3 Results 2020</w:t>
    </w:r>
    <w:r w:rsidRPr="002F6E71">
      <w:tab/>
    </w:r>
    <w:r>
      <w:fldChar w:fldCharType="begin"/>
    </w:r>
    <w:r>
      <w:instrText xml:space="preserve"> page / mergeformat </w:instrText>
    </w:r>
    <w:r>
      <w:fldChar w:fldCharType="separate"/>
    </w:r>
    <w: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5BF" w:rsidRDefault="00430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573" w:rsidRDefault="004160AB">
      <w:pPr>
        <w:spacing w:line="240" w:lineRule="auto"/>
      </w:pPr>
      <w:r>
        <w:separator/>
      </w:r>
    </w:p>
  </w:footnote>
  <w:footnote w:type="continuationSeparator" w:id="0">
    <w:p w:rsidR="00F02573" w:rsidRDefault="004160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396" w:rsidRDefault="00B0739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CA" w:rsidRDefault="00496B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CA" w:rsidRDefault="00496B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CA" w:rsidRDefault="00496BC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45" w:rsidRDefault="00F65A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45" w:rsidRDefault="00F65A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A45" w:rsidRDefault="00F65A4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3A" w:rsidRDefault="00F27D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3A" w:rsidRDefault="00F27D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3A" w:rsidRDefault="00F27D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56B" w:rsidRDefault="00547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396" w:rsidRDefault="00B07396"/>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56B" w:rsidRDefault="0054756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56B" w:rsidRDefault="0054756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BD" w:rsidRDefault="008B1BB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97B" w:rsidRDefault="004A797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BBD" w:rsidRDefault="008B1BB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1" w:rsidRDefault="00C872C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97B" w:rsidRDefault="004A797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2C1" w:rsidRDefault="00C872C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A6D" w:rsidRDefault="00130A6D"/>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A6D" w:rsidRDefault="00130A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396" w:rsidRDefault="00B07396"/>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A6D" w:rsidRDefault="00130A6D"/>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1D5" w:rsidRDefault="006341D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97B" w:rsidRDefault="004A797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1D5" w:rsidRDefault="006341D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Pr="00073BD4" w:rsidRDefault="00914F1A" w:rsidP="00073BD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1A" w:rsidRDefault="00914F1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B8C" w:rsidRDefault="00867B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B8C" w:rsidRDefault="00867B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B8C" w:rsidRDefault="00867B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5BF" w:rsidRDefault="004305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5BF" w:rsidRDefault="004305B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5BF" w:rsidRDefault="00430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D8C6A190"/>
    <w:lvl w:ilvl="0" w:tplc="C4A21688">
      <w:start w:val="1"/>
      <w:numFmt w:val="decimal"/>
      <w:lvlText w:val="(%1)"/>
      <w:lvlJc w:val="left"/>
      <w:pPr>
        <w:tabs>
          <w:tab w:val="num" w:pos="284"/>
        </w:tabs>
        <w:ind w:left="284" w:hanging="284"/>
      </w:pPr>
      <w:rPr>
        <w:rFonts w:ascii="Arial" w:hAnsi="Arial" w:hint="default"/>
        <w:color w:val="auto"/>
        <w:sz w:val="14"/>
      </w:rPr>
    </w:lvl>
    <w:lvl w:ilvl="1" w:tplc="A8460276" w:tentative="1">
      <w:start w:val="1"/>
      <w:numFmt w:val="lowerLetter"/>
      <w:lvlText w:val="%2."/>
      <w:lvlJc w:val="left"/>
      <w:pPr>
        <w:tabs>
          <w:tab w:val="num" w:pos="1440"/>
        </w:tabs>
        <w:ind w:left="1440" w:hanging="360"/>
      </w:pPr>
    </w:lvl>
    <w:lvl w:ilvl="2" w:tplc="BFAE1AD2" w:tentative="1">
      <w:start w:val="1"/>
      <w:numFmt w:val="lowerRoman"/>
      <w:lvlText w:val="%3."/>
      <w:lvlJc w:val="right"/>
      <w:pPr>
        <w:tabs>
          <w:tab w:val="num" w:pos="2160"/>
        </w:tabs>
        <w:ind w:left="2160" w:hanging="180"/>
      </w:pPr>
    </w:lvl>
    <w:lvl w:ilvl="3" w:tplc="3DE4A9C8" w:tentative="1">
      <w:start w:val="1"/>
      <w:numFmt w:val="decimal"/>
      <w:lvlText w:val="%4."/>
      <w:lvlJc w:val="left"/>
      <w:pPr>
        <w:tabs>
          <w:tab w:val="num" w:pos="2880"/>
        </w:tabs>
        <w:ind w:left="2880" w:hanging="360"/>
      </w:pPr>
    </w:lvl>
    <w:lvl w:ilvl="4" w:tplc="ECF88D32" w:tentative="1">
      <w:start w:val="1"/>
      <w:numFmt w:val="lowerLetter"/>
      <w:lvlText w:val="%5."/>
      <w:lvlJc w:val="left"/>
      <w:pPr>
        <w:tabs>
          <w:tab w:val="num" w:pos="3600"/>
        </w:tabs>
        <w:ind w:left="3600" w:hanging="360"/>
      </w:pPr>
    </w:lvl>
    <w:lvl w:ilvl="5" w:tplc="51663DCE" w:tentative="1">
      <w:start w:val="1"/>
      <w:numFmt w:val="lowerRoman"/>
      <w:lvlText w:val="%6."/>
      <w:lvlJc w:val="right"/>
      <w:pPr>
        <w:tabs>
          <w:tab w:val="num" w:pos="4320"/>
        </w:tabs>
        <w:ind w:left="4320" w:hanging="180"/>
      </w:pPr>
    </w:lvl>
    <w:lvl w:ilvl="6" w:tplc="73306164" w:tentative="1">
      <w:start w:val="1"/>
      <w:numFmt w:val="decimal"/>
      <w:lvlText w:val="%7."/>
      <w:lvlJc w:val="left"/>
      <w:pPr>
        <w:tabs>
          <w:tab w:val="num" w:pos="5040"/>
        </w:tabs>
        <w:ind w:left="5040" w:hanging="360"/>
      </w:pPr>
    </w:lvl>
    <w:lvl w:ilvl="7" w:tplc="AF7814C4" w:tentative="1">
      <w:start w:val="1"/>
      <w:numFmt w:val="lowerLetter"/>
      <w:lvlText w:val="%8."/>
      <w:lvlJc w:val="left"/>
      <w:pPr>
        <w:tabs>
          <w:tab w:val="num" w:pos="5760"/>
        </w:tabs>
        <w:ind w:left="5760" w:hanging="360"/>
      </w:pPr>
    </w:lvl>
    <w:lvl w:ilvl="8" w:tplc="F2763DE4" w:tentative="1">
      <w:start w:val="1"/>
      <w:numFmt w:val="lowerRoman"/>
      <w:lvlText w:val="%9."/>
      <w:lvlJc w:val="right"/>
      <w:pPr>
        <w:tabs>
          <w:tab w:val="num" w:pos="6480"/>
        </w:tabs>
        <w:ind w:left="6480" w:hanging="180"/>
      </w:pPr>
    </w:lvl>
  </w:abstractNum>
  <w:abstractNum w:abstractNumId="1" w15:restartNumberingAfterBreak="0">
    <w:nsid w:val="00000005"/>
    <w:multiLevelType w:val="hybridMultilevel"/>
    <w:tmpl w:val="260638E0"/>
    <w:lvl w:ilvl="0" w:tplc="4BF0A508">
      <w:start w:val="1"/>
      <w:numFmt w:val="decimal"/>
      <w:lvlText w:val="(%1)"/>
      <w:lvlJc w:val="left"/>
      <w:pPr>
        <w:tabs>
          <w:tab w:val="num" w:pos="284"/>
        </w:tabs>
        <w:ind w:left="284" w:hanging="284"/>
      </w:pPr>
      <w:rPr>
        <w:rFonts w:ascii="Arial" w:hAnsi="Arial" w:hint="default"/>
        <w:b w:val="0"/>
        <w:i w:val="0"/>
        <w:color w:val="auto"/>
        <w:sz w:val="14"/>
      </w:rPr>
    </w:lvl>
    <w:lvl w:ilvl="1" w:tplc="CD804F94" w:tentative="1">
      <w:start w:val="1"/>
      <w:numFmt w:val="lowerLetter"/>
      <w:lvlText w:val="%2."/>
      <w:lvlJc w:val="left"/>
      <w:pPr>
        <w:tabs>
          <w:tab w:val="num" w:pos="1440"/>
        </w:tabs>
        <w:ind w:left="1440" w:hanging="360"/>
      </w:pPr>
    </w:lvl>
    <w:lvl w:ilvl="2" w:tplc="6FDCDC54" w:tentative="1">
      <w:start w:val="1"/>
      <w:numFmt w:val="lowerRoman"/>
      <w:lvlText w:val="%3."/>
      <w:lvlJc w:val="right"/>
      <w:pPr>
        <w:tabs>
          <w:tab w:val="num" w:pos="2160"/>
        </w:tabs>
        <w:ind w:left="2160" w:hanging="180"/>
      </w:pPr>
    </w:lvl>
    <w:lvl w:ilvl="3" w:tplc="050CD828" w:tentative="1">
      <w:start w:val="1"/>
      <w:numFmt w:val="decimal"/>
      <w:lvlText w:val="%4."/>
      <w:lvlJc w:val="left"/>
      <w:pPr>
        <w:tabs>
          <w:tab w:val="num" w:pos="2880"/>
        </w:tabs>
        <w:ind w:left="2880" w:hanging="360"/>
      </w:pPr>
    </w:lvl>
    <w:lvl w:ilvl="4" w:tplc="00A8A822" w:tentative="1">
      <w:start w:val="1"/>
      <w:numFmt w:val="lowerLetter"/>
      <w:lvlText w:val="%5."/>
      <w:lvlJc w:val="left"/>
      <w:pPr>
        <w:tabs>
          <w:tab w:val="num" w:pos="3600"/>
        </w:tabs>
        <w:ind w:left="3600" w:hanging="360"/>
      </w:pPr>
    </w:lvl>
    <w:lvl w:ilvl="5" w:tplc="B2365C10" w:tentative="1">
      <w:start w:val="1"/>
      <w:numFmt w:val="lowerRoman"/>
      <w:lvlText w:val="%6."/>
      <w:lvlJc w:val="right"/>
      <w:pPr>
        <w:tabs>
          <w:tab w:val="num" w:pos="4320"/>
        </w:tabs>
        <w:ind w:left="4320" w:hanging="180"/>
      </w:pPr>
    </w:lvl>
    <w:lvl w:ilvl="6" w:tplc="5276E8A8" w:tentative="1">
      <w:start w:val="1"/>
      <w:numFmt w:val="decimal"/>
      <w:lvlText w:val="%7."/>
      <w:lvlJc w:val="left"/>
      <w:pPr>
        <w:tabs>
          <w:tab w:val="num" w:pos="5040"/>
        </w:tabs>
        <w:ind w:left="5040" w:hanging="360"/>
      </w:pPr>
    </w:lvl>
    <w:lvl w:ilvl="7" w:tplc="F74A7366" w:tentative="1">
      <w:start w:val="1"/>
      <w:numFmt w:val="lowerLetter"/>
      <w:lvlText w:val="%8."/>
      <w:lvlJc w:val="left"/>
      <w:pPr>
        <w:tabs>
          <w:tab w:val="num" w:pos="5760"/>
        </w:tabs>
        <w:ind w:left="5760" w:hanging="360"/>
      </w:pPr>
    </w:lvl>
    <w:lvl w:ilvl="8" w:tplc="982C574A" w:tentative="1">
      <w:start w:val="1"/>
      <w:numFmt w:val="lowerRoman"/>
      <w:lvlText w:val="%9."/>
      <w:lvlJc w:val="right"/>
      <w:pPr>
        <w:tabs>
          <w:tab w:val="num" w:pos="6480"/>
        </w:tabs>
        <w:ind w:left="6480" w:hanging="180"/>
      </w:pPr>
    </w:lvl>
  </w:abstractNum>
  <w:abstractNum w:abstractNumId="2" w15:restartNumberingAfterBreak="0">
    <w:nsid w:val="00000006"/>
    <w:multiLevelType w:val="hybridMultilevel"/>
    <w:tmpl w:val="A0BA8F96"/>
    <w:lvl w:ilvl="0" w:tplc="6B9CD92E">
      <w:start w:val="1"/>
      <w:numFmt w:val="decimal"/>
      <w:lvlText w:val="(%1)"/>
      <w:lvlJc w:val="left"/>
      <w:pPr>
        <w:tabs>
          <w:tab w:val="num" w:pos="284"/>
        </w:tabs>
        <w:ind w:left="284" w:hanging="284"/>
      </w:pPr>
      <w:rPr>
        <w:rFonts w:ascii="Arial" w:hAnsi="Arial" w:hint="default"/>
        <w:b w:val="0"/>
        <w:i w:val="0"/>
        <w:color w:val="auto"/>
        <w:sz w:val="14"/>
      </w:rPr>
    </w:lvl>
    <w:lvl w:ilvl="1" w:tplc="3800DE9C" w:tentative="1">
      <w:start w:val="1"/>
      <w:numFmt w:val="lowerLetter"/>
      <w:lvlText w:val="%2."/>
      <w:lvlJc w:val="left"/>
      <w:pPr>
        <w:tabs>
          <w:tab w:val="num" w:pos="1440"/>
        </w:tabs>
        <w:ind w:left="1440" w:hanging="360"/>
      </w:pPr>
    </w:lvl>
    <w:lvl w:ilvl="2" w:tplc="A4BE9AC0" w:tentative="1">
      <w:start w:val="1"/>
      <w:numFmt w:val="lowerRoman"/>
      <w:lvlText w:val="%3."/>
      <w:lvlJc w:val="right"/>
      <w:pPr>
        <w:tabs>
          <w:tab w:val="num" w:pos="2160"/>
        </w:tabs>
        <w:ind w:left="2160" w:hanging="180"/>
      </w:pPr>
    </w:lvl>
    <w:lvl w:ilvl="3" w:tplc="3856CB62" w:tentative="1">
      <w:start w:val="1"/>
      <w:numFmt w:val="decimal"/>
      <w:lvlText w:val="%4."/>
      <w:lvlJc w:val="left"/>
      <w:pPr>
        <w:tabs>
          <w:tab w:val="num" w:pos="2880"/>
        </w:tabs>
        <w:ind w:left="2880" w:hanging="360"/>
      </w:pPr>
    </w:lvl>
    <w:lvl w:ilvl="4" w:tplc="1D604C58" w:tentative="1">
      <w:start w:val="1"/>
      <w:numFmt w:val="lowerLetter"/>
      <w:lvlText w:val="%5."/>
      <w:lvlJc w:val="left"/>
      <w:pPr>
        <w:tabs>
          <w:tab w:val="num" w:pos="3600"/>
        </w:tabs>
        <w:ind w:left="3600" w:hanging="360"/>
      </w:pPr>
    </w:lvl>
    <w:lvl w:ilvl="5" w:tplc="19F068E6" w:tentative="1">
      <w:start w:val="1"/>
      <w:numFmt w:val="lowerRoman"/>
      <w:lvlText w:val="%6."/>
      <w:lvlJc w:val="right"/>
      <w:pPr>
        <w:tabs>
          <w:tab w:val="num" w:pos="4320"/>
        </w:tabs>
        <w:ind w:left="4320" w:hanging="180"/>
      </w:pPr>
    </w:lvl>
    <w:lvl w:ilvl="6" w:tplc="BECE8262" w:tentative="1">
      <w:start w:val="1"/>
      <w:numFmt w:val="decimal"/>
      <w:lvlText w:val="%7."/>
      <w:lvlJc w:val="left"/>
      <w:pPr>
        <w:tabs>
          <w:tab w:val="num" w:pos="5040"/>
        </w:tabs>
        <w:ind w:left="5040" w:hanging="360"/>
      </w:pPr>
    </w:lvl>
    <w:lvl w:ilvl="7" w:tplc="52D88968" w:tentative="1">
      <w:start w:val="1"/>
      <w:numFmt w:val="lowerLetter"/>
      <w:lvlText w:val="%8."/>
      <w:lvlJc w:val="left"/>
      <w:pPr>
        <w:tabs>
          <w:tab w:val="num" w:pos="5760"/>
        </w:tabs>
        <w:ind w:left="5760" w:hanging="360"/>
      </w:pPr>
    </w:lvl>
    <w:lvl w:ilvl="8" w:tplc="D69A6132" w:tentative="1">
      <w:start w:val="1"/>
      <w:numFmt w:val="lowerRoman"/>
      <w:lvlText w:val="%9."/>
      <w:lvlJc w:val="right"/>
      <w:pPr>
        <w:tabs>
          <w:tab w:val="num" w:pos="6480"/>
        </w:tabs>
        <w:ind w:left="6480" w:hanging="180"/>
      </w:pPr>
    </w:lvl>
  </w:abstractNum>
  <w:abstractNum w:abstractNumId="3" w15:restartNumberingAfterBreak="0">
    <w:nsid w:val="0000000D"/>
    <w:multiLevelType w:val="hybridMultilevel"/>
    <w:tmpl w:val="3B1C0F32"/>
    <w:lvl w:ilvl="0" w:tplc="E640AA9E">
      <w:start w:val="1"/>
      <w:numFmt w:val="bullet"/>
      <w:lvlText w:val=""/>
      <w:lvlJc w:val="left"/>
      <w:pPr>
        <w:tabs>
          <w:tab w:val="num" w:pos="284"/>
        </w:tabs>
        <w:ind w:left="284" w:hanging="284"/>
      </w:pPr>
      <w:rPr>
        <w:rFonts w:ascii="Symbol" w:hAnsi="Symbol" w:hint="default"/>
        <w:color w:val="auto"/>
        <w:sz w:val="20"/>
      </w:rPr>
    </w:lvl>
    <w:lvl w:ilvl="1" w:tplc="232EE214" w:tentative="1">
      <w:start w:val="1"/>
      <w:numFmt w:val="bullet"/>
      <w:lvlText w:val="o"/>
      <w:lvlJc w:val="left"/>
      <w:pPr>
        <w:tabs>
          <w:tab w:val="num" w:pos="1440"/>
        </w:tabs>
        <w:ind w:left="1440" w:hanging="360"/>
      </w:pPr>
      <w:rPr>
        <w:rFonts w:ascii="Courier New" w:hAnsi="Courier New" w:cs="Courier New" w:hint="default"/>
      </w:rPr>
    </w:lvl>
    <w:lvl w:ilvl="2" w:tplc="CEBA5348" w:tentative="1">
      <w:start w:val="1"/>
      <w:numFmt w:val="bullet"/>
      <w:lvlText w:val=""/>
      <w:lvlJc w:val="left"/>
      <w:pPr>
        <w:tabs>
          <w:tab w:val="num" w:pos="2160"/>
        </w:tabs>
        <w:ind w:left="2160" w:hanging="360"/>
      </w:pPr>
      <w:rPr>
        <w:rFonts w:ascii="Wingdings" w:hAnsi="Wingdings" w:hint="default"/>
      </w:rPr>
    </w:lvl>
    <w:lvl w:ilvl="3" w:tplc="42A0580C" w:tentative="1">
      <w:start w:val="1"/>
      <w:numFmt w:val="bullet"/>
      <w:lvlText w:val=""/>
      <w:lvlJc w:val="left"/>
      <w:pPr>
        <w:tabs>
          <w:tab w:val="num" w:pos="2880"/>
        </w:tabs>
        <w:ind w:left="2880" w:hanging="360"/>
      </w:pPr>
      <w:rPr>
        <w:rFonts w:ascii="Symbol" w:hAnsi="Symbol" w:hint="default"/>
      </w:rPr>
    </w:lvl>
    <w:lvl w:ilvl="4" w:tplc="377C01CC" w:tentative="1">
      <w:start w:val="1"/>
      <w:numFmt w:val="bullet"/>
      <w:lvlText w:val="o"/>
      <w:lvlJc w:val="left"/>
      <w:pPr>
        <w:tabs>
          <w:tab w:val="num" w:pos="3600"/>
        </w:tabs>
        <w:ind w:left="3600" w:hanging="360"/>
      </w:pPr>
      <w:rPr>
        <w:rFonts w:ascii="Courier New" w:hAnsi="Courier New" w:cs="Courier New" w:hint="default"/>
      </w:rPr>
    </w:lvl>
    <w:lvl w:ilvl="5" w:tplc="56D0DAF0" w:tentative="1">
      <w:start w:val="1"/>
      <w:numFmt w:val="bullet"/>
      <w:lvlText w:val=""/>
      <w:lvlJc w:val="left"/>
      <w:pPr>
        <w:tabs>
          <w:tab w:val="num" w:pos="4320"/>
        </w:tabs>
        <w:ind w:left="4320" w:hanging="360"/>
      </w:pPr>
      <w:rPr>
        <w:rFonts w:ascii="Wingdings" w:hAnsi="Wingdings" w:hint="default"/>
      </w:rPr>
    </w:lvl>
    <w:lvl w:ilvl="6" w:tplc="EA2655E2" w:tentative="1">
      <w:start w:val="1"/>
      <w:numFmt w:val="bullet"/>
      <w:lvlText w:val=""/>
      <w:lvlJc w:val="left"/>
      <w:pPr>
        <w:tabs>
          <w:tab w:val="num" w:pos="5040"/>
        </w:tabs>
        <w:ind w:left="5040" w:hanging="360"/>
      </w:pPr>
      <w:rPr>
        <w:rFonts w:ascii="Symbol" w:hAnsi="Symbol" w:hint="default"/>
      </w:rPr>
    </w:lvl>
    <w:lvl w:ilvl="7" w:tplc="577466C4" w:tentative="1">
      <w:start w:val="1"/>
      <w:numFmt w:val="bullet"/>
      <w:lvlText w:val="o"/>
      <w:lvlJc w:val="left"/>
      <w:pPr>
        <w:tabs>
          <w:tab w:val="num" w:pos="5760"/>
        </w:tabs>
        <w:ind w:left="5760" w:hanging="360"/>
      </w:pPr>
      <w:rPr>
        <w:rFonts w:ascii="Courier New" w:hAnsi="Courier New" w:cs="Courier New" w:hint="default"/>
      </w:rPr>
    </w:lvl>
    <w:lvl w:ilvl="8" w:tplc="F6AA67E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E"/>
    <w:multiLevelType w:val="hybridMultilevel"/>
    <w:tmpl w:val="C2A6D708"/>
    <w:lvl w:ilvl="0" w:tplc="A7B433FE">
      <w:start w:val="1"/>
      <w:numFmt w:val="bullet"/>
      <w:lvlText w:val=""/>
      <w:lvlJc w:val="left"/>
      <w:pPr>
        <w:tabs>
          <w:tab w:val="num" w:pos="284"/>
        </w:tabs>
        <w:ind w:left="284" w:hanging="284"/>
      </w:pPr>
      <w:rPr>
        <w:rFonts w:ascii="Symbol" w:hAnsi="Symbol" w:hint="default"/>
        <w:color w:val="auto"/>
        <w:sz w:val="20"/>
      </w:rPr>
    </w:lvl>
    <w:lvl w:ilvl="1" w:tplc="0E180D74" w:tentative="1">
      <w:start w:val="1"/>
      <w:numFmt w:val="bullet"/>
      <w:lvlText w:val="o"/>
      <w:lvlJc w:val="left"/>
      <w:pPr>
        <w:tabs>
          <w:tab w:val="num" w:pos="1440"/>
        </w:tabs>
        <w:ind w:left="1440" w:hanging="360"/>
      </w:pPr>
      <w:rPr>
        <w:rFonts w:ascii="Courier New" w:hAnsi="Courier New" w:cs="Courier New" w:hint="default"/>
      </w:rPr>
    </w:lvl>
    <w:lvl w:ilvl="2" w:tplc="555ACCD8" w:tentative="1">
      <w:start w:val="1"/>
      <w:numFmt w:val="bullet"/>
      <w:lvlText w:val=""/>
      <w:lvlJc w:val="left"/>
      <w:pPr>
        <w:tabs>
          <w:tab w:val="num" w:pos="2160"/>
        </w:tabs>
        <w:ind w:left="2160" w:hanging="360"/>
      </w:pPr>
      <w:rPr>
        <w:rFonts w:ascii="Wingdings" w:hAnsi="Wingdings" w:hint="default"/>
      </w:rPr>
    </w:lvl>
    <w:lvl w:ilvl="3" w:tplc="3372EB84" w:tentative="1">
      <w:start w:val="1"/>
      <w:numFmt w:val="bullet"/>
      <w:lvlText w:val=""/>
      <w:lvlJc w:val="left"/>
      <w:pPr>
        <w:tabs>
          <w:tab w:val="num" w:pos="2880"/>
        </w:tabs>
        <w:ind w:left="2880" w:hanging="360"/>
      </w:pPr>
      <w:rPr>
        <w:rFonts w:ascii="Symbol" w:hAnsi="Symbol" w:hint="default"/>
      </w:rPr>
    </w:lvl>
    <w:lvl w:ilvl="4" w:tplc="B756E2BC" w:tentative="1">
      <w:start w:val="1"/>
      <w:numFmt w:val="bullet"/>
      <w:lvlText w:val="o"/>
      <w:lvlJc w:val="left"/>
      <w:pPr>
        <w:tabs>
          <w:tab w:val="num" w:pos="3600"/>
        </w:tabs>
        <w:ind w:left="3600" w:hanging="360"/>
      </w:pPr>
      <w:rPr>
        <w:rFonts w:ascii="Courier New" w:hAnsi="Courier New" w:cs="Courier New" w:hint="default"/>
      </w:rPr>
    </w:lvl>
    <w:lvl w:ilvl="5" w:tplc="C8F048AC" w:tentative="1">
      <w:start w:val="1"/>
      <w:numFmt w:val="bullet"/>
      <w:lvlText w:val=""/>
      <w:lvlJc w:val="left"/>
      <w:pPr>
        <w:tabs>
          <w:tab w:val="num" w:pos="4320"/>
        </w:tabs>
        <w:ind w:left="4320" w:hanging="360"/>
      </w:pPr>
      <w:rPr>
        <w:rFonts w:ascii="Wingdings" w:hAnsi="Wingdings" w:hint="default"/>
      </w:rPr>
    </w:lvl>
    <w:lvl w:ilvl="6" w:tplc="3CD65478" w:tentative="1">
      <w:start w:val="1"/>
      <w:numFmt w:val="bullet"/>
      <w:lvlText w:val=""/>
      <w:lvlJc w:val="left"/>
      <w:pPr>
        <w:tabs>
          <w:tab w:val="num" w:pos="5040"/>
        </w:tabs>
        <w:ind w:left="5040" w:hanging="360"/>
      </w:pPr>
      <w:rPr>
        <w:rFonts w:ascii="Symbol" w:hAnsi="Symbol" w:hint="default"/>
      </w:rPr>
    </w:lvl>
    <w:lvl w:ilvl="7" w:tplc="1902CD2E" w:tentative="1">
      <w:start w:val="1"/>
      <w:numFmt w:val="bullet"/>
      <w:lvlText w:val="o"/>
      <w:lvlJc w:val="left"/>
      <w:pPr>
        <w:tabs>
          <w:tab w:val="num" w:pos="5760"/>
        </w:tabs>
        <w:ind w:left="5760" w:hanging="360"/>
      </w:pPr>
      <w:rPr>
        <w:rFonts w:ascii="Courier New" w:hAnsi="Courier New" w:cs="Courier New" w:hint="default"/>
      </w:rPr>
    </w:lvl>
    <w:lvl w:ilvl="8" w:tplc="DB8C40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76C3F"/>
    <w:multiLevelType w:val="hybridMultilevel"/>
    <w:tmpl w:val="BCC8D03E"/>
    <w:lvl w:ilvl="0" w:tplc="66342DDA">
      <w:start w:val="1"/>
      <w:numFmt w:val="decimal"/>
      <w:lvlText w:val="(%1)"/>
      <w:lvlJc w:val="left"/>
      <w:pPr>
        <w:ind w:left="360" w:hanging="360"/>
      </w:pPr>
      <w:rPr>
        <w:rFonts w:hint="default"/>
      </w:rPr>
    </w:lvl>
    <w:lvl w:ilvl="1" w:tplc="7A64B392" w:tentative="1">
      <w:start w:val="1"/>
      <w:numFmt w:val="lowerLetter"/>
      <w:lvlText w:val="%2."/>
      <w:lvlJc w:val="left"/>
      <w:pPr>
        <w:ind w:left="1080" w:hanging="360"/>
      </w:pPr>
    </w:lvl>
    <w:lvl w:ilvl="2" w:tplc="56AA18DC" w:tentative="1">
      <w:start w:val="1"/>
      <w:numFmt w:val="lowerRoman"/>
      <w:lvlText w:val="%3."/>
      <w:lvlJc w:val="right"/>
      <w:pPr>
        <w:ind w:left="1800" w:hanging="180"/>
      </w:pPr>
    </w:lvl>
    <w:lvl w:ilvl="3" w:tplc="38101B5A" w:tentative="1">
      <w:start w:val="1"/>
      <w:numFmt w:val="decimal"/>
      <w:lvlText w:val="%4."/>
      <w:lvlJc w:val="left"/>
      <w:pPr>
        <w:ind w:left="2520" w:hanging="360"/>
      </w:pPr>
    </w:lvl>
    <w:lvl w:ilvl="4" w:tplc="BF14D494" w:tentative="1">
      <w:start w:val="1"/>
      <w:numFmt w:val="lowerLetter"/>
      <w:lvlText w:val="%5."/>
      <w:lvlJc w:val="left"/>
      <w:pPr>
        <w:ind w:left="3240" w:hanging="360"/>
      </w:pPr>
    </w:lvl>
    <w:lvl w:ilvl="5" w:tplc="B87E709E" w:tentative="1">
      <w:start w:val="1"/>
      <w:numFmt w:val="lowerRoman"/>
      <w:lvlText w:val="%6."/>
      <w:lvlJc w:val="right"/>
      <w:pPr>
        <w:ind w:left="3960" w:hanging="180"/>
      </w:pPr>
    </w:lvl>
    <w:lvl w:ilvl="6" w:tplc="C8D0854E" w:tentative="1">
      <w:start w:val="1"/>
      <w:numFmt w:val="decimal"/>
      <w:lvlText w:val="%7."/>
      <w:lvlJc w:val="left"/>
      <w:pPr>
        <w:ind w:left="4680" w:hanging="360"/>
      </w:pPr>
    </w:lvl>
    <w:lvl w:ilvl="7" w:tplc="687E08B8" w:tentative="1">
      <w:start w:val="1"/>
      <w:numFmt w:val="lowerLetter"/>
      <w:lvlText w:val="%8."/>
      <w:lvlJc w:val="left"/>
      <w:pPr>
        <w:ind w:left="5400" w:hanging="360"/>
      </w:pPr>
    </w:lvl>
    <w:lvl w:ilvl="8" w:tplc="F7787E48" w:tentative="1">
      <w:start w:val="1"/>
      <w:numFmt w:val="lowerRoman"/>
      <w:lvlText w:val="%9."/>
      <w:lvlJc w:val="right"/>
      <w:pPr>
        <w:ind w:left="6120" w:hanging="180"/>
      </w:pPr>
    </w:lvl>
  </w:abstractNum>
  <w:abstractNum w:abstractNumId="6" w15:restartNumberingAfterBreak="0">
    <w:nsid w:val="2065783D"/>
    <w:multiLevelType w:val="hybridMultilevel"/>
    <w:tmpl w:val="25E63E2C"/>
    <w:lvl w:ilvl="0" w:tplc="A2122288">
      <w:start w:val="1"/>
      <w:numFmt w:val="decimal"/>
      <w:lvlText w:val="(%1)"/>
      <w:lvlJc w:val="left"/>
      <w:pPr>
        <w:ind w:left="284" w:hanging="284"/>
      </w:pPr>
      <w:rPr>
        <w:rFonts w:ascii="Arial" w:eastAsiaTheme="minorHAnsi" w:hAnsi="Arial" w:cs="Arial" w:hint="default"/>
        <w:sz w:val="14"/>
        <w:szCs w:val="14"/>
      </w:rPr>
    </w:lvl>
    <w:lvl w:ilvl="1" w:tplc="1CF64A80" w:tentative="1">
      <w:start w:val="1"/>
      <w:numFmt w:val="lowerLetter"/>
      <w:lvlText w:val="%2."/>
      <w:lvlJc w:val="left"/>
      <w:pPr>
        <w:ind w:left="1440" w:hanging="360"/>
      </w:pPr>
    </w:lvl>
    <w:lvl w:ilvl="2" w:tplc="8A02FA72" w:tentative="1">
      <w:start w:val="1"/>
      <w:numFmt w:val="lowerRoman"/>
      <w:lvlText w:val="%3."/>
      <w:lvlJc w:val="right"/>
      <w:pPr>
        <w:ind w:left="2160" w:hanging="180"/>
      </w:pPr>
    </w:lvl>
    <w:lvl w:ilvl="3" w:tplc="6E029EC2" w:tentative="1">
      <w:start w:val="1"/>
      <w:numFmt w:val="decimal"/>
      <w:lvlText w:val="%4."/>
      <w:lvlJc w:val="left"/>
      <w:pPr>
        <w:ind w:left="2880" w:hanging="360"/>
      </w:pPr>
    </w:lvl>
    <w:lvl w:ilvl="4" w:tplc="EE42DAB8" w:tentative="1">
      <w:start w:val="1"/>
      <w:numFmt w:val="lowerLetter"/>
      <w:lvlText w:val="%5."/>
      <w:lvlJc w:val="left"/>
      <w:pPr>
        <w:ind w:left="3600" w:hanging="360"/>
      </w:pPr>
    </w:lvl>
    <w:lvl w:ilvl="5" w:tplc="6BC8672C" w:tentative="1">
      <w:start w:val="1"/>
      <w:numFmt w:val="lowerRoman"/>
      <w:lvlText w:val="%6."/>
      <w:lvlJc w:val="right"/>
      <w:pPr>
        <w:ind w:left="4320" w:hanging="180"/>
      </w:pPr>
    </w:lvl>
    <w:lvl w:ilvl="6" w:tplc="7690CBF8" w:tentative="1">
      <w:start w:val="1"/>
      <w:numFmt w:val="decimal"/>
      <w:lvlText w:val="%7."/>
      <w:lvlJc w:val="left"/>
      <w:pPr>
        <w:ind w:left="5040" w:hanging="360"/>
      </w:pPr>
    </w:lvl>
    <w:lvl w:ilvl="7" w:tplc="5EEE60A8" w:tentative="1">
      <w:start w:val="1"/>
      <w:numFmt w:val="lowerLetter"/>
      <w:lvlText w:val="%8."/>
      <w:lvlJc w:val="left"/>
      <w:pPr>
        <w:ind w:left="5760" w:hanging="360"/>
      </w:pPr>
    </w:lvl>
    <w:lvl w:ilvl="8" w:tplc="6CA8FF14" w:tentative="1">
      <w:start w:val="1"/>
      <w:numFmt w:val="lowerRoman"/>
      <w:lvlText w:val="%9."/>
      <w:lvlJc w:val="right"/>
      <w:pPr>
        <w:ind w:left="6480" w:hanging="180"/>
      </w:pPr>
    </w:lvl>
  </w:abstractNum>
  <w:abstractNum w:abstractNumId="7" w15:restartNumberingAfterBreak="0">
    <w:nsid w:val="24AB6C9E"/>
    <w:multiLevelType w:val="hybridMultilevel"/>
    <w:tmpl w:val="444A31E8"/>
    <w:lvl w:ilvl="0" w:tplc="2736A7C8">
      <w:start w:val="1"/>
      <w:numFmt w:val="decimal"/>
      <w:lvlText w:val="(%1)"/>
      <w:lvlJc w:val="left"/>
      <w:pPr>
        <w:ind w:left="360" w:hanging="360"/>
      </w:pPr>
      <w:rPr>
        <w:rFonts w:ascii="ArialMT" w:eastAsiaTheme="minorHAnsi" w:hAnsi="ArialMT" w:cs="ArialMT" w:hint="default"/>
        <w:b w:val="0"/>
        <w:color w:val="auto"/>
        <w:sz w:val="14"/>
      </w:rPr>
    </w:lvl>
    <w:lvl w:ilvl="1" w:tplc="16EE0BE6" w:tentative="1">
      <w:start w:val="1"/>
      <w:numFmt w:val="lowerLetter"/>
      <w:lvlText w:val="%2."/>
      <w:lvlJc w:val="left"/>
      <w:pPr>
        <w:ind w:left="1080" w:hanging="360"/>
      </w:pPr>
    </w:lvl>
    <w:lvl w:ilvl="2" w:tplc="CD3ACDD0" w:tentative="1">
      <w:start w:val="1"/>
      <w:numFmt w:val="lowerRoman"/>
      <w:lvlText w:val="%3."/>
      <w:lvlJc w:val="right"/>
      <w:pPr>
        <w:ind w:left="1800" w:hanging="180"/>
      </w:pPr>
    </w:lvl>
    <w:lvl w:ilvl="3" w:tplc="552CD492" w:tentative="1">
      <w:start w:val="1"/>
      <w:numFmt w:val="decimal"/>
      <w:lvlText w:val="%4."/>
      <w:lvlJc w:val="left"/>
      <w:pPr>
        <w:ind w:left="2520" w:hanging="360"/>
      </w:pPr>
    </w:lvl>
    <w:lvl w:ilvl="4" w:tplc="7FCAECF8" w:tentative="1">
      <w:start w:val="1"/>
      <w:numFmt w:val="lowerLetter"/>
      <w:lvlText w:val="%5."/>
      <w:lvlJc w:val="left"/>
      <w:pPr>
        <w:ind w:left="3240" w:hanging="360"/>
      </w:pPr>
    </w:lvl>
    <w:lvl w:ilvl="5" w:tplc="8D50DCDE" w:tentative="1">
      <w:start w:val="1"/>
      <w:numFmt w:val="lowerRoman"/>
      <w:lvlText w:val="%6."/>
      <w:lvlJc w:val="right"/>
      <w:pPr>
        <w:ind w:left="3960" w:hanging="180"/>
      </w:pPr>
    </w:lvl>
    <w:lvl w:ilvl="6" w:tplc="EE3E850A" w:tentative="1">
      <w:start w:val="1"/>
      <w:numFmt w:val="decimal"/>
      <w:lvlText w:val="%7."/>
      <w:lvlJc w:val="left"/>
      <w:pPr>
        <w:ind w:left="4680" w:hanging="360"/>
      </w:pPr>
    </w:lvl>
    <w:lvl w:ilvl="7" w:tplc="349C9A6A" w:tentative="1">
      <w:start w:val="1"/>
      <w:numFmt w:val="lowerLetter"/>
      <w:lvlText w:val="%8."/>
      <w:lvlJc w:val="left"/>
      <w:pPr>
        <w:ind w:left="5400" w:hanging="360"/>
      </w:pPr>
    </w:lvl>
    <w:lvl w:ilvl="8" w:tplc="72ACBC2E" w:tentative="1">
      <w:start w:val="1"/>
      <w:numFmt w:val="lowerRoman"/>
      <w:lvlText w:val="%9."/>
      <w:lvlJc w:val="right"/>
      <w:pPr>
        <w:ind w:left="6120" w:hanging="180"/>
      </w:pPr>
    </w:lvl>
  </w:abstractNum>
  <w:abstractNum w:abstractNumId="8" w15:restartNumberingAfterBreak="0">
    <w:nsid w:val="279008AB"/>
    <w:multiLevelType w:val="hybridMultilevel"/>
    <w:tmpl w:val="290AB8EE"/>
    <w:lvl w:ilvl="0" w:tplc="AC36FE62">
      <w:start w:val="1"/>
      <w:numFmt w:val="decimal"/>
      <w:lvlText w:val="(%1)"/>
      <w:lvlJc w:val="left"/>
      <w:pPr>
        <w:ind w:left="284" w:hanging="284"/>
      </w:pPr>
      <w:rPr>
        <w:rFonts w:hint="default"/>
      </w:rPr>
    </w:lvl>
    <w:lvl w:ilvl="1" w:tplc="B2DC128E" w:tentative="1">
      <w:start w:val="1"/>
      <w:numFmt w:val="lowerLetter"/>
      <w:lvlText w:val="%2."/>
      <w:lvlJc w:val="left"/>
      <w:pPr>
        <w:ind w:left="1440" w:hanging="360"/>
      </w:pPr>
    </w:lvl>
    <w:lvl w:ilvl="2" w:tplc="472A880A" w:tentative="1">
      <w:start w:val="1"/>
      <w:numFmt w:val="lowerRoman"/>
      <w:lvlText w:val="%3."/>
      <w:lvlJc w:val="right"/>
      <w:pPr>
        <w:ind w:left="2160" w:hanging="180"/>
      </w:pPr>
    </w:lvl>
    <w:lvl w:ilvl="3" w:tplc="6556FA32" w:tentative="1">
      <w:start w:val="1"/>
      <w:numFmt w:val="decimal"/>
      <w:lvlText w:val="%4."/>
      <w:lvlJc w:val="left"/>
      <w:pPr>
        <w:ind w:left="2880" w:hanging="360"/>
      </w:pPr>
    </w:lvl>
    <w:lvl w:ilvl="4" w:tplc="191E0A4A" w:tentative="1">
      <w:start w:val="1"/>
      <w:numFmt w:val="lowerLetter"/>
      <w:lvlText w:val="%5."/>
      <w:lvlJc w:val="left"/>
      <w:pPr>
        <w:ind w:left="3600" w:hanging="360"/>
      </w:pPr>
    </w:lvl>
    <w:lvl w:ilvl="5" w:tplc="15EEA98C" w:tentative="1">
      <w:start w:val="1"/>
      <w:numFmt w:val="lowerRoman"/>
      <w:lvlText w:val="%6."/>
      <w:lvlJc w:val="right"/>
      <w:pPr>
        <w:ind w:left="4320" w:hanging="180"/>
      </w:pPr>
    </w:lvl>
    <w:lvl w:ilvl="6" w:tplc="F5FA2582" w:tentative="1">
      <w:start w:val="1"/>
      <w:numFmt w:val="decimal"/>
      <w:lvlText w:val="%7."/>
      <w:lvlJc w:val="left"/>
      <w:pPr>
        <w:ind w:left="5040" w:hanging="360"/>
      </w:pPr>
    </w:lvl>
    <w:lvl w:ilvl="7" w:tplc="60DE9F7A" w:tentative="1">
      <w:start w:val="1"/>
      <w:numFmt w:val="lowerLetter"/>
      <w:lvlText w:val="%8."/>
      <w:lvlJc w:val="left"/>
      <w:pPr>
        <w:ind w:left="5760" w:hanging="360"/>
      </w:pPr>
    </w:lvl>
    <w:lvl w:ilvl="8" w:tplc="B284FD6C" w:tentative="1">
      <w:start w:val="1"/>
      <w:numFmt w:val="lowerRoman"/>
      <w:lvlText w:val="%9."/>
      <w:lvlJc w:val="right"/>
      <w:pPr>
        <w:ind w:left="6480" w:hanging="180"/>
      </w:pPr>
    </w:lvl>
  </w:abstractNum>
  <w:abstractNum w:abstractNumId="9" w15:restartNumberingAfterBreak="0">
    <w:nsid w:val="314C5E73"/>
    <w:multiLevelType w:val="hybridMultilevel"/>
    <w:tmpl w:val="A9BE81F2"/>
    <w:lvl w:ilvl="0" w:tplc="21D2D362">
      <w:start w:val="1"/>
      <w:numFmt w:val="decimal"/>
      <w:lvlText w:val="(%1)"/>
      <w:lvlJc w:val="left"/>
      <w:pPr>
        <w:ind w:left="720" w:hanging="360"/>
      </w:pPr>
      <w:rPr>
        <w:rFonts w:hint="default"/>
        <w:sz w:val="14"/>
      </w:rPr>
    </w:lvl>
    <w:lvl w:ilvl="1" w:tplc="D9C63462" w:tentative="1">
      <w:start w:val="1"/>
      <w:numFmt w:val="lowerLetter"/>
      <w:lvlText w:val="%2."/>
      <w:lvlJc w:val="left"/>
      <w:pPr>
        <w:ind w:left="1440" w:hanging="360"/>
      </w:pPr>
    </w:lvl>
    <w:lvl w:ilvl="2" w:tplc="1E064EB2" w:tentative="1">
      <w:start w:val="1"/>
      <w:numFmt w:val="lowerRoman"/>
      <w:lvlText w:val="%3."/>
      <w:lvlJc w:val="right"/>
      <w:pPr>
        <w:ind w:left="2160" w:hanging="180"/>
      </w:pPr>
    </w:lvl>
    <w:lvl w:ilvl="3" w:tplc="96D86BA8" w:tentative="1">
      <w:start w:val="1"/>
      <w:numFmt w:val="decimal"/>
      <w:lvlText w:val="%4."/>
      <w:lvlJc w:val="left"/>
      <w:pPr>
        <w:ind w:left="2880" w:hanging="360"/>
      </w:pPr>
    </w:lvl>
    <w:lvl w:ilvl="4" w:tplc="88F4717E" w:tentative="1">
      <w:start w:val="1"/>
      <w:numFmt w:val="lowerLetter"/>
      <w:lvlText w:val="%5."/>
      <w:lvlJc w:val="left"/>
      <w:pPr>
        <w:ind w:left="3600" w:hanging="360"/>
      </w:pPr>
    </w:lvl>
    <w:lvl w:ilvl="5" w:tplc="4872C2CE" w:tentative="1">
      <w:start w:val="1"/>
      <w:numFmt w:val="lowerRoman"/>
      <w:lvlText w:val="%6."/>
      <w:lvlJc w:val="right"/>
      <w:pPr>
        <w:ind w:left="4320" w:hanging="180"/>
      </w:pPr>
    </w:lvl>
    <w:lvl w:ilvl="6" w:tplc="0B68F5F2" w:tentative="1">
      <w:start w:val="1"/>
      <w:numFmt w:val="decimal"/>
      <w:lvlText w:val="%7."/>
      <w:lvlJc w:val="left"/>
      <w:pPr>
        <w:ind w:left="5040" w:hanging="360"/>
      </w:pPr>
    </w:lvl>
    <w:lvl w:ilvl="7" w:tplc="CE60EF94" w:tentative="1">
      <w:start w:val="1"/>
      <w:numFmt w:val="lowerLetter"/>
      <w:lvlText w:val="%8."/>
      <w:lvlJc w:val="left"/>
      <w:pPr>
        <w:ind w:left="5760" w:hanging="360"/>
      </w:pPr>
    </w:lvl>
    <w:lvl w:ilvl="8" w:tplc="8B420110" w:tentative="1">
      <w:start w:val="1"/>
      <w:numFmt w:val="lowerRoman"/>
      <w:lvlText w:val="%9."/>
      <w:lvlJc w:val="right"/>
      <w:pPr>
        <w:ind w:left="6480" w:hanging="180"/>
      </w:pPr>
    </w:lvl>
  </w:abstractNum>
  <w:abstractNum w:abstractNumId="10" w15:restartNumberingAfterBreak="0">
    <w:nsid w:val="397A48AB"/>
    <w:multiLevelType w:val="hybridMultilevel"/>
    <w:tmpl w:val="2A4AB2E2"/>
    <w:lvl w:ilvl="0" w:tplc="6FAA37C8">
      <w:start w:val="1"/>
      <w:numFmt w:val="decimal"/>
      <w:lvlText w:val="(%1)"/>
      <w:lvlJc w:val="left"/>
      <w:pPr>
        <w:ind w:left="284" w:hanging="284"/>
      </w:pPr>
      <w:rPr>
        <w:rFonts w:ascii="Arial" w:hAnsi="Arial" w:cs="Arial" w:hint="default"/>
      </w:rPr>
    </w:lvl>
    <w:lvl w:ilvl="1" w:tplc="75EAF3D6" w:tentative="1">
      <w:start w:val="1"/>
      <w:numFmt w:val="lowerLetter"/>
      <w:lvlText w:val="%2."/>
      <w:lvlJc w:val="left"/>
      <w:pPr>
        <w:ind w:left="1440" w:hanging="360"/>
      </w:pPr>
    </w:lvl>
    <w:lvl w:ilvl="2" w:tplc="DBB2BD92" w:tentative="1">
      <w:start w:val="1"/>
      <w:numFmt w:val="lowerRoman"/>
      <w:lvlText w:val="%3."/>
      <w:lvlJc w:val="right"/>
      <w:pPr>
        <w:ind w:left="2160" w:hanging="180"/>
      </w:pPr>
    </w:lvl>
    <w:lvl w:ilvl="3" w:tplc="2CDC6A12" w:tentative="1">
      <w:start w:val="1"/>
      <w:numFmt w:val="decimal"/>
      <w:lvlText w:val="%4."/>
      <w:lvlJc w:val="left"/>
      <w:pPr>
        <w:ind w:left="2880" w:hanging="360"/>
      </w:pPr>
    </w:lvl>
    <w:lvl w:ilvl="4" w:tplc="A1F8194E" w:tentative="1">
      <w:start w:val="1"/>
      <w:numFmt w:val="lowerLetter"/>
      <w:lvlText w:val="%5."/>
      <w:lvlJc w:val="left"/>
      <w:pPr>
        <w:ind w:left="3600" w:hanging="360"/>
      </w:pPr>
    </w:lvl>
    <w:lvl w:ilvl="5" w:tplc="490E1BD4" w:tentative="1">
      <w:start w:val="1"/>
      <w:numFmt w:val="lowerRoman"/>
      <w:lvlText w:val="%6."/>
      <w:lvlJc w:val="right"/>
      <w:pPr>
        <w:ind w:left="4320" w:hanging="180"/>
      </w:pPr>
    </w:lvl>
    <w:lvl w:ilvl="6" w:tplc="DC5A0E14" w:tentative="1">
      <w:start w:val="1"/>
      <w:numFmt w:val="decimal"/>
      <w:lvlText w:val="%7."/>
      <w:lvlJc w:val="left"/>
      <w:pPr>
        <w:ind w:left="5040" w:hanging="360"/>
      </w:pPr>
    </w:lvl>
    <w:lvl w:ilvl="7" w:tplc="6902073E" w:tentative="1">
      <w:start w:val="1"/>
      <w:numFmt w:val="lowerLetter"/>
      <w:lvlText w:val="%8."/>
      <w:lvlJc w:val="left"/>
      <w:pPr>
        <w:ind w:left="5760" w:hanging="360"/>
      </w:pPr>
    </w:lvl>
    <w:lvl w:ilvl="8" w:tplc="35123AE0" w:tentative="1">
      <w:start w:val="1"/>
      <w:numFmt w:val="lowerRoman"/>
      <w:lvlText w:val="%9."/>
      <w:lvlJc w:val="right"/>
      <w:pPr>
        <w:ind w:left="6480" w:hanging="180"/>
      </w:pPr>
    </w:lvl>
  </w:abstractNum>
  <w:abstractNum w:abstractNumId="11" w15:restartNumberingAfterBreak="0">
    <w:nsid w:val="3F0D08E2"/>
    <w:multiLevelType w:val="hybridMultilevel"/>
    <w:tmpl w:val="814CA2C4"/>
    <w:lvl w:ilvl="0" w:tplc="CBB09354">
      <w:start w:val="1"/>
      <w:numFmt w:val="decimal"/>
      <w:lvlText w:val="(%1)"/>
      <w:lvlJc w:val="left"/>
      <w:pPr>
        <w:ind w:left="720" w:hanging="360"/>
      </w:pPr>
      <w:rPr>
        <w:rFonts w:ascii="Arial" w:hAnsi="Arial" w:cs="Arial" w:hint="default"/>
      </w:rPr>
    </w:lvl>
    <w:lvl w:ilvl="1" w:tplc="A90A665A" w:tentative="1">
      <w:start w:val="1"/>
      <w:numFmt w:val="lowerLetter"/>
      <w:lvlText w:val="%2."/>
      <w:lvlJc w:val="left"/>
      <w:pPr>
        <w:ind w:left="1440" w:hanging="360"/>
      </w:pPr>
    </w:lvl>
    <w:lvl w:ilvl="2" w:tplc="F6A83D38" w:tentative="1">
      <w:start w:val="1"/>
      <w:numFmt w:val="lowerRoman"/>
      <w:lvlText w:val="%3."/>
      <w:lvlJc w:val="right"/>
      <w:pPr>
        <w:ind w:left="2160" w:hanging="180"/>
      </w:pPr>
    </w:lvl>
    <w:lvl w:ilvl="3" w:tplc="14BE26F0" w:tentative="1">
      <w:start w:val="1"/>
      <w:numFmt w:val="decimal"/>
      <w:lvlText w:val="%4."/>
      <w:lvlJc w:val="left"/>
      <w:pPr>
        <w:ind w:left="2880" w:hanging="360"/>
      </w:pPr>
    </w:lvl>
    <w:lvl w:ilvl="4" w:tplc="340E8C2A" w:tentative="1">
      <w:start w:val="1"/>
      <w:numFmt w:val="lowerLetter"/>
      <w:lvlText w:val="%5."/>
      <w:lvlJc w:val="left"/>
      <w:pPr>
        <w:ind w:left="3600" w:hanging="360"/>
      </w:pPr>
    </w:lvl>
    <w:lvl w:ilvl="5" w:tplc="BF7EE7C6" w:tentative="1">
      <w:start w:val="1"/>
      <w:numFmt w:val="lowerRoman"/>
      <w:lvlText w:val="%6."/>
      <w:lvlJc w:val="right"/>
      <w:pPr>
        <w:ind w:left="4320" w:hanging="180"/>
      </w:pPr>
    </w:lvl>
    <w:lvl w:ilvl="6" w:tplc="3B30056C" w:tentative="1">
      <w:start w:val="1"/>
      <w:numFmt w:val="decimal"/>
      <w:lvlText w:val="%7."/>
      <w:lvlJc w:val="left"/>
      <w:pPr>
        <w:ind w:left="5040" w:hanging="360"/>
      </w:pPr>
    </w:lvl>
    <w:lvl w:ilvl="7" w:tplc="4B64CCD0" w:tentative="1">
      <w:start w:val="1"/>
      <w:numFmt w:val="lowerLetter"/>
      <w:lvlText w:val="%8."/>
      <w:lvlJc w:val="left"/>
      <w:pPr>
        <w:ind w:left="5760" w:hanging="360"/>
      </w:pPr>
    </w:lvl>
    <w:lvl w:ilvl="8" w:tplc="E71E2EF0" w:tentative="1">
      <w:start w:val="1"/>
      <w:numFmt w:val="lowerRoman"/>
      <w:lvlText w:val="%9."/>
      <w:lvlJc w:val="right"/>
      <w:pPr>
        <w:ind w:left="6480" w:hanging="180"/>
      </w:pPr>
    </w:lvl>
  </w:abstractNum>
  <w:abstractNum w:abstractNumId="12" w15:restartNumberingAfterBreak="0">
    <w:nsid w:val="41297A17"/>
    <w:multiLevelType w:val="hybridMultilevel"/>
    <w:tmpl w:val="4C84FC56"/>
    <w:lvl w:ilvl="0" w:tplc="D38AEB32">
      <w:start w:val="1"/>
      <w:numFmt w:val="decimal"/>
      <w:lvlText w:val="(%1)"/>
      <w:lvlJc w:val="left"/>
      <w:pPr>
        <w:ind w:left="720" w:hanging="360"/>
      </w:pPr>
      <w:rPr>
        <w:rFonts w:ascii="Arial" w:eastAsiaTheme="minorHAnsi" w:hAnsi="Arial" w:cs="Arial" w:hint="default"/>
        <w:sz w:val="14"/>
        <w:szCs w:val="14"/>
      </w:rPr>
    </w:lvl>
    <w:lvl w:ilvl="1" w:tplc="8A7EA91C" w:tentative="1">
      <w:start w:val="1"/>
      <w:numFmt w:val="lowerLetter"/>
      <w:lvlText w:val="%2."/>
      <w:lvlJc w:val="left"/>
      <w:pPr>
        <w:ind w:left="1440" w:hanging="360"/>
      </w:pPr>
    </w:lvl>
    <w:lvl w:ilvl="2" w:tplc="45CAE70A" w:tentative="1">
      <w:start w:val="1"/>
      <w:numFmt w:val="lowerRoman"/>
      <w:lvlText w:val="%3."/>
      <w:lvlJc w:val="right"/>
      <w:pPr>
        <w:ind w:left="2160" w:hanging="180"/>
      </w:pPr>
    </w:lvl>
    <w:lvl w:ilvl="3" w:tplc="ED36E3D0" w:tentative="1">
      <w:start w:val="1"/>
      <w:numFmt w:val="decimal"/>
      <w:lvlText w:val="%4."/>
      <w:lvlJc w:val="left"/>
      <w:pPr>
        <w:ind w:left="2880" w:hanging="360"/>
      </w:pPr>
    </w:lvl>
    <w:lvl w:ilvl="4" w:tplc="447E1C76" w:tentative="1">
      <w:start w:val="1"/>
      <w:numFmt w:val="lowerLetter"/>
      <w:lvlText w:val="%5."/>
      <w:lvlJc w:val="left"/>
      <w:pPr>
        <w:ind w:left="3600" w:hanging="360"/>
      </w:pPr>
    </w:lvl>
    <w:lvl w:ilvl="5" w:tplc="3FFE4914" w:tentative="1">
      <w:start w:val="1"/>
      <w:numFmt w:val="lowerRoman"/>
      <w:lvlText w:val="%6."/>
      <w:lvlJc w:val="right"/>
      <w:pPr>
        <w:ind w:left="4320" w:hanging="180"/>
      </w:pPr>
    </w:lvl>
    <w:lvl w:ilvl="6" w:tplc="1AF0CD6C" w:tentative="1">
      <w:start w:val="1"/>
      <w:numFmt w:val="decimal"/>
      <w:lvlText w:val="%7."/>
      <w:lvlJc w:val="left"/>
      <w:pPr>
        <w:ind w:left="5040" w:hanging="360"/>
      </w:pPr>
    </w:lvl>
    <w:lvl w:ilvl="7" w:tplc="4B6AB058" w:tentative="1">
      <w:start w:val="1"/>
      <w:numFmt w:val="lowerLetter"/>
      <w:lvlText w:val="%8."/>
      <w:lvlJc w:val="left"/>
      <w:pPr>
        <w:ind w:left="5760" w:hanging="360"/>
      </w:pPr>
    </w:lvl>
    <w:lvl w:ilvl="8" w:tplc="9ABC9E4C" w:tentative="1">
      <w:start w:val="1"/>
      <w:numFmt w:val="lowerRoman"/>
      <w:lvlText w:val="%9."/>
      <w:lvlJc w:val="right"/>
      <w:pPr>
        <w:ind w:left="6480" w:hanging="180"/>
      </w:pPr>
    </w:lvl>
  </w:abstractNum>
  <w:abstractNum w:abstractNumId="13" w15:restartNumberingAfterBreak="0">
    <w:nsid w:val="4A2E09D3"/>
    <w:multiLevelType w:val="hybridMultilevel"/>
    <w:tmpl w:val="2728B538"/>
    <w:lvl w:ilvl="0" w:tplc="81E6E5CE">
      <w:start w:val="1"/>
      <w:numFmt w:val="bullet"/>
      <w:lvlText w:val=""/>
      <w:lvlJc w:val="left"/>
      <w:pPr>
        <w:ind w:left="360" w:hanging="360"/>
      </w:pPr>
      <w:rPr>
        <w:rFonts w:ascii="Symbol" w:hAnsi="Symbol" w:hint="default"/>
        <w:color w:val="auto"/>
        <w:sz w:val="20"/>
        <w:szCs w:val="20"/>
      </w:rPr>
    </w:lvl>
    <w:lvl w:ilvl="1" w:tplc="93DE1556" w:tentative="1">
      <w:start w:val="1"/>
      <w:numFmt w:val="bullet"/>
      <w:lvlText w:val="o"/>
      <w:lvlJc w:val="left"/>
      <w:pPr>
        <w:ind w:left="1440" w:hanging="360"/>
      </w:pPr>
      <w:rPr>
        <w:rFonts w:ascii="Courier New" w:hAnsi="Courier New" w:cs="Courier New" w:hint="default"/>
      </w:rPr>
    </w:lvl>
    <w:lvl w:ilvl="2" w:tplc="CF6A9004" w:tentative="1">
      <w:start w:val="1"/>
      <w:numFmt w:val="bullet"/>
      <w:lvlText w:val=""/>
      <w:lvlJc w:val="left"/>
      <w:pPr>
        <w:ind w:left="2160" w:hanging="360"/>
      </w:pPr>
      <w:rPr>
        <w:rFonts w:ascii="Wingdings" w:hAnsi="Wingdings" w:hint="default"/>
      </w:rPr>
    </w:lvl>
    <w:lvl w:ilvl="3" w:tplc="7AD0FFFC" w:tentative="1">
      <w:start w:val="1"/>
      <w:numFmt w:val="bullet"/>
      <w:lvlText w:val=""/>
      <w:lvlJc w:val="left"/>
      <w:pPr>
        <w:ind w:left="2880" w:hanging="360"/>
      </w:pPr>
      <w:rPr>
        <w:rFonts w:ascii="Symbol" w:hAnsi="Symbol" w:hint="default"/>
      </w:rPr>
    </w:lvl>
    <w:lvl w:ilvl="4" w:tplc="098E08DC" w:tentative="1">
      <w:start w:val="1"/>
      <w:numFmt w:val="bullet"/>
      <w:lvlText w:val="o"/>
      <w:lvlJc w:val="left"/>
      <w:pPr>
        <w:ind w:left="3600" w:hanging="360"/>
      </w:pPr>
      <w:rPr>
        <w:rFonts w:ascii="Courier New" w:hAnsi="Courier New" w:cs="Courier New" w:hint="default"/>
      </w:rPr>
    </w:lvl>
    <w:lvl w:ilvl="5" w:tplc="2BE684B8" w:tentative="1">
      <w:start w:val="1"/>
      <w:numFmt w:val="bullet"/>
      <w:lvlText w:val=""/>
      <w:lvlJc w:val="left"/>
      <w:pPr>
        <w:ind w:left="4320" w:hanging="360"/>
      </w:pPr>
      <w:rPr>
        <w:rFonts w:ascii="Wingdings" w:hAnsi="Wingdings" w:hint="default"/>
      </w:rPr>
    </w:lvl>
    <w:lvl w:ilvl="6" w:tplc="F1DA0260" w:tentative="1">
      <w:start w:val="1"/>
      <w:numFmt w:val="bullet"/>
      <w:lvlText w:val=""/>
      <w:lvlJc w:val="left"/>
      <w:pPr>
        <w:ind w:left="5040" w:hanging="360"/>
      </w:pPr>
      <w:rPr>
        <w:rFonts w:ascii="Symbol" w:hAnsi="Symbol" w:hint="default"/>
      </w:rPr>
    </w:lvl>
    <w:lvl w:ilvl="7" w:tplc="89F03462" w:tentative="1">
      <w:start w:val="1"/>
      <w:numFmt w:val="bullet"/>
      <w:lvlText w:val="o"/>
      <w:lvlJc w:val="left"/>
      <w:pPr>
        <w:ind w:left="5760" w:hanging="360"/>
      </w:pPr>
      <w:rPr>
        <w:rFonts w:ascii="Courier New" w:hAnsi="Courier New" w:cs="Courier New" w:hint="default"/>
      </w:rPr>
    </w:lvl>
    <w:lvl w:ilvl="8" w:tplc="DCCC221E" w:tentative="1">
      <w:start w:val="1"/>
      <w:numFmt w:val="bullet"/>
      <w:lvlText w:val=""/>
      <w:lvlJc w:val="left"/>
      <w:pPr>
        <w:ind w:left="6480" w:hanging="360"/>
      </w:pPr>
      <w:rPr>
        <w:rFonts w:ascii="Wingdings" w:hAnsi="Wingdings" w:hint="default"/>
      </w:rPr>
    </w:lvl>
  </w:abstractNum>
  <w:abstractNum w:abstractNumId="14" w15:restartNumberingAfterBreak="0">
    <w:nsid w:val="5546338A"/>
    <w:multiLevelType w:val="hybridMultilevel"/>
    <w:tmpl w:val="8DEC0FD4"/>
    <w:lvl w:ilvl="0" w:tplc="810E8452">
      <w:start w:val="1"/>
      <w:numFmt w:val="bullet"/>
      <w:lvlText w:val=""/>
      <w:lvlJc w:val="left"/>
      <w:pPr>
        <w:ind w:left="360" w:hanging="360"/>
      </w:pPr>
      <w:rPr>
        <w:rFonts w:ascii="Symbol" w:hAnsi="Symbol" w:hint="default"/>
      </w:rPr>
    </w:lvl>
    <w:lvl w:ilvl="1" w:tplc="B142D2CA" w:tentative="1">
      <w:start w:val="1"/>
      <w:numFmt w:val="bullet"/>
      <w:lvlText w:val="o"/>
      <w:lvlJc w:val="left"/>
      <w:pPr>
        <w:ind w:left="1080" w:hanging="360"/>
      </w:pPr>
      <w:rPr>
        <w:rFonts w:ascii="Courier New" w:hAnsi="Courier New" w:cs="Courier New" w:hint="default"/>
      </w:rPr>
    </w:lvl>
    <w:lvl w:ilvl="2" w:tplc="4B78CAEE" w:tentative="1">
      <w:start w:val="1"/>
      <w:numFmt w:val="bullet"/>
      <w:lvlText w:val=""/>
      <w:lvlJc w:val="left"/>
      <w:pPr>
        <w:ind w:left="1800" w:hanging="360"/>
      </w:pPr>
      <w:rPr>
        <w:rFonts w:ascii="Wingdings" w:hAnsi="Wingdings" w:hint="default"/>
      </w:rPr>
    </w:lvl>
    <w:lvl w:ilvl="3" w:tplc="C9D448EC" w:tentative="1">
      <w:start w:val="1"/>
      <w:numFmt w:val="bullet"/>
      <w:lvlText w:val=""/>
      <w:lvlJc w:val="left"/>
      <w:pPr>
        <w:ind w:left="2520" w:hanging="360"/>
      </w:pPr>
      <w:rPr>
        <w:rFonts w:ascii="Symbol" w:hAnsi="Symbol" w:hint="default"/>
      </w:rPr>
    </w:lvl>
    <w:lvl w:ilvl="4" w:tplc="FC6ED64A" w:tentative="1">
      <w:start w:val="1"/>
      <w:numFmt w:val="bullet"/>
      <w:lvlText w:val="o"/>
      <w:lvlJc w:val="left"/>
      <w:pPr>
        <w:ind w:left="3240" w:hanging="360"/>
      </w:pPr>
      <w:rPr>
        <w:rFonts w:ascii="Courier New" w:hAnsi="Courier New" w:cs="Courier New" w:hint="default"/>
      </w:rPr>
    </w:lvl>
    <w:lvl w:ilvl="5" w:tplc="63E82890" w:tentative="1">
      <w:start w:val="1"/>
      <w:numFmt w:val="bullet"/>
      <w:lvlText w:val=""/>
      <w:lvlJc w:val="left"/>
      <w:pPr>
        <w:ind w:left="3960" w:hanging="360"/>
      </w:pPr>
      <w:rPr>
        <w:rFonts w:ascii="Wingdings" w:hAnsi="Wingdings" w:hint="default"/>
      </w:rPr>
    </w:lvl>
    <w:lvl w:ilvl="6" w:tplc="A6442988" w:tentative="1">
      <w:start w:val="1"/>
      <w:numFmt w:val="bullet"/>
      <w:lvlText w:val=""/>
      <w:lvlJc w:val="left"/>
      <w:pPr>
        <w:ind w:left="4680" w:hanging="360"/>
      </w:pPr>
      <w:rPr>
        <w:rFonts w:ascii="Symbol" w:hAnsi="Symbol" w:hint="default"/>
      </w:rPr>
    </w:lvl>
    <w:lvl w:ilvl="7" w:tplc="C98C8544" w:tentative="1">
      <w:start w:val="1"/>
      <w:numFmt w:val="bullet"/>
      <w:lvlText w:val="o"/>
      <w:lvlJc w:val="left"/>
      <w:pPr>
        <w:ind w:left="5400" w:hanging="360"/>
      </w:pPr>
      <w:rPr>
        <w:rFonts w:ascii="Courier New" w:hAnsi="Courier New" w:cs="Courier New" w:hint="default"/>
      </w:rPr>
    </w:lvl>
    <w:lvl w:ilvl="8" w:tplc="EABCF548" w:tentative="1">
      <w:start w:val="1"/>
      <w:numFmt w:val="bullet"/>
      <w:lvlText w:val=""/>
      <w:lvlJc w:val="left"/>
      <w:pPr>
        <w:ind w:left="6120" w:hanging="360"/>
      </w:pPr>
      <w:rPr>
        <w:rFonts w:ascii="Wingdings" w:hAnsi="Wingdings" w:hint="default"/>
      </w:rPr>
    </w:lvl>
  </w:abstractNum>
  <w:abstractNum w:abstractNumId="15" w15:restartNumberingAfterBreak="0">
    <w:nsid w:val="59B419C7"/>
    <w:multiLevelType w:val="hybridMultilevel"/>
    <w:tmpl w:val="BF5256C4"/>
    <w:lvl w:ilvl="0" w:tplc="2EB2DFC0">
      <w:start w:val="1"/>
      <w:numFmt w:val="decimal"/>
      <w:lvlText w:val="(%1)"/>
      <w:lvlJc w:val="left"/>
      <w:pPr>
        <w:ind w:left="360" w:hanging="360"/>
      </w:pPr>
      <w:rPr>
        <w:rFonts w:hint="default"/>
      </w:rPr>
    </w:lvl>
    <w:lvl w:ilvl="1" w:tplc="7E0ABD92" w:tentative="1">
      <w:start w:val="1"/>
      <w:numFmt w:val="lowerLetter"/>
      <w:lvlText w:val="%2."/>
      <w:lvlJc w:val="left"/>
      <w:pPr>
        <w:ind w:left="1080" w:hanging="360"/>
      </w:pPr>
    </w:lvl>
    <w:lvl w:ilvl="2" w:tplc="10F87006" w:tentative="1">
      <w:start w:val="1"/>
      <w:numFmt w:val="lowerRoman"/>
      <w:lvlText w:val="%3."/>
      <w:lvlJc w:val="right"/>
      <w:pPr>
        <w:ind w:left="1800" w:hanging="180"/>
      </w:pPr>
    </w:lvl>
    <w:lvl w:ilvl="3" w:tplc="FE7A527C" w:tentative="1">
      <w:start w:val="1"/>
      <w:numFmt w:val="decimal"/>
      <w:lvlText w:val="%4."/>
      <w:lvlJc w:val="left"/>
      <w:pPr>
        <w:ind w:left="2520" w:hanging="360"/>
      </w:pPr>
    </w:lvl>
    <w:lvl w:ilvl="4" w:tplc="F6BC2D42" w:tentative="1">
      <w:start w:val="1"/>
      <w:numFmt w:val="lowerLetter"/>
      <w:lvlText w:val="%5."/>
      <w:lvlJc w:val="left"/>
      <w:pPr>
        <w:ind w:left="3240" w:hanging="360"/>
      </w:pPr>
    </w:lvl>
    <w:lvl w:ilvl="5" w:tplc="AD1C8768" w:tentative="1">
      <w:start w:val="1"/>
      <w:numFmt w:val="lowerRoman"/>
      <w:lvlText w:val="%6."/>
      <w:lvlJc w:val="right"/>
      <w:pPr>
        <w:ind w:left="3960" w:hanging="180"/>
      </w:pPr>
    </w:lvl>
    <w:lvl w:ilvl="6" w:tplc="1778DB52" w:tentative="1">
      <w:start w:val="1"/>
      <w:numFmt w:val="decimal"/>
      <w:lvlText w:val="%7."/>
      <w:lvlJc w:val="left"/>
      <w:pPr>
        <w:ind w:left="4680" w:hanging="360"/>
      </w:pPr>
    </w:lvl>
    <w:lvl w:ilvl="7" w:tplc="71EA94CE" w:tentative="1">
      <w:start w:val="1"/>
      <w:numFmt w:val="lowerLetter"/>
      <w:lvlText w:val="%8."/>
      <w:lvlJc w:val="left"/>
      <w:pPr>
        <w:ind w:left="5400" w:hanging="360"/>
      </w:pPr>
    </w:lvl>
    <w:lvl w:ilvl="8" w:tplc="3278B280" w:tentative="1">
      <w:start w:val="1"/>
      <w:numFmt w:val="lowerRoman"/>
      <w:lvlText w:val="%9."/>
      <w:lvlJc w:val="right"/>
      <w:pPr>
        <w:ind w:left="6120" w:hanging="180"/>
      </w:pPr>
    </w:lvl>
  </w:abstractNum>
  <w:abstractNum w:abstractNumId="16" w15:restartNumberingAfterBreak="0">
    <w:nsid w:val="68030AEF"/>
    <w:multiLevelType w:val="hybridMultilevel"/>
    <w:tmpl w:val="1E2CEF26"/>
    <w:lvl w:ilvl="0" w:tplc="06B6D31C">
      <w:start w:val="1"/>
      <w:numFmt w:val="bullet"/>
      <w:lvlText w:val=""/>
      <w:lvlJc w:val="left"/>
      <w:pPr>
        <w:ind w:left="360" w:hanging="360"/>
      </w:pPr>
      <w:rPr>
        <w:rFonts w:ascii="Symbol" w:hAnsi="Symbol" w:hint="default"/>
        <w:color w:val="auto"/>
      </w:rPr>
    </w:lvl>
    <w:lvl w:ilvl="1" w:tplc="67AA7BE6">
      <w:start w:val="1"/>
      <w:numFmt w:val="bullet"/>
      <w:lvlText w:val="o"/>
      <w:lvlJc w:val="left"/>
      <w:pPr>
        <w:ind w:left="1080" w:hanging="360"/>
      </w:pPr>
      <w:rPr>
        <w:rFonts w:ascii="Courier New" w:hAnsi="Courier New" w:cs="Courier New" w:hint="default"/>
      </w:rPr>
    </w:lvl>
    <w:lvl w:ilvl="2" w:tplc="8E0CF1BE">
      <w:start w:val="1"/>
      <w:numFmt w:val="bullet"/>
      <w:lvlText w:val=""/>
      <w:lvlJc w:val="left"/>
      <w:pPr>
        <w:ind w:left="1800" w:hanging="360"/>
      </w:pPr>
      <w:rPr>
        <w:rFonts w:ascii="Wingdings" w:hAnsi="Wingdings" w:hint="default"/>
      </w:rPr>
    </w:lvl>
    <w:lvl w:ilvl="3" w:tplc="C160FE26">
      <w:start w:val="1"/>
      <w:numFmt w:val="bullet"/>
      <w:lvlText w:val=""/>
      <w:lvlJc w:val="left"/>
      <w:pPr>
        <w:ind w:left="2520" w:hanging="360"/>
      </w:pPr>
      <w:rPr>
        <w:rFonts w:ascii="Symbol" w:hAnsi="Symbol" w:hint="default"/>
      </w:rPr>
    </w:lvl>
    <w:lvl w:ilvl="4" w:tplc="7D989278">
      <w:start w:val="1"/>
      <w:numFmt w:val="bullet"/>
      <w:lvlText w:val="o"/>
      <w:lvlJc w:val="left"/>
      <w:pPr>
        <w:ind w:left="3240" w:hanging="360"/>
      </w:pPr>
      <w:rPr>
        <w:rFonts w:ascii="Courier New" w:hAnsi="Courier New" w:cs="Courier New" w:hint="default"/>
      </w:rPr>
    </w:lvl>
    <w:lvl w:ilvl="5" w:tplc="6930D87A">
      <w:start w:val="1"/>
      <w:numFmt w:val="bullet"/>
      <w:lvlText w:val=""/>
      <w:lvlJc w:val="left"/>
      <w:pPr>
        <w:ind w:left="3960" w:hanging="360"/>
      </w:pPr>
      <w:rPr>
        <w:rFonts w:ascii="Wingdings" w:hAnsi="Wingdings" w:hint="default"/>
      </w:rPr>
    </w:lvl>
    <w:lvl w:ilvl="6" w:tplc="47A62378">
      <w:start w:val="1"/>
      <w:numFmt w:val="bullet"/>
      <w:lvlText w:val=""/>
      <w:lvlJc w:val="left"/>
      <w:pPr>
        <w:ind w:left="4680" w:hanging="360"/>
      </w:pPr>
      <w:rPr>
        <w:rFonts w:ascii="Symbol" w:hAnsi="Symbol" w:hint="default"/>
      </w:rPr>
    </w:lvl>
    <w:lvl w:ilvl="7" w:tplc="01E4E68E">
      <w:start w:val="1"/>
      <w:numFmt w:val="bullet"/>
      <w:lvlText w:val="o"/>
      <w:lvlJc w:val="left"/>
      <w:pPr>
        <w:ind w:left="5400" w:hanging="360"/>
      </w:pPr>
      <w:rPr>
        <w:rFonts w:ascii="Courier New" w:hAnsi="Courier New" w:cs="Courier New" w:hint="default"/>
      </w:rPr>
    </w:lvl>
    <w:lvl w:ilvl="8" w:tplc="7DEA05D8">
      <w:start w:val="1"/>
      <w:numFmt w:val="bullet"/>
      <w:lvlText w:val=""/>
      <w:lvlJc w:val="left"/>
      <w:pPr>
        <w:ind w:left="6120" w:hanging="360"/>
      </w:pPr>
      <w:rPr>
        <w:rFonts w:ascii="Wingdings" w:hAnsi="Wingdings" w:hint="default"/>
      </w:rPr>
    </w:lvl>
  </w:abstractNum>
  <w:abstractNum w:abstractNumId="17" w15:restartNumberingAfterBreak="0">
    <w:nsid w:val="6F073880"/>
    <w:multiLevelType w:val="hybridMultilevel"/>
    <w:tmpl w:val="80C225F0"/>
    <w:lvl w:ilvl="0" w:tplc="5210B1F0">
      <w:start w:val="1"/>
      <w:numFmt w:val="decimal"/>
      <w:lvlText w:val="(%1)"/>
      <w:lvlJc w:val="left"/>
      <w:pPr>
        <w:ind w:left="360" w:hanging="360"/>
      </w:pPr>
      <w:rPr>
        <w:rFonts w:hint="default"/>
      </w:rPr>
    </w:lvl>
    <w:lvl w:ilvl="1" w:tplc="D43C9BEE" w:tentative="1">
      <w:start w:val="1"/>
      <w:numFmt w:val="lowerLetter"/>
      <w:lvlText w:val="%2."/>
      <w:lvlJc w:val="left"/>
      <w:pPr>
        <w:ind w:left="1080" w:hanging="360"/>
      </w:pPr>
    </w:lvl>
    <w:lvl w:ilvl="2" w:tplc="A0FA4340" w:tentative="1">
      <w:start w:val="1"/>
      <w:numFmt w:val="lowerRoman"/>
      <w:lvlText w:val="%3."/>
      <w:lvlJc w:val="right"/>
      <w:pPr>
        <w:ind w:left="1800" w:hanging="180"/>
      </w:pPr>
    </w:lvl>
    <w:lvl w:ilvl="3" w:tplc="6B760DDA" w:tentative="1">
      <w:start w:val="1"/>
      <w:numFmt w:val="decimal"/>
      <w:lvlText w:val="%4."/>
      <w:lvlJc w:val="left"/>
      <w:pPr>
        <w:ind w:left="2520" w:hanging="360"/>
      </w:pPr>
    </w:lvl>
    <w:lvl w:ilvl="4" w:tplc="E2825B38" w:tentative="1">
      <w:start w:val="1"/>
      <w:numFmt w:val="lowerLetter"/>
      <w:lvlText w:val="%5."/>
      <w:lvlJc w:val="left"/>
      <w:pPr>
        <w:ind w:left="3240" w:hanging="360"/>
      </w:pPr>
    </w:lvl>
    <w:lvl w:ilvl="5" w:tplc="E312C41E" w:tentative="1">
      <w:start w:val="1"/>
      <w:numFmt w:val="lowerRoman"/>
      <w:lvlText w:val="%6."/>
      <w:lvlJc w:val="right"/>
      <w:pPr>
        <w:ind w:left="3960" w:hanging="180"/>
      </w:pPr>
    </w:lvl>
    <w:lvl w:ilvl="6" w:tplc="2EE46E6A" w:tentative="1">
      <w:start w:val="1"/>
      <w:numFmt w:val="decimal"/>
      <w:lvlText w:val="%7."/>
      <w:lvlJc w:val="left"/>
      <w:pPr>
        <w:ind w:left="4680" w:hanging="360"/>
      </w:pPr>
    </w:lvl>
    <w:lvl w:ilvl="7" w:tplc="52F04466" w:tentative="1">
      <w:start w:val="1"/>
      <w:numFmt w:val="lowerLetter"/>
      <w:lvlText w:val="%8."/>
      <w:lvlJc w:val="left"/>
      <w:pPr>
        <w:ind w:left="5400" w:hanging="360"/>
      </w:pPr>
    </w:lvl>
    <w:lvl w:ilvl="8" w:tplc="857C4744" w:tentative="1">
      <w:start w:val="1"/>
      <w:numFmt w:val="lowerRoman"/>
      <w:lvlText w:val="%9."/>
      <w:lvlJc w:val="right"/>
      <w:pPr>
        <w:ind w:left="6120" w:hanging="180"/>
      </w:pPr>
    </w:lvl>
  </w:abstractNum>
  <w:abstractNum w:abstractNumId="18" w15:restartNumberingAfterBreak="0">
    <w:nsid w:val="73960101"/>
    <w:multiLevelType w:val="hybridMultilevel"/>
    <w:tmpl w:val="66622F2A"/>
    <w:lvl w:ilvl="0" w:tplc="05B2F662">
      <w:start w:val="1"/>
      <w:numFmt w:val="decimal"/>
      <w:lvlText w:val="(%1)"/>
      <w:lvlJc w:val="left"/>
      <w:pPr>
        <w:ind w:left="284" w:hanging="284"/>
      </w:pPr>
      <w:rPr>
        <w:rFonts w:hint="default"/>
      </w:rPr>
    </w:lvl>
    <w:lvl w:ilvl="1" w:tplc="A536B06E">
      <w:start w:val="1"/>
      <w:numFmt w:val="lowerLetter"/>
      <w:lvlText w:val="%2."/>
      <w:lvlJc w:val="left"/>
      <w:pPr>
        <w:ind w:left="1440" w:hanging="360"/>
      </w:pPr>
    </w:lvl>
    <w:lvl w:ilvl="2" w:tplc="DB60981C">
      <w:start w:val="1"/>
      <w:numFmt w:val="lowerRoman"/>
      <w:lvlText w:val="%3."/>
      <w:lvlJc w:val="right"/>
      <w:pPr>
        <w:ind w:left="2160" w:hanging="180"/>
      </w:pPr>
    </w:lvl>
    <w:lvl w:ilvl="3" w:tplc="DEB0C228">
      <w:start w:val="1"/>
      <w:numFmt w:val="decimal"/>
      <w:lvlText w:val="%4."/>
      <w:lvlJc w:val="left"/>
      <w:pPr>
        <w:ind w:left="2880" w:hanging="360"/>
      </w:pPr>
    </w:lvl>
    <w:lvl w:ilvl="4" w:tplc="F14EFF8A">
      <w:start w:val="1"/>
      <w:numFmt w:val="lowerLetter"/>
      <w:lvlText w:val="%5."/>
      <w:lvlJc w:val="left"/>
      <w:pPr>
        <w:ind w:left="3600" w:hanging="360"/>
      </w:pPr>
    </w:lvl>
    <w:lvl w:ilvl="5" w:tplc="12A24684">
      <w:start w:val="1"/>
      <w:numFmt w:val="lowerRoman"/>
      <w:lvlText w:val="%6."/>
      <w:lvlJc w:val="right"/>
      <w:pPr>
        <w:ind w:left="4320" w:hanging="180"/>
      </w:pPr>
    </w:lvl>
    <w:lvl w:ilvl="6" w:tplc="A57E855E">
      <w:start w:val="1"/>
      <w:numFmt w:val="decimal"/>
      <w:lvlText w:val="%7."/>
      <w:lvlJc w:val="left"/>
      <w:pPr>
        <w:ind w:left="5040" w:hanging="360"/>
      </w:pPr>
    </w:lvl>
    <w:lvl w:ilvl="7" w:tplc="E3CEDBBC">
      <w:start w:val="1"/>
      <w:numFmt w:val="lowerLetter"/>
      <w:lvlText w:val="%8."/>
      <w:lvlJc w:val="left"/>
      <w:pPr>
        <w:ind w:left="5760" w:hanging="360"/>
      </w:pPr>
    </w:lvl>
    <w:lvl w:ilvl="8" w:tplc="760AD21C">
      <w:start w:val="1"/>
      <w:numFmt w:val="lowerRoman"/>
      <w:lvlText w:val="%9."/>
      <w:lvlJc w:val="right"/>
      <w:pPr>
        <w:ind w:left="6480" w:hanging="180"/>
      </w:pPr>
    </w:lvl>
  </w:abstractNum>
  <w:abstractNum w:abstractNumId="19" w15:restartNumberingAfterBreak="0">
    <w:nsid w:val="7D0D2A59"/>
    <w:multiLevelType w:val="hybridMultilevel"/>
    <w:tmpl w:val="BF5256C4"/>
    <w:lvl w:ilvl="0" w:tplc="EC869442">
      <w:start w:val="1"/>
      <w:numFmt w:val="decimal"/>
      <w:lvlText w:val="(%1)"/>
      <w:lvlJc w:val="left"/>
      <w:pPr>
        <w:ind w:left="360" w:hanging="360"/>
      </w:pPr>
      <w:rPr>
        <w:rFonts w:hint="default"/>
      </w:rPr>
    </w:lvl>
    <w:lvl w:ilvl="1" w:tplc="3238F7EE" w:tentative="1">
      <w:start w:val="1"/>
      <w:numFmt w:val="lowerLetter"/>
      <w:lvlText w:val="%2."/>
      <w:lvlJc w:val="left"/>
      <w:pPr>
        <w:ind w:left="1080" w:hanging="360"/>
      </w:pPr>
    </w:lvl>
    <w:lvl w:ilvl="2" w:tplc="E720715A" w:tentative="1">
      <w:start w:val="1"/>
      <w:numFmt w:val="lowerRoman"/>
      <w:lvlText w:val="%3."/>
      <w:lvlJc w:val="right"/>
      <w:pPr>
        <w:ind w:left="1800" w:hanging="180"/>
      </w:pPr>
    </w:lvl>
    <w:lvl w:ilvl="3" w:tplc="109237A8" w:tentative="1">
      <w:start w:val="1"/>
      <w:numFmt w:val="decimal"/>
      <w:lvlText w:val="%4."/>
      <w:lvlJc w:val="left"/>
      <w:pPr>
        <w:ind w:left="2520" w:hanging="360"/>
      </w:pPr>
    </w:lvl>
    <w:lvl w:ilvl="4" w:tplc="A9C67B14" w:tentative="1">
      <w:start w:val="1"/>
      <w:numFmt w:val="lowerLetter"/>
      <w:lvlText w:val="%5."/>
      <w:lvlJc w:val="left"/>
      <w:pPr>
        <w:ind w:left="3240" w:hanging="360"/>
      </w:pPr>
    </w:lvl>
    <w:lvl w:ilvl="5" w:tplc="4C581A78" w:tentative="1">
      <w:start w:val="1"/>
      <w:numFmt w:val="lowerRoman"/>
      <w:lvlText w:val="%6."/>
      <w:lvlJc w:val="right"/>
      <w:pPr>
        <w:ind w:left="3960" w:hanging="180"/>
      </w:pPr>
    </w:lvl>
    <w:lvl w:ilvl="6" w:tplc="CD4A4DAC" w:tentative="1">
      <w:start w:val="1"/>
      <w:numFmt w:val="decimal"/>
      <w:lvlText w:val="%7."/>
      <w:lvlJc w:val="left"/>
      <w:pPr>
        <w:ind w:left="4680" w:hanging="360"/>
      </w:pPr>
    </w:lvl>
    <w:lvl w:ilvl="7" w:tplc="37AA0436" w:tentative="1">
      <w:start w:val="1"/>
      <w:numFmt w:val="lowerLetter"/>
      <w:lvlText w:val="%8."/>
      <w:lvlJc w:val="left"/>
      <w:pPr>
        <w:ind w:left="5400" w:hanging="360"/>
      </w:pPr>
    </w:lvl>
    <w:lvl w:ilvl="8" w:tplc="DF347FF8"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0"/>
  </w:num>
  <w:num w:numId="5">
    <w:abstractNumId w:val="8"/>
  </w:num>
  <w:num w:numId="6">
    <w:abstractNumId w:val="11"/>
  </w:num>
  <w:num w:numId="7">
    <w:abstractNumId w:val="10"/>
  </w:num>
  <w:num w:numId="8">
    <w:abstractNumId w:val="5"/>
  </w:num>
  <w:num w:numId="9">
    <w:abstractNumId w:val="2"/>
  </w:num>
  <w:num w:numId="10">
    <w:abstractNumId w:val="1"/>
  </w:num>
  <w:num w:numId="11">
    <w:abstractNumId w:val="14"/>
  </w:num>
  <w:num w:numId="12">
    <w:abstractNumId w:val="18"/>
  </w:num>
  <w:num w:numId="13">
    <w:abstractNumId w:val="16"/>
  </w:num>
  <w:num w:numId="14">
    <w:abstractNumId w:val="19"/>
  </w:num>
  <w:num w:numId="15">
    <w:abstractNumId w:val="15"/>
  </w:num>
  <w:num w:numId="16">
    <w:abstractNumId w:val="17"/>
  </w:num>
  <w:num w:numId="17">
    <w:abstractNumId w:val="9"/>
  </w:num>
  <w:num w:numId="18">
    <w:abstractNumId w:val="3"/>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V_COMMENTS_LIST_A3F0ABAB-D387-4CB1-A59F-9459101C3EB1" w:val="&lt;compressed size=&quot;84&quot;&gt;eJwdijEKgDAQBOdDgSiSw/I0vsMqpWBh4+8dZIubud3Bxc3Dy8lCmM5EpZEUdqnLxa7JISUHm9/inV2s/6JqqYf+Ae3nCpA=&lt;/compressed&gt;_x000d__x000a_"/>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82327B"/>
    <w:rsid w:val="00011E8B"/>
    <w:rsid w:val="00011FA6"/>
    <w:rsid w:val="00016FDD"/>
    <w:rsid w:val="00020392"/>
    <w:rsid w:val="00022697"/>
    <w:rsid w:val="00027D51"/>
    <w:rsid w:val="000437D8"/>
    <w:rsid w:val="00046673"/>
    <w:rsid w:val="00057D62"/>
    <w:rsid w:val="000605BE"/>
    <w:rsid w:val="00063D6F"/>
    <w:rsid w:val="00066AD9"/>
    <w:rsid w:val="00071A29"/>
    <w:rsid w:val="00072F78"/>
    <w:rsid w:val="000731E4"/>
    <w:rsid w:val="00073BD4"/>
    <w:rsid w:val="00081630"/>
    <w:rsid w:val="00083597"/>
    <w:rsid w:val="00083765"/>
    <w:rsid w:val="00090FC5"/>
    <w:rsid w:val="00092F94"/>
    <w:rsid w:val="00093C20"/>
    <w:rsid w:val="00096085"/>
    <w:rsid w:val="000A4C61"/>
    <w:rsid w:val="000B2423"/>
    <w:rsid w:val="000B4143"/>
    <w:rsid w:val="000C0072"/>
    <w:rsid w:val="000C1D59"/>
    <w:rsid w:val="000C2D29"/>
    <w:rsid w:val="000C39F9"/>
    <w:rsid w:val="000C53A8"/>
    <w:rsid w:val="000D2FC0"/>
    <w:rsid w:val="000D481F"/>
    <w:rsid w:val="000D5515"/>
    <w:rsid w:val="000D7EF7"/>
    <w:rsid w:val="000E4C94"/>
    <w:rsid w:val="000E4FC7"/>
    <w:rsid w:val="000F7D55"/>
    <w:rsid w:val="00100472"/>
    <w:rsid w:val="00100547"/>
    <w:rsid w:val="0010126B"/>
    <w:rsid w:val="00106EC2"/>
    <w:rsid w:val="00114B30"/>
    <w:rsid w:val="00130A6D"/>
    <w:rsid w:val="00132D6A"/>
    <w:rsid w:val="00132F0D"/>
    <w:rsid w:val="00133D7F"/>
    <w:rsid w:val="001348ED"/>
    <w:rsid w:val="00137173"/>
    <w:rsid w:val="00143A29"/>
    <w:rsid w:val="00155EA1"/>
    <w:rsid w:val="00157FE4"/>
    <w:rsid w:val="0016087F"/>
    <w:rsid w:val="00161BDC"/>
    <w:rsid w:val="00175989"/>
    <w:rsid w:val="00175EEA"/>
    <w:rsid w:val="00176986"/>
    <w:rsid w:val="00176E72"/>
    <w:rsid w:val="001817AF"/>
    <w:rsid w:val="00191867"/>
    <w:rsid w:val="00191889"/>
    <w:rsid w:val="001A7AD7"/>
    <w:rsid w:val="001B21D1"/>
    <w:rsid w:val="001B31B0"/>
    <w:rsid w:val="001B4D40"/>
    <w:rsid w:val="001C1AD1"/>
    <w:rsid w:val="001C2DCA"/>
    <w:rsid w:val="001C2EF5"/>
    <w:rsid w:val="001C79B9"/>
    <w:rsid w:val="001C7AE1"/>
    <w:rsid w:val="001D2717"/>
    <w:rsid w:val="001D46D3"/>
    <w:rsid w:val="001E4EEF"/>
    <w:rsid w:val="001F5395"/>
    <w:rsid w:val="00207CB0"/>
    <w:rsid w:val="0022629F"/>
    <w:rsid w:val="00232BDD"/>
    <w:rsid w:val="002336A4"/>
    <w:rsid w:val="00234BF7"/>
    <w:rsid w:val="00256891"/>
    <w:rsid w:val="00265C6A"/>
    <w:rsid w:val="00266526"/>
    <w:rsid w:val="00276628"/>
    <w:rsid w:val="0028753C"/>
    <w:rsid w:val="00290F8F"/>
    <w:rsid w:val="00291BCC"/>
    <w:rsid w:val="0029601C"/>
    <w:rsid w:val="002A65E0"/>
    <w:rsid w:val="002B1125"/>
    <w:rsid w:val="002C03B9"/>
    <w:rsid w:val="002C0A6E"/>
    <w:rsid w:val="002C2139"/>
    <w:rsid w:val="002C452D"/>
    <w:rsid w:val="002C4978"/>
    <w:rsid w:val="002D6242"/>
    <w:rsid w:val="002D6AAB"/>
    <w:rsid w:val="002E3C88"/>
    <w:rsid w:val="002F0036"/>
    <w:rsid w:val="002F1929"/>
    <w:rsid w:val="002F6E71"/>
    <w:rsid w:val="003010C8"/>
    <w:rsid w:val="00305060"/>
    <w:rsid w:val="00305E99"/>
    <w:rsid w:val="00312B17"/>
    <w:rsid w:val="00321358"/>
    <w:rsid w:val="00321909"/>
    <w:rsid w:val="003233B2"/>
    <w:rsid w:val="0032697C"/>
    <w:rsid w:val="00344FD2"/>
    <w:rsid w:val="0034595C"/>
    <w:rsid w:val="00347737"/>
    <w:rsid w:val="003515FE"/>
    <w:rsid w:val="00353F47"/>
    <w:rsid w:val="0035533D"/>
    <w:rsid w:val="00360443"/>
    <w:rsid w:val="003677A3"/>
    <w:rsid w:val="00374AC9"/>
    <w:rsid w:val="00381CC1"/>
    <w:rsid w:val="00382E96"/>
    <w:rsid w:val="00383F5F"/>
    <w:rsid w:val="00387BED"/>
    <w:rsid w:val="00392BB4"/>
    <w:rsid w:val="003942C6"/>
    <w:rsid w:val="003A520A"/>
    <w:rsid w:val="003A5799"/>
    <w:rsid w:val="003A646B"/>
    <w:rsid w:val="003B5E9F"/>
    <w:rsid w:val="003C062F"/>
    <w:rsid w:val="003C0A3D"/>
    <w:rsid w:val="003D28EF"/>
    <w:rsid w:val="003D555D"/>
    <w:rsid w:val="003E2518"/>
    <w:rsid w:val="003E4D49"/>
    <w:rsid w:val="003E5C29"/>
    <w:rsid w:val="003F284D"/>
    <w:rsid w:val="003F31EF"/>
    <w:rsid w:val="0040103C"/>
    <w:rsid w:val="00401AF3"/>
    <w:rsid w:val="00410251"/>
    <w:rsid w:val="004160AB"/>
    <w:rsid w:val="00420D1D"/>
    <w:rsid w:val="004247BD"/>
    <w:rsid w:val="004305BF"/>
    <w:rsid w:val="00431C48"/>
    <w:rsid w:val="004536B3"/>
    <w:rsid w:val="004540D0"/>
    <w:rsid w:val="004672D7"/>
    <w:rsid w:val="004717BE"/>
    <w:rsid w:val="00472979"/>
    <w:rsid w:val="00474C99"/>
    <w:rsid w:val="0047547C"/>
    <w:rsid w:val="004774C2"/>
    <w:rsid w:val="00481017"/>
    <w:rsid w:val="0048197D"/>
    <w:rsid w:val="00492D14"/>
    <w:rsid w:val="004935FA"/>
    <w:rsid w:val="00496BCA"/>
    <w:rsid w:val="004A2458"/>
    <w:rsid w:val="004A27CE"/>
    <w:rsid w:val="004A75F6"/>
    <w:rsid w:val="004A797B"/>
    <w:rsid w:val="004B5068"/>
    <w:rsid w:val="004B6DC5"/>
    <w:rsid w:val="004D082D"/>
    <w:rsid w:val="004D7F8F"/>
    <w:rsid w:val="004E11BA"/>
    <w:rsid w:val="004E235D"/>
    <w:rsid w:val="004E6C8B"/>
    <w:rsid w:val="004F4E7D"/>
    <w:rsid w:val="00510518"/>
    <w:rsid w:val="0051082D"/>
    <w:rsid w:val="005330C2"/>
    <w:rsid w:val="00533C78"/>
    <w:rsid w:val="00540274"/>
    <w:rsid w:val="0054110B"/>
    <w:rsid w:val="0054756B"/>
    <w:rsid w:val="005542A8"/>
    <w:rsid w:val="00572DEB"/>
    <w:rsid w:val="005809DD"/>
    <w:rsid w:val="005829C9"/>
    <w:rsid w:val="00584E36"/>
    <w:rsid w:val="005879A5"/>
    <w:rsid w:val="00587B70"/>
    <w:rsid w:val="005904A9"/>
    <w:rsid w:val="00590B44"/>
    <w:rsid w:val="005932B8"/>
    <w:rsid w:val="005A2DE7"/>
    <w:rsid w:val="005A39BC"/>
    <w:rsid w:val="005B24D7"/>
    <w:rsid w:val="005B5C5A"/>
    <w:rsid w:val="005C078B"/>
    <w:rsid w:val="005C23F0"/>
    <w:rsid w:val="005D0748"/>
    <w:rsid w:val="005D1766"/>
    <w:rsid w:val="005D5BD0"/>
    <w:rsid w:val="005D67D1"/>
    <w:rsid w:val="005D76E8"/>
    <w:rsid w:val="005E2FAE"/>
    <w:rsid w:val="005E552D"/>
    <w:rsid w:val="005F4CAB"/>
    <w:rsid w:val="005F51C4"/>
    <w:rsid w:val="005F630D"/>
    <w:rsid w:val="0060089F"/>
    <w:rsid w:val="006063BE"/>
    <w:rsid w:val="006065A3"/>
    <w:rsid w:val="006250B2"/>
    <w:rsid w:val="00627162"/>
    <w:rsid w:val="006341D5"/>
    <w:rsid w:val="00635955"/>
    <w:rsid w:val="0063631C"/>
    <w:rsid w:val="00643E0B"/>
    <w:rsid w:val="00644D4E"/>
    <w:rsid w:val="00646D59"/>
    <w:rsid w:val="0064749F"/>
    <w:rsid w:val="00653AE2"/>
    <w:rsid w:val="00657792"/>
    <w:rsid w:val="00664CA7"/>
    <w:rsid w:val="0066553C"/>
    <w:rsid w:val="00666F8E"/>
    <w:rsid w:val="00673F73"/>
    <w:rsid w:val="00676C88"/>
    <w:rsid w:val="00685555"/>
    <w:rsid w:val="00685EDE"/>
    <w:rsid w:val="006961F4"/>
    <w:rsid w:val="006A0FA9"/>
    <w:rsid w:val="006B4F34"/>
    <w:rsid w:val="006C5A98"/>
    <w:rsid w:val="006D3792"/>
    <w:rsid w:val="006D648E"/>
    <w:rsid w:val="006D7C09"/>
    <w:rsid w:val="006E0F9A"/>
    <w:rsid w:val="006E2B2B"/>
    <w:rsid w:val="006E3678"/>
    <w:rsid w:val="006F3416"/>
    <w:rsid w:val="006F67CD"/>
    <w:rsid w:val="006F752B"/>
    <w:rsid w:val="006F7636"/>
    <w:rsid w:val="00702B95"/>
    <w:rsid w:val="00703AF8"/>
    <w:rsid w:val="00706EBD"/>
    <w:rsid w:val="00711C48"/>
    <w:rsid w:val="007150CB"/>
    <w:rsid w:val="00717550"/>
    <w:rsid w:val="007178C8"/>
    <w:rsid w:val="00730914"/>
    <w:rsid w:val="007371A5"/>
    <w:rsid w:val="00741732"/>
    <w:rsid w:val="00742C6E"/>
    <w:rsid w:val="007455E6"/>
    <w:rsid w:val="007526B5"/>
    <w:rsid w:val="00755E72"/>
    <w:rsid w:val="007561B2"/>
    <w:rsid w:val="00756EB5"/>
    <w:rsid w:val="00764363"/>
    <w:rsid w:val="00770A46"/>
    <w:rsid w:val="0077356A"/>
    <w:rsid w:val="0077767D"/>
    <w:rsid w:val="00780155"/>
    <w:rsid w:val="0078261B"/>
    <w:rsid w:val="00792AC3"/>
    <w:rsid w:val="007970E9"/>
    <w:rsid w:val="007A16A8"/>
    <w:rsid w:val="007B495C"/>
    <w:rsid w:val="007B4FAC"/>
    <w:rsid w:val="007B5F40"/>
    <w:rsid w:val="007C152B"/>
    <w:rsid w:val="007C7ACA"/>
    <w:rsid w:val="007D48BC"/>
    <w:rsid w:val="007E6FB8"/>
    <w:rsid w:val="007E7406"/>
    <w:rsid w:val="007E791F"/>
    <w:rsid w:val="007F037A"/>
    <w:rsid w:val="007F3A54"/>
    <w:rsid w:val="0081059B"/>
    <w:rsid w:val="00812E55"/>
    <w:rsid w:val="00814A1B"/>
    <w:rsid w:val="008163DE"/>
    <w:rsid w:val="00822BEA"/>
    <w:rsid w:val="0082327B"/>
    <w:rsid w:val="00823C5C"/>
    <w:rsid w:val="0082489B"/>
    <w:rsid w:val="00830841"/>
    <w:rsid w:val="00831DFD"/>
    <w:rsid w:val="00832875"/>
    <w:rsid w:val="00845D1B"/>
    <w:rsid w:val="0085079D"/>
    <w:rsid w:val="00861335"/>
    <w:rsid w:val="00862891"/>
    <w:rsid w:val="00867B8C"/>
    <w:rsid w:val="008B1015"/>
    <w:rsid w:val="008B121D"/>
    <w:rsid w:val="008B1BBD"/>
    <w:rsid w:val="008C1B46"/>
    <w:rsid w:val="008C2379"/>
    <w:rsid w:val="008C55F4"/>
    <w:rsid w:val="008D3A8E"/>
    <w:rsid w:val="008E0FAA"/>
    <w:rsid w:val="008E276B"/>
    <w:rsid w:val="008E5277"/>
    <w:rsid w:val="008F71AC"/>
    <w:rsid w:val="0090251B"/>
    <w:rsid w:val="009033C2"/>
    <w:rsid w:val="00905F29"/>
    <w:rsid w:val="009061DF"/>
    <w:rsid w:val="00906C3D"/>
    <w:rsid w:val="00914F1A"/>
    <w:rsid w:val="009153F2"/>
    <w:rsid w:val="00923F29"/>
    <w:rsid w:val="00925DE4"/>
    <w:rsid w:val="009328A3"/>
    <w:rsid w:val="00932E1C"/>
    <w:rsid w:val="009400C3"/>
    <w:rsid w:val="009411D7"/>
    <w:rsid w:val="0094167C"/>
    <w:rsid w:val="00941FEC"/>
    <w:rsid w:val="00942998"/>
    <w:rsid w:val="00947FD9"/>
    <w:rsid w:val="00954F9D"/>
    <w:rsid w:val="009603BC"/>
    <w:rsid w:val="00963786"/>
    <w:rsid w:val="00967389"/>
    <w:rsid w:val="009714DF"/>
    <w:rsid w:val="009879F2"/>
    <w:rsid w:val="00990046"/>
    <w:rsid w:val="00996D20"/>
    <w:rsid w:val="009A472A"/>
    <w:rsid w:val="009A5AA3"/>
    <w:rsid w:val="009A6B85"/>
    <w:rsid w:val="009C20BA"/>
    <w:rsid w:val="009C2A04"/>
    <w:rsid w:val="009C3226"/>
    <w:rsid w:val="009C4D10"/>
    <w:rsid w:val="009D2636"/>
    <w:rsid w:val="009E1D0C"/>
    <w:rsid w:val="009E4B5F"/>
    <w:rsid w:val="009F3F44"/>
    <w:rsid w:val="009F5795"/>
    <w:rsid w:val="00A04DB8"/>
    <w:rsid w:val="00A16569"/>
    <w:rsid w:val="00A26EF7"/>
    <w:rsid w:val="00A30225"/>
    <w:rsid w:val="00A30B5B"/>
    <w:rsid w:val="00A46638"/>
    <w:rsid w:val="00A56331"/>
    <w:rsid w:val="00A57B93"/>
    <w:rsid w:val="00A63336"/>
    <w:rsid w:val="00A67E8A"/>
    <w:rsid w:val="00A71411"/>
    <w:rsid w:val="00A73DAA"/>
    <w:rsid w:val="00A8010D"/>
    <w:rsid w:val="00A86585"/>
    <w:rsid w:val="00A93159"/>
    <w:rsid w:val="00A95684"/>
    <w:rsid w:val="00AA39C0"/>
    <w:rsid w:val="00AA3A8E"/>
    <w:rsid w:val="00AA3CB6"/>
    <w:rsid w:val="00AB162C"/>
    <w:rsid w:val="00AB695F"/>
    <w:rsid w:val="00AC63B5"/>
    <w:rsid w:val="00AD2B45"/>
    <w:rsid w:val="00AD68E1"/>
    <w:rsid w:val="00AE0C33"/>
    <w:rsid w:val="00AE32A5"/>
    <w:rsid w:val="00AE4A6B"/>
    <w:rsid w:val="00AF231A"/>
    <w:rsid w:val="00AF268D"/>
    <w:rsid w:val="00AF3FF7"/>
    <w:rsid w:val="00B07396"/>
    <w:rsid w:val="00B216DF"/>
    <w:rsid w:val="00B3226A"/>
    <w:rsid w:val="00B371A7"/>
    <w:rsid w:val="00B427E4"/>
    <w:rsid w:val="00B6178C"/>
    <w:rsid w:val="00B64BBD"/>
    <w:rsid w:val="00B70853"/>
    <w:rsid w:val="00B727FC"/>
    <w:rsid w:val="00B74939"/>
    <w:rsid w:val="00B92218"/>
    <w:rsid w:val="00B9244C"/>
    <w:rsid w:val="00BA31CE"/>
    <w:rsid w:val="00BA49D4"/>
    <w:rsid w:val="00BA7CF0"/>
    <w:rsid w:val="00BB1ED4"/>
    <w:rsid w:val="00BB4EDE"/>
    <w:rsid w:val="00BC258D"/>
    <w:rsid w:val="00BC4628"/>
    <w:rsid w:val="00BC4E83"/>
    <w:rsid w:val="00C0101D"/>
    <w:rsid w:val="00C02C74"/>
    <w:rsid w:val="00C1377E"/>
    <w:rsid w:val="00C1795F"/>
    <w:rsid w:val="00C220EE"/>
    <w:rsid w:val="00C30888"/>
    <w:rsid w:val="00C31988"/>
    <w:rsid w:val="00C31E1F"/>
    <w:rsid w:val="00C36715"/>
    <w:rsid w:val="00C4569E"/>
    <w:rsid w:val="00C56885"/>
    <w:rsid w:val="00C60592"/>
    <w:rsid w:val="00C63597"/>
    <w:rsid w:val="00C649A0"/>
    <w:rsid w:val="00C70882"/>
    <w:rsid w:val="00C752E3"/>
    <w:rsid w:val="00C758D0"/>
    <w:rsid w:val="00C81FC5"/>
    <w:rsid w:val="00C872C1"/>
    <w:rsid w:val="00C910F3"/>
    <w:rsid w:val="00C92BFB"/>
    <w:rsid w:val="00CA2CCB"/>
    <w:rsid w:val="00CB11CC"/>
    <w:rsid w:val="00CB7B55"/>
    <w:rsid w:val="00CC0C5F"/>
    <w:rsid w:val="00CC5FA7"/>
    <w:rsid w:val="00CD310F"/>
    <w:rsid w:val="00CE3D3B"/>
    <w:rsid w:val="00CE46D9"/>
    <w:rsid w:val="00CE7AEE"/>
    <w:rsid w:val="00CF1E11"/>
    <w:rsid w:val="00CF325C"/>
    <w:rsid w:val="00CF7CC2"/>
    <w:rsid w:val="00D0035B"/>
    <w:rsid w:val="00D0600C"/>
    <w:rsid w:val="00D06C21"/>
    <w:rsid w:val="00D2024A"/>
    <w:rsid w:val="00D26782"/>
    <w:rsid w:val="00D30C94"/>
    <w:rsid w:val="00D4045E"/>
    <w:rsid w:val="00D465DB"/>
    <w:rsid w:val="00D7165F"/>
    <w:rsid w:val="00D7413D"/>
    <w:rsid w:val="00D741B6"/>
    <w:rsid w:val="00D7488D"/>
    <w:rsid w:val="00D7566E"/>
    <w:rsid w:val="00D80CB8"/>
    <w:rsid w:val="00D81729"/>
    <w:rsid w:val="00D82BC5"/>
    <w:rsid w:val="00D8307F"/>
    <w:rsid w:val="00D942BD"/>
    <w:rsid w:val="00D955F7"/>
    <w:rsid w:val="00D9584E"/>
    <w:rsid w:val="00DA482F"/>
    <w:rsid w:val="00DA48CE"/>
    <w:rsid w:val="00DB6572"/>
    <w:rsid w:val="00DC202D"/>
    <w:rsid w:val="00DC4AEA"/>
    <w:rsid w:val="00DD5D95"/>
    <w:rsid w:val="00DF246B"/>
    <w:rsid w:val="00DF29A0"/>
    <w:rsid w:val="00DF45B2"/>
    <w:rsid w:val="00DF5402"/>
    <w:rsid w:val="00E106BC"/>
    <w:rsid w:val="00E1442D"/>
    <w:rsid w:val="00E24B1B"/>
    <w:rsid w:val="00E257B3"/>
    <w:rsid w:val="00E26697"/>
    <w:rsid w:val="00E26703"/>
    <w:rsid w:val="00E32063"/>
    <w:rsid w:val="00E33DFA"/>
    <w:rsid w:val="00E36487"/>
    <w:rsid w:val="00E37286"/>
    <w:rsid w:val="00E43A4A"/>
    <w:rsid w:val="00E461D7"/>
    <w:rsid w:val="00E47D2A"/>
    <w:rsid w:val="00E51D75"/>
    <w:rsid w:val="00E565B6"/>
    <w:rsid w:val="00E71C73"/>
    <w:rsid w:val="00E7759E"/>
    <w:rsid w:val="00E856D0"/>
    <w:rsid w:val="00E85B67"/>
    <w:rsid w:val="00E928DB"/>
    <w:rsid w:val="00EA0A0B"/>
    <w:rsid w:val="00EC1CD6"/>
    <w:rsid w:val="00EC5EF9"/>
    <w:rsid w:val="00ED0D05"/>
    <w:rsid w:val="00ED12DA"/>
    <w:rsid w:val="00ED1EAA"/>
    <w:rsid w:val="00EF26AB"/>
    <w:rsid w:val="00EF6AC8"/>
    <w:rsid w:val="00F02573"/>
    <w:rsid w:val="00F04E15"/>
    <w:rsid w:val="00F04EB8"/>
    <w:rsid w:val="00F06F94"/>
    <w:rsid w:val="00F12820"/>
    <w:rsid w:val="00F140C4"/>
    <w:rsid w:val="00F1436F"/>
    <w:rsid w:val="00F17BE9"/>
    <w:rsid w:val="00F27D3A"/>
    <w:rsid w:val="00F322E3"/>
    <w:rsid w:val="00F3403A"/>
    <w:rsid w:val="00F377A3"/>
    <w:rsid w:val="00F4227B"/>
    <w:rsid w:val="00F42E26"/>
    <w:rsid w:val="00F44293"/>
    <w:rsid w:val="00F520E2"/>
    <w:rsid w:val="00F530D6"/>
    <w:rsid w:val="00F57394"/>
    <w:rsid w:val="00F574FC"/>
    <w:rsid w:val="00F658EA"/>
    <w:rsid w:val="00F65A45"/>
    <w:rsid w:val="00F672DC"/>
    <w:rsid w:val="00F751A6"/>
    <w:rsid w:val="00F7642D"/>
    <w:rsid w:val="00F818BA"/>
    <w:rsid w:val="00F8651D"/>
    <w:rsid w:val="00F870F4"/>
    <w:rsid w:val="00F91CF0"/>
    <w:rsid w:val="00F9728C"/>
    <w:rsid w:val="00F97F6D"/>
    <w:rsid w:val="00FA10FA"/>
    <w:rsid w:val="00FA1DBB"/>
    <w:rsid w:val="00FA580C"/>
    <w:rsid w:val="00FB10E6"/>
    <w:rsid w:val="00FB2A8D"/>
    <w:rsid w:val="00FB32D6"/>
    <w:rsid w:val="00FB6978"/>
    <w:rsid w:val="00FC0F51"/>
    <w:rsid w:val="00FD3148"/>
    <w:rsid w:val="00FD343A"/>
    <w:rsid w:val="00FD787D"/>
    <w:rsid w:val="00FE3281"/>
    <w:rsid w:val="00FE3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B737"/>
  <w15:docId w15:val="{45414CB2-47E8-4814-B691-0CD2F3A2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7B"/>
    <w:pPr>
      <w:spacing w:after="0"/>
    </w:pPr>
    <w:rPr>
      <w:rFonts w:ascii="Arial" w:hAnsi="Arial"/>
      <w:sz w:val="18"/>
    </w:rPr>
  </w:style>
  <w:style w:type="paragraph" w:styleId="Heading1">
    <w:name w:val="heading 1"/>
    <w:basedOn w:val="Normal"/>
    <w:next w:val="Normal"/>
    <w:link w:val="Heading1Char"/>
    <w:uiPriority w:val="9"/>
    <w:qFormat/>
    <w:rsid w:val="00111D1D"/>
    <w:pPr>
      <w:keepNext/>
      <w:keepLines/>
      <w:outlineLvl w:val="0"/>
    </w:pPr>
    <w:rPr>
      <w:rFonts w:eastAsiaTheme="majorEastAsia" w:cstheme="majorBidi"/>
      <w:b/>
      <w:bCs/>
      <w:color w:val="002060"/>
      <w:szCs w:val="28"/>
    </w:rPr>
  </w:style>
  <w:style w:type="paragraph" w:styleId="Heading2">
    <w:name w:val="heading 2"/>
    <w:basedOn w:val="Normal"/>
    <w:next w:val="Normal"/>
    <w:link w:val="Heading2Char"/>
    <w:uiPriority w:val="9"/>
    <w:unhideWhenUsed/>
    <w:qFormat/>
    <w:rsid w:val="00111D1D"/>
    <w:pPr>
      <w:keepNext/>
      <w:keepLines/>
      <w:outlineLvl w:val="1"/>
    </w:pPr>
    <w:rPr>
      <w:rFonts w:eastAsiaTheme="majorEastAsia" w:cstheme="majorBidi"/>
      <w:bCs/>
      <w:color w:val="002060"/>
      <w:szCs w:val="26"/>
    </w:rPr>
  </w:style>
  <w:style w:type="paragraph" w:styleId="Heading3">
    <w:name w:val="heading 3"/>
    <w:basedOn w:val="Normal"/>
    <w:next w:val="Normal"/>
    <w:link w:val="Heading3Char"/>
    <w:uiPriority w:val="9"/>
    <w:unhideWhenUsed/>
    <w:qFormat/>
    <w:rsid w:val="00111D1D"/>
    <w:pPr>
      <w:keepNext/>
      <w:keepLines/>
      <w:outlineLvl w:val="2"/>
    </w:pPr>
    <w:rPr>
      <w:rFonts w:eastAsiaTheme="majorEastAsia" w:cstheme="majorBidi"/>
      <w:bCs/>
      <w:color w:val="0034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82327B"/>
    <w:pPr>
      <w:spacing w:after="0" w:line="240" w:lineRule="auto"/>
    </w:pPr>
    <w:rPr>
      <w:rFonts w:ascii="Times New Roman" w:eastAsia="SimSun" w:hAnsi="Times New Roman" w:cs="Times New Roman"/>
      <w:sz w:val="24"/>
      <w:szCs w:val="24"/>
      <w:lang w:eastAsia="zh-CN"/>
    </w:rPr>
  </w:style>
  <w:style w:type="paragraph" w:customStyle="1" w:styleId="Normal00">
    <w:name w:val="Normal_0_0"/>
    <w:rsid w:val="0082327B"/>
    <w:pPr>
      <w:spacing w:after="0"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111D1D"/>
    <w:rPr>
      <w:rFonts w:ascii="Arial" w:eastAsiaTheme="majorEastAsia" w:hAnsi="Arial" w:cstheme="majorBidi"/>
      <w:b/>
      <w:bCs/>
      <w:color w:val="002060"/>
      <w:sz w:val="18"/>
      <w:szCs w:val="28"/>
    </w:rPr>
  </w:style>
  <w:style w:type="character" w:customStyle="1" w:styleId="Heading2Char">
    <w:name w:val="Heading 2 Char"/>
    <w:basedOn w:val="DefaultParagraphFont"/>
    <w:link w:val="Heading2"/>
    <w:uiPriority w:val="9"/>
    <w:rsid w:val="00111D1D"/>
    <w:rPr>
      <w:rFonts w:ascii="Arial" w:eastAsiaTheme="majorEastAsia" w:hAnsi="Arial" w:cstheme="majorBidi"/>
      <w:bCs/>
      <w:color w:val="002060"/>
      <w:sz w:val="18"/>
      <w:szCs w:val="26"/>
    </w:rPr>
  </w:style>
  <w:style w:type="character" w:customStyle="1" w:styleId="Heading3Char">
    <w:name w:val="Heading 3 Char"/>
    <w:basedOn w:val="DefaultParagraphFont"/>
    <w:link w:val="Heading3"/>
    <w:uiPriority w:val="9"/>
    <w:rsid w:val="00111D1D"/>
    <w:rPr>
      <w:rFonts w:ascii="Arial" w:eastAsiaTheme="majorEastAsia" w:hAnsi="Arial" w:cstheme="majorBidi"/>
      <w:bCs/>
      <w:color w:val="003466"/>
      <w:sz w:val="18"/>
    </w:rPr>
  </w:style>
  <w:style w:type="paragraph" w:styleId="Header">
    <w:name w:val="header"/>
    <w:basedOn w:val="Normal"/>
    <w:link w:val="HeaderChar"/>
    <w:unhideWhenUsed/>
    <w:rsid w:val="00EF7B96"/>
    <w:pPr>
      <w:tabs>
        <w:tab w:val="center" w:pos="4513"/>
        <w:tab w:val="right" w:pos="9026"/>
      </w:tabs>
      <w:spacing w:line="240" w:lineRule="auto"/>
    </w:pPr>
  </w:style>
  <w:style w:type="paragraph" w:styleId="Footer">
    <w:name w:val="footer"/>
    <w:basedOn w:val="Normal"/>
    <w:link w:val="FooterChar"/>
    <w:uiPriority w:val="99"/>
    <w:unhideWhenUsed/>
    <w:rsid w:val="008E5277"/>
    <w:pPr>
      <w:tabs>
        <w:tab w:val="center" w:pos="4513"/>
        <w:tab w:val="right" w:pos="9026"/>
      </w:tabs>
      <w:spacing w:line="240" w:lineRule="auto"/>
    </w:pPr>
  </w:style>
  <w:style w:type="character" w:customStyle="1" w:styleId="FooterChar">
    <w:name w:val="Footer Char"/>
    <w:basedOn w:val="DefaultParagraphFont"/>
    <w:link w:val="Footer"/>
    <w:uiPriority w:val="99"/>
    <w:rsid w:val="008E5277"/>
    <w:rPr>
      <w:rFonts w:ascii="Arial" w:hAnsi="Arial"/>
      <w:sz w:val="18"/>
    </w:rPr>
  </w:style>
  <w:style w:type="character" w:customStyle="1" w:styleId="HeaderChar">
    <w:name w:val="Header Char"/>
    <w:basedOn w:val="DefaultParagraphFont"/>
    <w:link w:val="Header"/>
    <w:uiPriority w:val="99"/>
    <w:rsid w:val="008E5277"/>
    <w:rPr>
      <w:rFonts w:ascii="Arial" w:hAnsi="Arial"/>
      <w:sz w:val="18"/>
    </w:rPr>
  </w:style>
  <w:style w:type="paragraph" w:styleId="BalloonText">
    <w:name w:val="Balloon Text"/>
    <w:basedOn w:val="Normal"/>
    <w:link w:val="BalloonTextChar"/>
    <w:uiPriority w:val="99"/>
    <w:semiHidden/>
    <w:unhideWhenUsed/>
    <w:rsid w:val="004E11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BA"/>
    <w:rPr>
      <w:rFonts w:ascii="Tahoma" w:hAnsi="Tahoma" w:cs="Tahoma"/>
      <w:sz w:val="16"/>
      <w:szCs w:val="16"/>
    </w:rPr>
  </w:style>
  <w:style w:type="paragraph" w:customStyle="1" w:styleId="Normal200">
    <w:name w:val="Normal_2_0_0"/>
    <w:qFormat/>
    <w:rsid w:val="000D6DFC"/>
    <w:pPr>
      <w:spacing w:after="0" w:line="240" w:lineRule="auto"/>
    </w:pPr>
    <w:rPr>
      <w:rFonts w:ascii="Arial" w:eastAsia="Arial" w:hAnsi="Arial" w:cs="Arial"/>
      <w:sz w:val="16"/>
      <w:szCs w:val="24"/>
      <w:lang w:eastAsia="en-GB"/>
    </w:rPr>
  </w:style>
  <w:style w:type="table" w:styleId="TableGrid">
    <w:name w:val="Table Grid"/>
    <w:basedOn w:val="TableNormal"/>
    <w:uiPriority w:val="59"/>
    <w:rsid w:val="006E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32B"/>
    <w:pPr>
      <w:spacing w:after="200"/>
      <w:ind w:left="720"/>
      <w:contextualSpacing/>
    </w:pPr>
    <w:rPr>
      <w:rFonts w:asciiTheme="minorHAnsi" w:hAnsiTheme="minorHAnsi"/>
      <w:sz w:val="22"/>
    </w:rPr>
  </w:style>
  <w:style w:type="table" w:customStyle="1" w:styleId="table">
    <w:name w:val="table"/>
    <w:basedOn w:val="TableNormal"/>
    <w:rsid w:val="00C752E3"/>
    <w:tblPr/>
  </w:style>
  <w:style w:type="character" w:customStyle="1" w:styleId="font30">
    <w:name w:val="font30"/>
    <w:basedOn w:val="DefaultParagraphFont"/>
    <w:rPr>
      <w:rFonts w:ascii="Arial" w:eastAsia="Arial" w:hAnsi="Arial" w:cs="Arial"/>
      <w:b w:val="0"/>
      <w:bCs w:val="0"/>
      <w:i w:val="0"/>
      <w:iCs w:val="0"/>
      <w:color w:val="000000"/>
      <w:sz w:val="16"/>
      <w:szCs w:val="16"/>
    </w:rPr>
  </w:style>
  <w:style w:type="character" w:customStyle="1" w:styleId="font69">
    <w:name w:val="font69"/>
    <w:basedOn w:val="DefaultParagraphFont"/>
    <w:rPr>
      <w:rFonts w:ascii="Arial" w:eastAsia="Arial" w:hAnsi="Arial" w:cs="Arial"/>
      <w:b w:val="0"/>
      <w:bCs w:val="0"/>
      <w:i w:val="0"/>
      <w:iCs w:val="0"/>
      <w:color w:val="000000"/>
      <w:sz w:val="12"/>
      <w:szCs w:val="12"/>
    </w:rPr>
  </w:style>
  <w:style w:type="character" w:customStyle="1" w:styleId="font2">
    <w:name w:val="font2"/>
    <w:basedOn w:val="DefaultParagraphFont"/>
    <w:rsid w:val="00C752E3"/>
    <w:rPr>
      <w:rFonts w:ascii="Arial" w:eastAsia="Arial" w:hAnsi="Arial" w:cs="Arial"/>
      <w:b w:val="0"/>
      <w:bCs w:val="0"/>
      <w:i w:val="0"/>
      <w:iCs w:val="0"/>
      <w:color w:val="000000"/>
      <w:sz w:val="16"/>
      <w:szCs w:val="16"/>
    </w:rPr>
  </w:style>
  <w:style w:type="character" w:customStyle="1" w:styleId="font4">
    <w:name w:val="font4"/>
    <w:basedOn w:val="DefaultParagraphFont"/>
    <w:rPr>
      <w:rFonts w:ascii="Arial" w:eastAsia="Arial" w:hAnsi="Arial" w:cs="Arial"/>
      <w:b w:val="0"/>
      <w:bCs w:val="0"/>
      <w:i w:val="0"/>
      <w:iCs w:val="0"/>
      <w:color w:val="000000"/>
      <w:sz w:val="12"/>
      <w:szCs w:val="12"/>
    </w:rPr>
  </w:style>
  <w:style w:type="paragraph" w:customStyle="1" w:styleId="Normal201">
    <w:name w:val="Normal_2_0_1"/>
    <w:basedOn w:val="Normal"/>
    <w:qFormat/>
    <w:rsid w:val="003D5085"/>
    <w:pPr>
      <w:spacing w:line="240" w:lineRule="auto"/>
    </w:pPr>
    <w:rPr>
      <w:rFonts w:cs="Arial"/>
      <w:sz w:val="16"/>
      <w:szCs w:val="16"/>
      <w:lang w:eastAsia="en-GB"/>
    </w:rPr>
  </w:style>
  <w:style w:type="paragraph" w:customStyle="1" w:styleId="ListParagraph0">
    <w:name w:val="List Paragraph_0"/>
    <w:basedOn w:val="Normal"/>
    <w:uiPriority w:val="34"/>
    <w:qFormat/>
    <w:rsid w:val="001A08BA"/>
    <w:pPr>
      <w:ind w:left="720"/>
      <w:contextualSpacing/>
    </w:pPr>
  </w:style>
  <w:style w:type="character" w:customStyle="1" w:styleId="font300">
    <w:name w:val="font3_0"/>
    <w:basedOn w:val="DefaultParagraphFont"/>
    <w:rPr>
      <w:rFonts w:ascii="Arial" w:eastAsia="Arial" w:hAnsi="Arial" w:cs="Arial"/>
      <w:b w:val="0"/>
      <w:bCs w:val="0"/>
      <w:i w:val="0"/>
      <w:iCs w:val="0"/>
      <w:color w:val="000000"/>
      <w:sz w:val="12"/>
      <w:szCs w:val="12"/>
    </w:rPr>
  </w:style>
  <w:style w:type="character" w:customStyle="1" w:styleId="font183">
    <w:name w:val="font183"/>
    <w:basedOn w:val="DefaultParagraphFont"/>
    <w:rPr>
      <w:rFonts w:ascii="Arial" w:eastAsia="Arial" w:hAnsi="Arial" w:cs="Arial"/>
      <w:b w:val="0"/>
      <w:bCs w:val="0"/>
      <w:i/>
      <w:iCs/>
      <w:color w:val="000000"/>
      <w:sz w:val="16"/>
      <w:szCs w:val="16"/>
    </w:rPr>
  </w:style>
  <w:style w:type="character" w:customStyle="1" w:styleId="font186">
    <w:name w:val="font186"/>
    <w:basedOn w:val="DefaultParagraphFont"/>
    <w:rPr>
      <w:rFonts w:ascii="Arial" w:eastAsia="Arial" w:hAnsi="Arial" w:cs="Arial"/>
      <w:b w:val="0"/>
      <w:bCs w:val="0"/>
      <w:i/>
      <w:iCs/>
      <w:color w:val="000000"/>
      <w:sz w:val="12"/>
      <w:szCs w:val="12"/>
    </w:rPr>
  </w:style>
  <w:style w:type="character" w:customStyle="1" w:styleId="font800">
    <w:name w:val="font8_0_0"/>
    <w:basedOn w:val="DefaultParagraphFont"/>
    <w:rPr>
      <w:rFonts w:ascii="Arial" w:eastAsia="Arial" w:hAnsi="Arial" w:cs="Arial"/>
      <w:b/>
      <w:bCs/>
      <w:i w:val="0"/>
      <w:iCs w:val="0"/>
      <w:color w:val="000000"/>
      <w:sz w:val="16"/>
      <w:szCs w:val="16"/>
    </w:rPr>
  </w:style>
  <w:style w:type="character" w:customStyle="1" w:styleId="font7">
    <w:name w:val="font7"/>
    <w:basedOn w:val="DefaultParagraphFont"/>
    <w:rPr>
      <w:rFonts w:ascii="Arial" w:eastAsia="Arial" w:hAnsi="Arial" w:cs="Arial"/>
      <w:b w:val="0"/>
      <w:bCs w:val="0"/>
      <w:i w:val="0"/>
      <w:iCs w:val="0"/>
      <w:color w:val="000000"/>
      <w:sz w:val="12"/>
      <w:szCs w:val="12"/>
    </w:rPr>
  </w:style>
  <w:style w:type="character" w:customStyle="1" w:styleId="font60">
    <w:name w:val="font6_0"/>
    <w:basedOn w:val="DefaultParagraphFont"/>
    <w:rPr>
      <w:rFonts w:ascii="Arial" w:eastAsia="Arial" w:hAnsi="Arial" w:cs="Arial"/>
      <w:b w:val="0"/>
      <w:bCs w:val="0"/>
      <w:i w:val="0"/>
      <w:iCs w:val="0"/>
      <w:color w:val="000000"/>
      <w:sz w:val="16"/>
      <w:szCs w:val="16"/>
    </w:rPr>
  </w:style>
  <w:style w:type="character" w:customStyle="1" w:styleId="font8600">
    <w:name w:val="font86_0_0"/>
    <w:basedOn w:val="DefaultParagraphFont"/>
    <w:rPr>
      <w:rFonts w:ascii="Arial" w:eastAsia="Arial" w:hAnsi="Arial" w:cs="Arial"/>
      <w:b/>
      <w:bCs/>
      <w:i w:val="0"/>
      <w:iCs w:val="0"/>
      <w:color w:val="5E10B1"/>
      <w:sz w:val="16"/>
      <w:szCs w:val="16"/>
    </w:rPr>
  </w:style>
  <w:style w:type="character" w:customStyle="1" w:styleId="font87">
    <w:name w:val="font87"/>
    <w:basedOn w:val="DefaultParagraphFont"/>
    <w:rPr>
      <w:rFonts w:ascii="Arial" w:eastAsia="Arial" w:hAnsi="Arial" w:cs="Arial"/>
      <w:b w:val="0"/>
      <w:bCs w:val="0"/>
      <w:i w:val="0"/>
      <w:iCs w:val="0"/>
      <w:color w:val="5E10B1"/>
      <w:sz w:val="12"/>
      <w:szCs w:val="12"/>
    </w:rPr>
  </w:style>
  <w:style w:type="character" w:customStyle="1" w:styleId="font40">
    <w:name w:val="font4_0"/>
    <w:basedOn w:val="DefaultParagraphFont"/>
    <w:rsid w:val="00132D6A"/>
    <w:rPr>
      <w:rFonts w:ascii="Arial" w:eastAsia="Arial" w:hAnsi="Arial" w:cs="Arial"/>
      <w:b w:val="0"/>
      <w:bCs w:val="0"/>
      <w:i w:val="0"/>
      <w:iCs w:val="0"/>
      <w:color w:val="000000"/>
      <w:sz w:val="16"/>
      <w:szCs w:val="16"/>
    </w:rPr>
  </w:style>
  <w:style w:type="paragraph" w:customStyle="1" w:styleId="Heading30100000">
    <w:name w:val="Heading 3_0_1_0_0_0_0_0"/>
    <w:basedOn w:val="Normal"/>
    <w:link w:val="CharChar1000000"/>
    <w:rsid w:val="00290F8F"/>
    <w:pPr>
      <w:keepNext/>
      <w:spacing w:line="220" w:lineRule="exact"/>
    </w:pPr>
    <w:rPr>
      <w:rFonts w:ascii="Arial Bold" w:hAnsi="Arial Bold"/>
      <w:b/>
      <w:bCs/>
      <w:color w:val="5FADE1"/>
      <w:sz w:val="22"/>
      <w:lang w:eastAsia="zh-CN"/>
    </w:rPr>
  </w:style>
  <w:style w:type="character" w:customStyle="1" w:styleId="CharChar1000000">
    <w:name w:val="Char Char1_0_0_0_0_0_0"/>
    <w:basedOn w:val="DefaultParagraphFont"/>
    <w:link w:val="Heading30100000"/>
    <w:locked/>
    <w:rsid w:val="00290F8F"/>
    <w:rPr>
      <w:rFonts w:ascii="Arial Bold" w:hAnsi="Arial Bold"/>
      <w:b/>
      <w:bCs/>
      <w:color w:val="5FADE1"/>
      <w:lang w:eastAsia="zh-CN"/>
    </w:rPr>
  </w:style>
  <w:style w:type="character" w:customStyle="1" w:styleId="font720">
    <w:name w:val="font7_2_0"/>
    <w:basedOn w:val="DefaultParagraphFont"/>
    <w:rPr>
      <w:rFonts w:ascii="Arial" w:eastAsia="Arial" w:hAnsi="Arial" w:cs="Arial"/>
      <w:b w:val="0"/>
      <w:bCs w:val="0"/>
      <w:i w:val="0"/>
      <w:iCs w:val="0"/>
      <w:color w:val="000000"/>
      <w:sz w:val="16"/>
      <w:szCs w:val="16"/>
    </w:rPr>
  </w:style>
  <w:style w:type="character" w:customStyle="1" w:styleId="font16">
    <w:name w:val="font16"/>
    <w:basedOn w:val="DefaultParagraphFont"/>
    <w:rsid w:val="00374012"/>
    <w:rPr>
      <w:rFonts w:ascii="Arial" w:eastAsia="Arial" w:hAnsi="Arial" w:cs="Arial"/>
      <w:b w:val="0"/>
      <w:bCs w:val="0"/>
      <w:i w:val="0"/>
      <w:iCs w:val="0"/>
      <w:color w:val="000000"/>
      <w:sz w:val="12"/>
      <w:szCs w:val="12"/>
    </w:rPr>
  </w:style>
  <w:style w:type="character" w:customStyle="1" w:styleId="font400">
    <w:name w:val="font4_0_0"/>
    <w:basedOn w:val="DefaultParagraphFont"/>
    <w:rPr>
      <w:rFonts w:ascii="Arial" w:eastAsia="Arial" w:hAnsi="Arial" w:cs="Arial"/>
      <w:b/>
      <w:bCs/>
      <w:i w:val="0"/>
      <w:iCs w:val="0"/>
      <w:color w:val="000000"/>
      <w:sz w:val="16"/>
      <w:szCs w:val="16"/>
    </w:rPr>
  </w:style>
  <w:style w:type="character" w:customStyle="1" w:styleId="font510">
    <w:name w:val="font5_1_0"/>
    <w:basedOn w:val="DefaultParagraphFont"/>
    <w:rPr>
      <w:rFonts w:ascii="Arial" w:eastAsia="Arial" w:hAnsi="Arial" w:cs="Arial"/>
      <w:b w:val="0"/>
      <w:bCs w:val="0"/>
      <w:i w:val="0"/>
      <w:iCs w:val="0"/>
      <w:color w:val="5E10B1"/>
      <w:sz w:val="16"/>
      <w:szCs w:val="16"/>
    </w:rPr>
  </w:style>
  <w:style w:type="character" w:customStyle="1" w:styleId="font20">
    <w:name w:val="font2_0"/>
    <w:basedOn w:val="DefaultParagraphFont"/>
    <w:rsid w:val="00092F94"/>
    <w:rPr>
      <w:rFonts w:ascii="Arial" w:eastAsia="Arial" w:hAnsi="Arial" w:cs="Arial"/>
      <w:b w:val="0"/>
      <w:bCs w:val="0"/>
      <w:i w:val="0"/>
      <w:iCs w:val="0"/>
      <w:color w:val="5E10B1"/>
      <w:sz w:val="12"/>
      <w:szCs w:val="12"/>
    </w:rPr>
  </w:style>
  <w:style w:type="character" w:customStyle="1" w:styleId="font31">
    <w:name w:val="font3_1"/>
    <w:basedOn w:val="DefaultParagraphFont"/>
    <w:rsid w:val="00092F94"/>
    <w:rPr>
      <w:rFonts w:ascii="Arial" w:eastAsia="Arial" w:hAnsi="Arial" w:cs="Arial"/>
      <w:b/>
      <w:bCs/>
      <w:i w:val="0"/>
      <w:iCs w:val="0"/>
      <w:color w:val="5E10B1"/>
      <w:sz w:val="12"/>
      <w:szCs w:val="12"/>
    </w:rPr>
  </w:style>
  <w:style w:type="character" w:customStyle="1" w:styleId="font9">
    <w:name w:val="font9"/>
    <w:basedOn w:val="DefaultParagraphFont"/>
    <w:rsid w:val="00092F94"/>
    <w:rPr>
      <w:rFonts w:ascii="Arial" w:eastAsia="Arial" w:hAnsi="Arial" w:cs="Arial"/>
      <w:b w:val="0"/>
      <w:bCs w:val="0"/>
      <w:i/>
      <w:iCs/>
      <w:color w:val="000000"/>
      <w:sz w:val="16"/>
      <w:szCs w:val="16"/>
    </w:rPr>
  </w:style>
  <w:style w:type="character" w:customStyle="1" w:styleId="font1020">
    <w:name w:val="font10_2_0"/>
    <w:basedOn w:val="DefaultParagraphFont"/>
    <w:rPr>
      <w:rFonts w:ascii="Arial" w:eastAsia="Arial" w:hAnsi="Arial" w:cs="Arial"/>
      <w:b w:val="0"/>
      <w:bCs w:val="0"/>
      <w:i/>
      <w:iCs/>
      <w:color w:val="000000"/>
      <w:sz w:val="12"/>
      <w:szCs w:val="12"/>
    </w:rPr>
  </w:style>
  <w:style w:type="character" w:customStyle="1" w:styleId="font61">
    <w:name w:val="font6_1"/>
    <w:basedOn w:val="DefaultParagraphFont"/>
    <w:rPr>
      <w:rFonts w:ascii="Arial" w:eastAsia="Arial" w:hAnsi="Arial" w:cs="Arial"/>
      <w:b/>
      <w:bCs/>
      <w:i w:val="0"/>
      <w:iCs w:val="0"/>
      <w:color w:val="5E10B1"/>
      <w:sz w:val="16"/>
      <w:szCs w:val="16"/>
    </w:rPr>
  </w:style>
  <w:style w:type="character" w:customStyle="1" w:styleId="font41">
    <w:name w:val="font4_1"/>
    <w:basedOn w:val="DefaultParagraphFont"/>
    <w:rPr>
      <w:rFonts w:ascii="Arial" w:eastAsia="Arial" w:hAnsi="Arial" w:cs="Arial"/>
      <w:b/>
      <w:bCs/>
      <w:i w:val="0"/>
      <w:iCs w:val="0"/>
      <w:color w:val="5E10B1"/>
      <w:sz w:val="12"/>
      <w:szCs w:val="12"/>
    </w:rPr>
  </w:style>
  <w:style w:type="character" w:customStyle="1" w:styleId="font700">
    <w:name w:val="font7_0_0"/>
    <w:basedOn w:val="DefaultParagraphFont"/>
    <w:rPr>
      <w:rFonts w:ascii="Arial" w:eastAsia="Arial" w:hAnsi="Arial" w:cs="Arial"/>
      <w:b/>
      <w:bCs/>
      <w:i w:val="0"/>
      <w:iCs w:val="0"/>
      <w:color w:val="000000"/>
      <w:sz w:val="16"/>
      <w:szCs w:val="16"/>
    </w:rPr>
  </w:style>
  <w:style w:type="character" w:customStyle="1" w:styleId="font500">
    <w:name w:val="font5_0_0"/>
    <w:basedOn w:val="DefaultParagraphFont"/>
    <w:rPr>
      <w:rFonts w:ascii="Arial" w:eastAsia="Arial" w:hAnsi="Arial" w:cs="Arial"/>
      <w:b/>
      <w:bCs/>
      <w:i w:val="0"/>
      <w:iCs w:val="0"/>
      <w:color w:val="000000"/>
      <w:sz w:val="12"/>
      <w:szCs w:val="12"/>
    </w:rPr>
  </w:style>
  <w:style w:type="character" w:customStyle="1" w:styleId="font1010">
    <w:name w:val="font10_1_0"/>
    <w:basedOn w:val="DefaultParagraphFont"/>
    <w:rPr>
      <w:rFonts w:ascii="Arial" w:eastAsia="Arial" w:hAnsi="Arial" w:cs="Arial"/>
      <w:b w:val="0"/>
      <w:bCs w:val="0"/>
      <w:i/>
      <w:iCs/>
      <w:color w:val="000000"/>
      <w:sz w:val="16"/>
      <w:szCs w:val="16"/>
    </w:rPr>
  </w:style>
  <w:style w:type="character" w:customStyle="1" w:styleId="font1300">
    <w:name w:val="font13_0_0"/>
    <w:basedOn w:val="DefaultParagraphFont"/>
    <w:rPr>
      <w:rFonts w:ascii="Arial" w:eastAsia="Arial" w:hAnsi="Arial" w:cs="Arial"/>
      <w:b w:val="0"/>
      <w:bCs w:val="0"/>
      <w:i/>
      <w:iCs/>
      <w:color w:val="000000"/>
      <w:sz w:val="12"/>
      <w:szCs w:val="12"/>
    </w:rPr>
  </w:style>
  <w:style w:type="character" w:customStyle="1" w:styleId="font16400">
    <w:name w:val="font164_0_0"/>
    <w:basedOn w:val="DefaultParagraphFont"/>
    <w:rPr>
      <w:rFonts w:ascii="Arial" w:eastAsia="Arial" w:hAnsi="Arial" w:cs="Arial"/>
      <w:b w:val="0"/>
      <w:bCs w:val="0"/>
      <w:i w:val="0"/>
      <w:iCs w:val="0"/>
      <w:color w:val="000000"/>
      <w:sz w:val="12"/>
      <w:szCs w:val="12"/>
    </w:rPr>
  </w:style>
  <w:style w:type="character" w:customStyle="1" w:styleId="font162">
    <w:name w:val="font162"/>
    <w:basedOn w:val="DefaultParagraphFont"/>
    <w:rPr>
      <w:rFonts w:ascii="Arial" w:eastAsia="Arial" w:hAnsi="Arial" w:cs="Arial"/>
      <w:b/>
      <w:bCs/>
      <w:i w:val="0"/>
      <w:iCs w:val="0"/>
      <w:color w:val="5E10B1"/>
      <w:sz w:val="16"/>
      <w:szCs w:val="16"/>
    </w:rPr>
  </w:style>
  <w:style w:type="character" w:customStyle="1" w:styleId="font16500">
    <w:name w:val="font165_0_0"/>
    <w:basedOn w:val="DefaultParagraphFont"/>
    <w:rPr>
      <w:rFonts w:ascii="Arial" w:eastAsia="Arial" w:hAnsi="Arial" w:cs="Arial"/>
      <w:b w:val="0"/>
      <w:bCs w:val="0"/>
      <w:i w:val="0"/>
      <w:iCs w:val="0"/>
      <w:color w:val="5E10B1"/>
      <w:sz w:val="16"/>
      <w:szCs w:val="16"/>
    </w:rPr>
  </w:style>
  <w:style w:type="paragraph" w:customStyle="1" w:styleId="GCAHeader">
    <w:name w:val="~ GCA Header"/>
    <w:link w:val="GCAHeaderChar"/>
    <w:rsid w:val="00F57394"/>
    <w:pPr>
      <w:spacing w:after="0" w:line="288" w:lineRule="auto"/>
    </w:pPr>
    <w:rPr>
      <w:rFonts w:ascii="Arial" w:eastAsia="Times New Roman" w:hAnsi="Arial" w:cs="Arial"/>
      <w:b/>
      <w:color w:val="003366"/>
      <w:sz w:val="20"/>
      <w:szCs w:val="20"/>
      <w:lang w:eastAsia="ja-JP"/>
    </w:rPr>
  </w:style>
  <w:style w:type="character" w:customStyle="1" w:styleId="GCAHeaderChar">
    <w:name w:val="~ GCA Header Char"/>
    <w:link w:val="GCAHeader"/>
    <w:locked/>
    <w:rsid w:val="00F57394"/>
    <w:rPr>
      <w:rFonts w:ascii="Arial" w:eastAsia="Times New Roman" w:hAnsi="Arial" w:cs="Arial"/>
      <w:b/>
      <w:color w:val="003366"/>
      <w:sz w:val="20"/>
      <w:szCs w:val="20"/>
      <w:lang w:eastAsia="ja-JP"/>
    </w:rPr>
  </w:style>
  <w:style w:type="character" w:customStyle="1" w:styleId="font70">
    <w:name w:val="font7_0"/>
    <w:basedOn w:val="DefaultParagraphFont"/>
    <w:rsid w:val="00CF2893"/>
    <w:rPr>
      <w:rFonts w:ascii="Arial" w:eastAsia="Arial" w:hAnsi="Arial" w:cs="Arial"/>
      <w:b w:val="0"/>
      <w:bCs w:val="0"/>
      <w:i w:val="0"/>
      <w:iCs w:val="0"/>
      <w:color w:val="FF0000"/>
      <w:sz w:val="16"/>
      <w:szCs w:val="16"/>
    </w:rPr>
  </w:style>
  <w:style w:type="character" w:customStyle="1" w:styleId="font80">
    <w:name w:val="font8_0"/>
    <w:basedOn w:val="DefaultParagraphFont"/>
    <w:rPr>
      <w:rFonts w:ascii="Arial" w:eastAsia="Arial" w:hAnsi="Arial" w:cs="Arial"/>
      <w:b/>
      <w:bCs/>
      <w:i w:val="0"/>
      <w:iCs w:val="0"/>
      <w:color w:val="000000"/>
      <w:sz w:val="12"/>
      <w:szCs w:val="12"/>
    </w:rPr>
  </w:style>
  <w:style w:type="character" w:customStyle="1" w:styleId="font1210">
    <w:name w:val="font12_1_0"/>
    <w:basedOn w:val="DefaultParagraphFont"/>
    <w:rPr>
      <w:rFonts w:ascii="Arial" w:eastAsia="Arial" w:hAnsi="Arial" w:cs="Arial"/>
      <w:b w:val="0"/>
      <w:bCs w:val="0"/>
      <w:i w:val="0"/>
      <w:iCs w:val="0"/>
      <w:color w:val="000000"/>
      <w:sz w:val="12"/>
      <w:szCs w:val="12"/>
    </w:rPr>
  </w:style>
  <w:style w:type="character" w:customStyle="1" w:styleId="font50">
    <w:name w:val="font5_0"/>
    <w:basedOn w:val="DefaultParagraphFont"/>
    <w:rPr>
      <w:rFonts w:ascii="Arial" w:eastAsia="Arial" w:hAnsi="Arial" w:cs="Arial"/>
      <w:b w:val="0"/>
      <w:bCs w:val="0"/>
      <w:i w:val="0"/>
      <w:iCs w:val="0"/>
      <w:color w:val="000000"/>
      <w:sz w:val="14"/>
      <w:szCs w:val="14"/>
    </w:rPr>
  </w:style>
  <w:style w:type="paragraph" w:customStyle="1" w:styleId="GCAHeaderUnderline">
    <w:name w:val="~ GCA Header Underline"/>
    <w:link w:val="GCAHeaderUnderlineChar"/>
    <w:rsid w:val="0021583F"/>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
    <w:name w:val="~ GCA Header Underline Char"/>
    <w:link w:val="GCAHeaderUnderline"/>
    <w:locked/>
    <w:rsid w:val="0021583F"/>
    <w:rPr>
      <w:rFonts w:ascii="Arial" w:eastAsia="Times New Roman" w:hAnsi="Arial" w:cs="Arial"/>
      <w:b/>
      <w:color w:val="003366"/>
      <w:sz w:val="20"/>
      <w:szCs w:val="20"/>
      <w:lang w:eastAsia="ja-JP"/>
    </w:rPr>
  </w:style>
  <w:style w:type="paragraph" w:customStyle="1" w:styleId="Normal6600">
    <w:name w:val="Normal_66_0_0"/>
    <w:rsid w:val="005A2DE7"/>
    <w:pPr>
      <w:spacing w:after="0" w:line="240" w:lineRule="auto"/>
    </w:pPr>
    <w:rPr>
      <w:rFonts w:ascii="Times New Roman" w:eastAsia="Times New Roman" w:hAnsi="Times New Roman" w:cs="Times New Roman"/>
      <w:sz w:val="24"/>
      <w:szCs w:val="20"/>
      <w:lang w:eastAsia="ja-JP"/>
    </w:rPr>
  </w:style>
  <w:style w:type="paragraph" w:customStyle="1" w:styleId="StyleArial8pt00">
    <w:name w:val="Style Arial 8 pt_0_0"/>
    <w:link w:val="StyleArial8ptCharChar00"/>
    <w:autoRedefine/>
    <w:rsid w:val="00081630"/>
    <w:pPr>
      <w:spacing w:after="0" w:line="220" w:lineRule="exact"/>
    </w:pPr>
    <w:rPr>
      <w:rFonts w:ascii="Arial" w:eastAsia="Times New Roman" w:hAnsi="Arial" w:cs="Arial"/>
      <w:color w:val="5E10B1"/>
      <w:sz w:val="18"/>
      <w:szCs w:val="18"/>
      <w:lang w:eastAsia="ja-JP"/>
    </w:rPr>
  </w:style>
  <w:style w:type="character" w:customStyle="1" w:styleId="StyleArial8ptCharChar00">
    <w:name w:val="Style Arial 8 pt Char Char_0_0"/>
    <w:link w:val="StyleArial8pt00"/>
    <w:locked/>
    <w:rsid w:val="00081630"/>
    <w:rPr>
      <w:rFonts w:ascii="Arial" w:eastAsia="Times New Roman" w:hAnsi="Arial" w:cs="Arial"/>
      <w:color w:val="5E10B1"/>
      <w:sz w:val="18"/>
      <w:szCs w:val="18"/>
      <w:lang w:eastAsia="ja-JP"/>
    </w:rPr>
  </w:style>
  <w:style w:type="character" w:styleId="Hyperlink">
    <w:name w:val="Hyperlink"/>
    <w:basedOn w:val="DefaultParagraphFont"/>
    <w:uiPriority w:val="99"/>
    <w:unhideWhenUsed/>
    <w:rsid w:val="00C910F3"/>
    <w:rPr>
      <w:color w:val="0000FF" w:themeColor="hyperlink"/>
      <w:u w:val="single"/>
    </w:rPr>
  </w:style>
  <w:style w:type="paragraph" w:customStyle="1" w:styleId="GCAHeader1140">
    <w:name w:val="~ GCA Header_11_4_0"/>
    <w:link w:val="GCAHeaderChar1140"/>
    <w:rsid w:val="00D0035B"/>
    <w:pPr>
      <w:spacing w:after="0" w:line="288" w:lineRule="auto"/>
    </w:pPr>
    <w:rPr>
      <w:rFonts w:ascii="Arial" w:hAnsi="Arial" w:cs="Arial"/>
      <w:b/>
      <w:color w:val="003366"/>
      <w:lang w:eastAsia="ja-JP"/>
    </w:rPr>
  </w:style>
  <w:style w:type="character" w:customStyle="1" w:styleId="GCAHeaderChar1140">
    <w:name w:val="~ GCA Header Char_11_4_0"/>
    <w:link w:val="GCAHeader1140"/>
    <w:locked/>
    <w:rsid w:val="00D0035B"/>
    <w:rPr>
      <w:rFonts w:ascii="Arial" w:hAnsi="Arial" w:cs="Arial"/>
      <w:b/>
      <w:color w:val="003366"/>
      <w:lang w:eastAsia="ja-JP"/>
    </w:rPr>
  </w:style>
  <w:style w:type="paragraph" w:customStyle="1" w:styleId="GCATitlePageText00">
    <w:name w:val="~ GCA Title Page Text_0_0"/>
    <w:rsid w:val="007561B2"/>
    <w:pPr>
      <w:spacing w:after="0" w:line="240" w:lineRule="auto"/>
      <w:jc w:val="center"/>
    </w:pPr>
    <w:rPr>
      <w:rFonts w:ascii="Arial" w:eastAsia="MS Mincho" w:hAnsi="Arial" w:cs="Times New Roman"/>
      <w:color w:val="003366"/>
      <w:sz w:val="64"/>
      <w:szCs w:val="20"/>
      <w:lang w:eastAsia="ja-JP"/>
    </w:rPr>
  </w:style>
  <w:style w:type="paragraph" w:customStyle="1" w:styleId="Heading100">
    <w:name w:val="Heading 1_0_0"/>
    <w:qFormat/>
    <w:rsid w:val="007561B2"/>
    <w:pPr>
      <w:keepNext/>
      <w:pBdr>
        <w:bottom w:val="single" w:sz="4" w:space="1" w:color="003366"/>
      </w:pBdr>
      <w:spacing w:after="0" w:line="288" w:lineRule="auto"/>
      <w:outlineLvl w:val="0"/>
    </w:pPr>
    <w:rPr>
      <w:rFonts w:ascii="Arial" w:eastAsia="Times New Roman" w:hAnsi="Arial" w:cs="Times New Roman"/>
      <w:color w:val="003366"/>
      <w:sz w:val="20"/>
      <w:szCs w:val="20"/>
      <w:lang w:eastAsia="ja-JP"/>
    </w:rPr>
  </w:style>
  <w:style w:type="character" w:customStyle="1" w:styleId="font51">
    <w:name w:val="font5_1"/>
    <w:basedOn w:val="DefaultParagraphFont"/>
    <w:rPr>
      <w:rFonts w:ascii="Arial" w:eastAsia="Arial" w:hAnsi="Arial" w:cs="Arial"/>
      <w:b/>
      <w:bCs/>
      <w:i w:val="0"/>
      <w:iCs w:val="0"/>
      <w:color w:val="5E10B1"/>
      <w:sz w:val="16"/>
      <w:szCs w:val="16"/>
    </w:rPr>
  </w:style>
  <w:style w:type="character" w:customStyle="1" w:styleId="font90">
    <w:name w:val="font9_0"/>
    <w:basedOn w:val="DefaultParagraphFont"/>
    <w:rPr>
      <w:rFonts w:ascii="Arial" w:eastAsia="Arial" w:hAnsi="Arial" w:cs="Arial"/>
      <w:b w:val="0"/>
      <w:bCs w:val="0"/>
      <w:i w:val="0"/>
      <w:iCs w:val="0"/>
      <w:color w:val="5E10B1"/>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header" Target="header30.xml"/><Relationship Id="rId76" Type="http://schemas.openxmlformats.org/officeDocument/2006/relationships/header" Target="header33.xml"/><Relationship Id="rId84" Type="http://schemas.openxmlformats.org/officeDocument/2006/relationships/header" Target="header37.xml"/><Relationship Id="rId89" Type="http://schemas.openxmlformats.org/officeDocument/2006/relationships/footer" Target="footer39.xml"/><Relationship Id="rId7" Type="http://schemas.openxmlformats.org/officeDocument/2006/relationships/footnotes" Target="footnotes.xml"/><Relationship Id="rId71" Type="http://schemas.openxmlformats.org/officeDocument/2006/relationships/hyperlink" Target="http://www.natwestgroup.com/results"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footer" Target="footer31.xml"/><Relationship Id="rId79" Type="http://schemas.openxmlformats.org/officeDocument/2006/relationships/header" Target="header35.xml"/><Relationship Id="rId87" Type="http://schemas.openxmlformats.org/officeDocument/2006/relationships/footer" Target="footer38.xml"/><Relationship Id="rId5" Type="http://schemas.openxmlformats.org/officeDocument/2006/relationships/settings" Target="settings.xml"/><Relationship Id="rId61" Type="http://schemas.openxmlformats.org/officeDocument/2006/relationships/footer" Target="footer26.xml"/><Relationship Id="rId82" Type="http://schemas.openxmlformats.org/officeDocument/2006/relationships/header" Target="header36.xml"/><Relationship Id="rId90"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footer" Target="footer33.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31.xml"/><Relationship Id="rId80" Type="http://schemas.openxmlformats.org/officeDocument/2006/relationships/footer" Target="footer34.xml"/><Relationship Id="rId85" Type="http://schemas.openxmlformats.org/officeDocument/2006/relationships/header" Target="header38.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yperlink" Target="https://investors.natwestgroup.com/results-centre" TargetMode="External"/><Relationship Id="rId75" Type="http://schemas.openxmlformats.org/officeDocument/2006/relationships/footer" Target="footer32.xml"/><Relationship Id="rId83" Type="http://schemas.openxmlformats.org/officeDocument/2006/relationships/footer" Target="footer36.xml"/><Relationship Id="rId88" Type="http://schemas.openxmlformats.org/officeDocument/2006/relationships/header" Target="header39.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footer" Target="footer37.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item key="SV_COMMENTS_LIST_A3F0ABAB-D387-4CB1-A59F-9459101C3EB1">
      <compressed size="84">eJwdijEKgDAQBOdDgSiSw/I0vsMqpWBh4+8dZIubud3Bxc3Dy8lCmM5EpZEUdqnLxa7JISUHm9/inV2s/6JqqYf+Ae3nCpA=</compressed>
    </item>
  </generic>
</OracleSV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C0B0-4371-40D9-A1AA-76A32C7B41B9}">
  <ds:schemaRefs/>
</ds:datastoreItem>
</file>

<file path=customXml/itemProps2.xml><?xml version="1.0" encoding="utf-8"?>
<ds:datastoreItem xmlns:ds="http://schemas.openxmlformats.org/officeDocument/2006/customXml" ds:itemID="{75C64D70-C86B-485B-AC8D-D4011D02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18414</Words>
  <Characters>104962</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watsone</dc:creator>
  <cp:lastModifiedBy>watsone</cp:lastModifiedBy>
  <cp:revision>6</cp:revision>
  <dcterms:created xsi:type="dcterms:W3CDTF">2020-10-29T16:55:00Z</dcterms:created>
  <dcterms:modified xsi:type="dcterms:W3CDTF">2020-10-29T20:11:00Z</dcterms:modified>
</cp:coreProperties>
</file>