
<file path=[Content_Types].xml><?xml version="1.0" encoding="utf-8"?>
<Types xmlns="http://schemas.openxmlformats.org/package/2006/content-types">
  <Default Extension="bin" ContentType="application/vnd.ms-word.attachedToolbar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DFF5D" w14:textId="77777777" w:rsidR="0028375C" w:rsidRPr="00934520" w:rsidRDefault="002C2324" w:rsidP="002C2324">
      <w:pPr>
        <w:spacing w:before="10"/>
        <w:jc w:val="center"/>
        <w:rPr>
          <w:rFonts w:ascii="Times New Roman" w:eastAsia="Times New Roman" w:hAnsi="Times New Roman" w:cs="Times New Roman"/>
          <w:sz w:val="6"/>
          <w:szCs w:val="6"/>
          <w:lang w:val="en-GB"/>
        </w:rPr>
      </w:pPr>
      <w:r>
        <w:rPr>
          <w:b/>
          <w:noProof/>
          <w:lang w:eastAsia="zh-CN" w:bidi="he-IL"/>
        </w:rPr>
        <w:drawing>
          <wp:inline distT="0" distB="0" distL="0" distR="0" wp14:anchorId="08707253" wp14:editId="5CDE8576">
            <wp:extent cx="810228" cy="10628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WG_LOGO_ST_POS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2144" cy="1078448"/>
                    </a:xfrm>
                    <a:prstGeom prst="rect">
                      <a:avLst/>
                    </a:prstGeom>
                  </pic:spPr>
                </pic:pic>
              </a:graphicData>
            </a:graphic>
          </wp:inline>
        </w:drawing>
      </w:r>
      <w:r w:rsidR="004D1882">
        <w:rPr>
          <w:rFonts w:ascii="Times New Roman" w:eastAsia="Times New Roman" w:hAnsi="Times New Roman" w:cs="Times New Roman"/>
          <w:sz w:val="6"/>
          <w:szCs w:val="6"/>
          <w:lang w:val="en-GB"/>
        </w:rPr>
        <w:t>,</w:t>
      </w:r>
    </w:p>
    <w:p w14:paraId="693A7709" w14:textId="77777777" w:rsidR="00885888" w:rsidRDefault="00885888">
      <w:pPr>
        <w:spacing w:line="200" w:lineRule="atLeast"/>
        <w:ind w:left="9181"/>
        <w:rPr>
          <w:rFonts w:ascii="Times New Roman" w:eastAsia="Times New Roman" w:hAnsi="Times New Roman" w:cs="Times New Roman"/>
          <w:sz w:val="20"/>
          <w:szCs w:val="20"/>
        </w:rPr>
      </w:pPr>
    </w:p>
    <w:p w14:paraId="02F595D3" w14:textId="77777777" w:rsidR="0028375C" w:rsidRDefault="0028375C">
      <w:pPr>
        <w:spacing w:before="6"/>
        <w:rPr>
          <w:rFonts w:ascii="Arial" w:eastAsia="Arial" w:hAnsi="Arial" w:cs="Arial"/>
          <w:sz w:val="14"/>
          <w:szCs w:val="14"/>
        </w:rPr>
      </w:pPr>
    </w:p>
    <w:p w14:paraId="2281754E" w14:textId="77777777" w:rsidR="004F464E" w:rsidRDefault="004F464E" w:rsidP="004F464E">
      <w:pPr>
        <w:pStyle w:val="BodyText"/>
        <w:spacing w:before="71"/>
        <w:ind w:left="0" w:right="380"/>
        <w:jc w:val="right"/>
      </w:pPr>
      <w:r>
        <w:rPr>
          <w:noProof/>
          <w:lang w:eastAsia="zh-TW"/>
        </w:rPr>
        <w:t>March 30</w:t>
      </w:r>
      <w:r>
        <w:t>,</w:t>
      </w:r>
      <w:r>
        <w:rPr>
          <w:spacing w:val="-8"/>
        </w:rPr>
        <w:t xml:space="preserve"> </w:t>
      </w:r>
      <w:r>
        <w:t>2021</w:t>
      </w:r>
    </w:p>
    <w:p w14:paraId="5B7DE6E9" w14:textId="77777777" w:rsidR="004F464E" w:rsidRDefault="004F464E" w:rsidP="004F464E">
      <w:pPr>
        <w:spacing w:line="300" w:lineRule="exact"/>
        <w:rPr>
          <w:rFonts w:ascii="Arial" w:hAnsi="Arial" w:cs="Arial"/>
          <w:b/>
          <w:bCs/>
          <w:caps/>
          <w:sz w:val="28"/>
          <w:szCs w:val="28"/>
        </w:rPr>
      </w:pPr>
    </w:p>
    <w:p w14:paraId="0810649F" w14:textId="77777777" w:rsidR="004F464E" w:rsidRDefault="004F464E" w:rsidP="004F464E">
      <w:pPr>
        <w:spacing w:line="300" w:lineRule="exact"/>
        <w:rPr>
          <w:rFonts w:ascii="Arial" w:hAnsi="Arial" w:cs="Arial"/>
          <w:b/>
          <w:bCs/>
          <w:caps/>
          <w:sz w:val="28"/>
          <w:szCs w:val="28"/>
        </w:rPr>
      </w:pPr>
      <w:r>
        <w:rPr>
          <w:rFonts w:ascii="Arial" w:hAnsi="Arial" w:cs="Arial"/>
          <w:b/>
          <w:bCs/>
          <w:caps/>
          <w:sz w:val="28"/>
          <w:szCs w:val="28"/>
        </w:rPr>
        <w:t>NATWEST GROUP plc – RESULTS OF TENDER OFFERS FOR CERTAIN OF ITS OUTSTANDING NOTES</w:t>
      </w:r>
    </w:p>
    <w:p w14:paraId="77F0D16B" w14:textId="77777777" w:rsidR="004F464E" w:rsidRDefault="004F464E" w:rsidP="004F464E">
      <w:pPr>
        <w:spacing w:line="300" w:lineRule="exact"/>
        <w:rPr>
          <w:rFonts w:ascii="Arial" w:hAnsi="Arial" w:cs="Arial"/>
          <w:b/>
          <w:bCs/>
          <w:caps/>
          <w:color w:val="00714E"/>
          <w:sz w:val="28"/>
          <w:szCs w:val="28"/>
          <w:lang w:val="en-GB"/>
        </w:rPr>
      </w:pPr>
    </w:p>
    <w:p w14:paraId="6C9EF5C5" w14:textId="77777777" w:rsidR="004F464E" w:rsidRDefault="004F464E" w:rsidP="002A53C8">
      <w:pPr>
        <w:pStyle w:val="BodyText"/>
        <w:spacing w:before="238"/>
        <w:ind w:left="120" w:right="284"/>
      </w:pPr>
      <w:r>
        <w:t>NatWest Group plc (the “Offeror”) is today announcing the results of its previously announced cash tender offers (each, an “Offer” and, together, the “Offers”) for any and all of certain series of its U.S. dollar denominated notes set out in the table below (the “Notes”).</w:t>
      </w:r>
    </w:p>
    <w:p w14:paraId="2947892B" w14:textId="77777777" w:rsidR="004F464E" w:rsidRDefault="004F464E" w:rsidP="004F464E">
      <w:pPr>
        <w:pStyle w:val="BodyText"/>
        <w:spacing w:before="238"/>
        <w:ind w:left="120" w:right="284"/>
      </w:pPr>
      <w:r>
        <w:t>The</w:t>
      </w:r>
      <w:r>
        <w:rPr>
          <w:spacing w:val="-5"/>
        </w:rPr>
        <w:t xml:space="preserve"> </w:t>
      </w:r>
      <w:r>
        <w:t>Offers</w:t>
      </w:r>
      <w:r>
        <w:rPr>
          <w:spacing w:val="-4"/>
        </w:rPr>
        <w:t xml:space="preserve"> </w:t>
      </w:r>
      <w:r>
        <w:t>were</w:t>
      </w:r>
      <w:r>
        <w:rPr>
          <w:spacing w:val="-4"/>
        </w:rPr>
        <w:t xml:space="preserve"> </w:t>
      </w:r>
      <w:r>
        <w:t>made</w:t>
      </w:r>
      <w:r>
        <w:rPr>
          <w:spacing w:val="-4"/>
        </w:rPr>
        <w:t xml:space="preserve"> </w:t>
      </w:r>
      <w:r>
        <w:t>on</w:t>
      </w:r>
      <w:r>
        <w:rPr>
          <w:spacing w:val="-5"/>
        </w:rPr>
        <w:t xml:space="preserve"> </w:t>
      </w:r>
      <w:r>
        <w:t>the</w:t>
      </w:r>
      <w:r>
        <w:rPr>
          <w:spacing w:val="-4"/>
        </w:rPr>
        <w:t xml:space="preserve"> </w:t>
      </w:r>
      <w:r>
        <w:t>terms</w:t>
      </w:r>
      <w:r>
        <w:rPr>
          <w:spacing w:val="-4"/>
        </w:rPr>
        <w:t xml:space="preserve"> </w:t>
      </w:r>
      <w:r>
        <w:t>and</w:t>
      </w:r>
      <w:r>
        <w:rPr>
          <w:spacing w:val="-5"/>
        </w:rPr>
        <w:t xml:space="preserve"> </w:t>
      </w:r>
      <w:r>
        <w:t>subject</w:t>
      </w:r>
      <w:r>
        <w:rPr>
          <w:spacing w:val="-4"/>
        </w:rPr>
        <w:t xml:space="preserve"> </w:t>
      </w:r>
      <w:r>
        <w:t>to</w:t>
      </w:r>
      <w:r>
        <w:rPr>
          <w:spacing w:val="-5"/>
        </w:rPr>
        <w:t xml:space="preserve"> </w:t>
      </w:r>
      <w:r>
        <w:t>the</w:t>
      </w:r>
      <w:r>
        <w:rPr>
          <w:spacing w:val="-5"/>
        </w:rPr>
        <w:t xml:space="preserve"> </w:t>
      </w:r>
      <w:r>
        <w:rPr>
          <w:spacing w:val="-1"/>
        </w:rPr>
        <w:t>conditions</w:t>
      </w:r>
      <w:r>
        <w:rPr>
          <w:spacing w:val="-4"/>
        </w:rPr>
        <w:t xml:space="preserve"> </w:t>
      </w:r>
      <w:r>
        <w:t>set</w:t>
      </w:r>
      <w:r>
        <w:rPr>
          <w:spacing w:val="-4"/>
        </w:rPr>
        <w:t xml:space="preserve"> </w:t>
      </w:r>
      <w:r>
        <w:t>out</w:t>
      </w:r>
      <w:r>
        <w:rPr>
          <w:spacing w:val="-5"/>
        </w:rPr>
        <w:t xml:space="preserve"> </w:t>
      </w:r>
      <w:r>
        <w:t>in</w:t>
      </w:r>
      <w:r>
        <w:rPr>
          <w:spacing w:val="-5"/>
        </w:rPr>
        <w:t xml:space="preserve"> </w:t>
      </w:r>
      <w:r>
        <w:t>the</w:t>
      </w:r>
      <w:r>
        <w:rPr>
          <w:spacing w:val="-4"/>
        </w:rPr>
        <w:t xml:space="preserve"> </w:t>
      </w:r>
      <w:r>
        <w:t>offer</w:t>
      </w:r>
      <w:r>
        <w:rPr>
          <w:spacing w:val="-5"/>
        </w:rPr>
        <w:t xml:space="preserve"> </w:t>
      </w:r>
      <w:r>
        <w:t>to</w:t>
      </w:r>
      <w:r>
        <w:rPr>
          <w:spacing w:val="26"/>
          <w:w w:val="99"/>
        </w:rPr>
        <w:t xml:space="preserve"> </w:t>
      </w:r>
      <w:r>
        <w:t>purchase</w:t>
      </w:r>
      <w:r>
        <w:rPr>
          <w:spacing w:val="-7"/>
        </w:rPr>
        <w:t xml:space="preserve"> </w:t>
      </w:r>
      <w:r>
        <w:rPr>
          <w:spacing w:val="-1"/>
        </w:rPr>
        <w:t xml:space="preserve">dated </w:t>
      </w:r>
      <w:r>
        <w:rPr>
          <w:noProof/>
          <w:lang w:eastAsia="zh-TW"/>
        </w:rPr>
        <w:t>March 23</w:t>
      </w:r>
      <w:r>
        <w:rPr>
          <w:rFonts w:cs="Arial"/>
        </w:rPr>
        <w:t>,</w:t>
      </w:r>
      <w:r>
        <w:rPr>
          <w:noProof/>
          <w:lang w:eastAsia="zh-TW"/>
        </w:rPr>
        <w:t xml:space="preserve"> </w:t>
      </w:r>
      <w:r>
        <w:t>2021</w:t>
      </w:r>
      <w:r>
        <w:rPr>
          <w:spacing w:val="-7"/>
        </w:rPr>
        <w:t xml:space="preserve"> </w:t>
      </w:r>
      <w:r>
        <w:t>(the</w:t>
      </w:r>
      <w:r>
        <w:rPr>
          <w:spacing w:val="-7"/>
        </w:rPr>
        <w:t xml:space="preserve"> </w:t>
      </w:r>
      <w:r>
        <w:t>“Offer</w:t>
      </w:r>
      <w:r>
        <w:rPr>
          <w:spacing w:val="-6"/>
        </w:rPr>
        <w:t xml:space="preserve"> </w:t>
      </w:r>
      <w:r>
        <w:t>to</w:t>
      </w:r>
      <w:r>
        <w:rPr>
          <w:spacing w:val="-7"/>
        </w:rPr>
        <w:t xml:space="preserve"> </w:t>
      </w:r>
      <w:r>
        <w:t>Purchase”) and the related Notice of Guaranteed Delivery (together, the “Offer Documents”).</w:t>
      </w:r>
      <w:r>
        <w:rPr>
          <w:spacing w:val="-7"/>
        </w:rPr>
        <w:t xml:space="preserve"> </w:t>
      </w:r>
      <w:r>
        <w:t>Capitalized</w:t>
      </w:r>
      <w:r>
        <w:rPr>
          <w:spacing w:val="-7"/>
        </w:rPr>
        <w:t xml:space="preserve"> </w:t>
      </w:r>
      <w:r>
        <w:rPr>
          <w:spacing w:val="-1"/>
        </w:rPr>
        <w:t>terms</w:t>
      </w:r>
      <w:r>
        <w:rPr>
          <w:spacing w:val="-6"/>
        </w:rPr>
        <w:t xml:space="preserve"> </w:t>
      </w:r>
      <w:r>
        <w:t>not</w:t>
      </w:r>
      <w:r>
        <w:rPr>
          <w:spacing w:val="-7"/>
        </w:rPr>
        <w:t xml:space="preserve"> </w:t>
      </w:r>
      <w:r>
        <w:t>otherwise</w:t>
      </w:r>
      <w:r>
        <w:rPr>
          <w:spacing w:val="-6"/>
        </w:rPr>
        <w:t xml:space="preserve"> </w:t>
      </w:r>
      <w:r>
        <w:rPr>
          <w:spacing w:val="-1"/>
        </w:rPr>
        <w:t>defined</w:t>
      </w:r>
      <w:r>
        <w:rPr>
          <w:spacing w:val="-7"/>
        </w:rPr>
        <w:t xml:space="preserve"> </w:t>
      </w:r>
      <w:r>
        <w:t>in</w:t>
      </w:r>
      <w:r>
        <w:rPr>
          <w:spacing w:val="41"/>
          <w:w w:val="99"/>
        </w:rPr>
        <w:t xml:space="preserve"> </w:t>
      </w:r>
      <w:r>
        <w:t>this</w:t>
      </w:r>
      <w:r>
        <w:rPr>
          <w:spacing w:val="-6"/>
        </w:rPr>
        <w:t xml:space="preserve"> </w:t>
      </w:r>
      <w:r>
        <w:rPr>
          <w:spacing w:val="-1"/>
        </w:rPr>
        <w:t>announcement</w:t>
      </w:r>
      <w:r>
        <w:rPr>
          <w:spacing w:val="-6"/>
        </w:rPr>
        <w:t xml:space="preserve"> </w:t>
      </w:r>
      <w:r>
        <w:t>have</w:t>
      </w:r>
      <w:r>
        <w:rPr>
          <w:spacing w:val="-6"/>
        </w:rPr>
        <w:t xml:space="preserve"> </w:t>
      </w:r>
      <w:r>
        <w:t>the</w:t>
      </w:r>
      <w:r>
        <w:rPr>
          <w:spacing w:val="-6"/>
        </w:rPr>
        <w:t xml:space="preserve"> </w:t>
      </w:r>
      <w:r>
        <w:t>same</w:t>
      </w:r>
      <w:r>
        <w:rPr>
          <w:spacing w:val="-5"/>
        </w:rPr>
        <w:t xml:space="preserve"> </w:t>
      </w:r>
      <w:r>
        <w:t>meaning</w:t>
      </w:r>
      <w:r>
        <w:rPr>
          <w:spacing w:val="-6"/>
        </w:rPr>
        <w:t xml:space="preserve"> </w:t>
      </w:r>
      <w:r>
        <w:t>as</w:t>
      </w:r>
      <w:r>
        <w:rPr>
          <w:spacing w:val="-6"/>
        </w:rPr>
        <w:t xml:space="preserve"> </w:t>
      </w:r>
      <w:r>
        <w:t>in</w:t>
      </w:r>
      <w:r>
        <w:rPr>
          <w:spacing w:val="-6"/>
        </w:rPr>
        <w:t xml:space="preserve"> </w:t>
      </w:r>
      <w:r>
        <w:t>the</w:t>
      </w:r>
      <w:r>
        <w:rPr>
          <w:spacing w:val="-5"/>
        </w:rPr>
        <w:t xml:space="preserve"> </w:t>
      </w:r>
      <w:r>
        <w:t>Offer</w:t>
      </w:r>
      <w:r>
        <w:rPr>
          <w:spacing w:val="-6"/>
        </w:rPr>
        <w:t xml:space="preserve"> </w:t>
      </w:r>
      <w:r>
        <w:t>to</w:t>
      </w:r>
      <w:r>
        <w:rPr>
          <w:spacing w:val="-6"/>
        </w:rPr>
        <w:t xml:space="preserve"> </w:t>
      </w:r>
      <w:r>
        <w:t>Purchase.</w:t>
      </w:r>
    </w:p>
    <w:p w14:paraId="3866012D" w14:textId="77777777" w:rsidR="004F464E" w:rsidRDefault="004F464E" w:rsidP="00C97242">
      <w:pPr>
        <w:pStyle w:val="BodyText"/>
        <w:spacing w:before="238"/>
        <w:ind w:left="120" w:right="284"/>
      </w:pPr>
      <w:r>
        <w:rPr>
          <w:rFonts w:cs="Arial"/>
        </w:rPr>
        <w:t>Based on information provided by the Tender Agen</w:t>
      </w:r>
      <w:r w:rsidRPr="00C97242">
        <w:rPr>
          <w:rFonts w:cs="Arial"/>
        </w:rPr>
        <w:t>t, $</w:t>
      </w:r>
      <w:r w:rsidR="00C97242" w:rsidRPr="00C97242">
        <w:rPr>
          <w:rFonts w:cs="Arial"/>
        </w:rPr>
        <w:t xml:space="preserve">2,154,636,000 </w:t>
      </w:r>
      <w:r w:rsidRPr="00C97242">
        <w:rPr>
          <w:rFonts w:cs="Arial"/>
        </w:rPr>
        <w:t>in ag</w:t>
      </w:r>
      <w:r>
        <w:rPr>
          <w:rFonts w:cs="Arial"/>
        </w:rPr>
        <w:t>gregate principal amount of the Notes were validly tendered and not validly withdrawn by 5:00 p.m., New York City time, on March 29, 202</w:t>
      </w:r>
      <w:r w:rsidR="002A53C8">
        <w:rPr>
          <w:rFonts w:cs="Arial"/>
        </w:rPr>
        <w:t>1</w:t>
      </w:r>
      <w:r>
        <w:rPr>
          <w:rFonts w:cs="Arial"/>
        </w:rPr>
        <w:t xml:space="preserve"> (the “Expiration Deadline”), as more fully set forth below. The Offeror has accepted all Notes that were validly tendered and not validly withdrawn prior to the Expiration Deadline. In addition, $</w:t>
      </w:r>
      <w:r w:rsidR="00C97242">
        <w:rPr>
          <w:rFonts w:cs="Arial"/>
        </w:rPr>
        <w:t>16,116,000</w:t>
      </w:r>
      <w:r>
        <w:rPr>
          <w:rFonts w:cs="Arial"/>
        </w:rPr>
        <w:t xml:space="preserve"> in aggregate principal amount of the Notes were tendered using the guaranteed delivery procedures. The Settlement Date </w:t>
      </w:r>
      <w:r>
        <w:t>is expected to be March 31</w:t>
      </w:r>
      <w:r>
        <w:rPr>
          <w:rFonts w:cs="Arial"/>
        </w:rPr>
        <w:t xml:space="preserve">, </w:t>
      </w:r>
      <w:r>
        <w:t>2021</w:t>
      </w:r>
      <w:r w:rsidR="00106593">
        <w:t xml:space="preserve"> </w:t>
      </w:r>
      <w:r>
        <w:t>and the Guaranteed Delivery Settlement Date is expected to be April 1, 2021.</w:t>
      </w:r>
      <w:r w:rsidR="00546376">
        <w:t xml:space="preserve"> </w:t>
      </w:r>
      <w:r w:rsidR="00546376" w:rsidRPr="00FA36F2">
        <w:t>For the avoidance of doubt, Holders whose Notes are tendered and purchased pursuant to the Guaranteed Delivery Procedures will not receive payment in respect of any interest or any distribution, as the case may be, for the period from and including the Settlement Date to the Guaranteed Delivery Settlement Date.</w:t>
      </w:r>
    </w:p>
    <w:p w14:paraId="3C47EAEC" w14:textId="77777777" w:rsidR="008F5B33" w:rsidRPr="008F5B33" w:rsidRDefault="008F5B33" w:rsidP="00796735">
      <w:pPr>
        <w:pStyle w:val="BodyText"/>
        <w:spacing w:before="238"/>
        <w:ind w:left="120" w:right="284"/>
      </w:pPr>
      <w:r w:rsidRPr="008F5B33">
        <w:t>The Offeror estimates the impact of this transaction will be a charge to income in its Q1 2021 results of approximately £118 million, with the final charge dependent on foreign exchange movements until the Settlement Date. After taking into account the estimated effect of taxation, and based on risk weighted assets of £170 billion as reported for December 31, 2020, this would equate to a reduction in the Offeror’s CET1 capital ratio of approximately 5 bps.</w:t>
      </w:r>
    </w:p>
    <w:p w14:paraId="2E0C35D4" w14:textId="77777777" w:rsidR="004F464E" w:rsidRDefault="004F464E" w:rsidP="004F464E">
      <w:pPr>
        <w:pStyle w:val="BodyText"/>
        <w:spacing w:before="238"/>
        <w:ind w:left="120" w:right="284"/>
        <w:rPr>
          <w:rFonts w:cs="Arial"/>
        </w:rPr>
      </w:pPr>
      <w:r>
        <w:rPr>
          <w:rFonts w:cs="Arial"/>
        </w:rPr>
        <w:t>The table below sets forth, among other things, the principal amount of each series of Notes validly tendered and not validly withdrawn at or prior to the Expiration Deadline:</w:t>
      </w:r>
    </w:p>
    <w:tbl>
      <w:tblPr>
        <w:tblpPr w:leftFromText="180" w:rightFromText="180" w:vertAnchor="text" w:horzAnchor="margin" w:tblpXSpec="center" w:tblpY="182"/>
        <w:tblW w:w="10057" w:type="dxa"/>
        <w:tblLayout w:type="fixed"/>
        <w:tblCellMar>
          <w:left w:w="58" w:type="dxa"/>
          <w:right w:w="58" w:type="dxa"/>
        </w:tblCellMar>
        <w:tblLook w:val="04A0" w:firstRow="1" w:lastRow="0" w:firstColumn="1" w:lastColumn="0" w:noHBand="0" w:noVBand="1"/>
      </w:tblPr>
      <w:tblGrid>
        <w:gridCol w:w="1554"/>
        <w:gridCol w:w="1255"/>
        <w:gridCol w:w="1562"/>
        <w:gridCol w:w="1590"/>
        <w:gridCol w:w="1531"/>
        <w:gridCol w:w="1311"/>
        <w:gridCol w:w="1254"/>
      </w:tblGrid>
      <w:tr w:rsidR="004F464E" w14:paraId="5489A10D" w14:textId="77777777" w:rsidTr="00884403">
        <w:trPr>
          <w:trHeight w:val="371"/>
          <w:tblHeader/>
        </w:trPr>
        <w:tc>
          <w:tcPr>
            <w:tcW w:w="1554" w:type="dxa"/>
            <w:vAlign w:val="bottom"/>
            <w:hideMark/>
          </w:tcPr>
          <w:p w14:paraId="2579D48B"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Title of Security</w:t>
            </w:r>
          </w:p>
        </w:tc>
        <w:tc>
          <w:tcPr>
            <w:tcW w:w="1255" w:type="dxa"/>
            <w:vAlign w:val="bottom"/>
            <w:hideMark/>
          </w:tcPr>
          <w:p w14:paraId="4DDB99C2"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 xml:space="preserve">Issuer </w:t>
            </w:r>
          </w:p>
        </w:tc>
        <w:tc>
          <w:tcPr>
            <w:tcW w:w="1562" w:type="dxa"/>
            <w:vAlign w:val="bottom"/>
            <w:hideMark/>
          </w:tcPr>
          <w:p w14:paraId="7CA68954"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ISIN/CUSIP</w:t>
            </w:r>
          </w:p>
        </w:tc>
        <w:tc>
          <w:tcPr>
            <w:tcW w:w="1590" w:type="dxa"/>
            <w:vAlign w:val="bottom"/>
            <w:hideMark/>
          </w:tcPr>
          <w:p w14:paraId="1BEF6443"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Principal Amount Outstanding</w:t>
            </w:r>
            <w:r>
              <w:rPr>
                <w:rFonts w:asciiTheme="minorBidi" w:hAnsiTheme="minorBidi" w:cstheme="minorBidi"/>
                <w:sz w:val="14"/>
                <w:szCs w:val="14"/>
                <w:vertAlign w:val="superscript"/>
                <w:lang w:val="en-GB"/>
              </w:rPr>
              <w:t>(1)</w:t>
            </w:r>
          </w:p>
        </w:tc>
        <w:tc>
          <w:tcPr>
            <w:tcW w:w="1531" w:type="dxa"/>
            <w:vAlign w:val="bottom"/>
            <w:hideMark/>
          </w:tcPr>
          <w:p w14:paraId="49E624D9"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Aggregate Principal Amount Tendered Excluding Notes Tendered Using Guaranteed Delivery Procedures</w:t>
            </w:r>
          </w:p>
        </w:tc>
        <w:tc>
          <w:tcPr>
            <w:tcW w:w="1311" w:type="dxa"/>
          </w:tcPr>
          <w:p w14:paraId="1D206FC0" w14:textId="77777777" w:rsidR="004F464E" w:rsidRDefault="004F464E">
            <w:pPr>
              <w:pStyle w:val="fdtblhead8"/>
              <w:pBdr>
                <w:bottom w:val="single" w:sz="4" w:space="1" w:color="auto"/>
              </w:pBdr>
              <w:rPr>
                <w:rFonts w:asciiTheme="minorBidi" w:hAnsiTheme="minorBidi" w:cstheme="minorBidi"/>
                <w:sz w:val="14"/>
                <w:szCs w:val="14"/>
                <w:lang w:val="en-GB"/>
              </w:rPr>
            </w:pPr>
          </w:p>
          <w:p w14:paraId="006BE734"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 xml:space="preserve">Aggregate Principal Amount Tendered Using Guaranteed Delivery Procedures     </w:t>
            </w:r>
          </w:p>
        </w:tc>
        <w:tc>
          <w:tcPr>
            <w:tcW w:w="1254" w:type="dxa"/>
            <w:vAlign w:val="bottom"/>
            <w:hideMark/>
          </w:tcPr>
          <w:p w14:paraId="4691702F" w14:textId="77777777" w:rsidR="004F464E" w:rsidRDefault="004F464E">
            <w:pPr>
              <w:pStyle w:val="fdtblhead8"/>
              <w:pBdr>
                <w:bottom w:val="single" w:sz="4" w:space="1" w:color="auto"/>
              </w:pBdr>
              <w:rPr>
                <w:rFonts w:asciiTheme="minorBidi" w:hAnsiTheme="minorBidi" w:cstheme="minorBidi"/>
                <w:sz w:val="14"/>
                <w:szCs w:val="14"/>
                <w:lang w:val="en-GB"/>
              </w:rPr>
            </w:pPr>
            <w:r>
              <w:rPr>
                <w:rFonts w:asciiTheme="minorBidi" w:hAnsiTheme="minorBidi" w:cstheme="minorBidi"/>
                <w:sz w:val="14"/>
                <w:szCs w:val="14"/>
                <w:lang w:val="en-GB"/>
              </w:rPr>
              <w:t>Purchase Price</w:t>
            </w:r>
            <w:r>
              <w:rPr>
                <w:rFonts w:asciiTheme="minorBidi" w:hAnsiTheme="minorBidi" w:cstheme="minorBidi"/>
                <w:sz w:val="14"/>
                <w:szCs w:val="14"/>
                <w:vertAlign w:val="superscript"/>
                <w:lang w:val="en-GB"/>
              </w:rPr>
              <w:t>(2)</w:t>
            </w:r>
            <w:r>
              <w:rPr>
                <w:rFonts w:asciiTheme="minorBidi" w:hAnsiTheme="minorBidi" w:cstheme="minorBidi"/>
                <w:sz w:val="14"/>
                <w:szCs w:val="14"/>
                <w:lang w:val="en-GB"/>
              </w:rPr>
              <w:t xml:space="preserve"> </w:t>
            </w:r>
          </w:p>
        </w:tc>
      </w:tr>
      <w:tr w:rsidR="009F3FAC" w14:paraId="15E1B705" w14:textId="77777777" w:rsidTr="00884403">
        <w:trPr>
          <w:trHeight w:val="855"/>
        </w:trPr>
        <w:tc>
          <w:tcPr>
            <w:tcW w:w="1554" w:type="dxa"/>
            <w:hideMark/>
          </w:tcPr>
          <w:p w14:paraId="3EF45D31" w14:textId="77777777" w:rsidR="009F3FAC" w:rsidRDefault="009F3FAC" w:rsidP="009F3FAC">
            <w:pPr>
              <w:spacing w:after="40"/>
              <w:jc w:val="center"/>
              <w:rPr>
                <w:rFonts w:asciiTheme="minorBidi" w:hAnsiTheme="minorBidi" w:cs="Times New Roman"/>
                <w:sz w:val="15"/>
                <w:szCs w:val="15"/>
                <w:lang w:val="en-GB"/>
              </w:rPr>
            </w:pPr>
            <w:r>
              <w:rPr>
                <w:rFonts w:asciiTheme="minorBidi" w:hAnsiTheme="minorBidi"/>
                <w:sz w:val="15"/>
                <w:szCs w:val="15"/>
              </w:rPr>
              <w:t>6.425% Non-Cumulative Trust Preferred Securities (“</w:t>
            </w:r>
            <w:r>
              <w:rPr>
                <w:rFonts w:asciiTheme="minorBidi" w:hAnsiTheme="minorBidi"/>
                <w:b/>
                <w:bCs/>
                <w:sz w:val="15"/>
                <w:szCs w:val="15"/>
              </w:rPr>
              <w:t>Trust Securities</w:t>
            </w:r>
            <w:r>
              <w:rPr>
                <w:rFonts w:asciiTheme="minorBidi" w:hAnsiTheme="minorBidi"/>
                <w:sz w:val="15"/>
                <w:szCs w:val="15"/>
              </w:rPr>
              <w:t xml:space="preserve">”) </w:t>
            </w:r>
          </w:p>
        </w:tc>
        <w:tc>
          <w:tcPr>
            <w:tcW w:w="1255" w:type="dxa"/>
            <w:hideMark/>
          </w:tcPr>
          <w:p w14:paraId="3FA8091A"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RBS Capital Trust II</w:t>
            </w:r>
          </w:p>
        </w:tc>
        <w:tc>
          <w:tcPr>
            <w:tcW w:w="1562" w:type="dxa"/>
            <w:hideMark/>
          </w:tcPr>
          <w:p w14:paraId="2C71FE4B"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US74927PAA75</w:t>
            </w:r>
          </w:p>
          <w:p w14:paraId="2C35408A"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74927PAA7</w:t>
            </w:r>
          </w:p>
        </w:tc>
        <w:tc>
          <w:tcPr>
            <w:tcW w:w="1590" w:type="dxa"/>
            <w:hideMark/>
          </w:tcPr>
          <w:p w14:paraId="11F9B7F1" w14:textId="77777777" w:rsidR="009F3FAC" w:rsidRDefault="009F3FAC" w:rsidP="009F3FAC">
            <w:pPr>
              <w:spacing w:after="40"/>
              <w:jc w:val="center"/>
              <w:rPr>
                <w:rFonts w:asciiTheme="minorBidi" w:hAnsiTheme="minorBidi"/>
                <w:sz w:val="15"/>
                <w:szCs w:val="15"/>
                <w:highlight w:val="yellow"/>
              </w:rPr>
            </w:pPr>
            <w:r>
              <w:rPr>
                <w:rFonts w:asciiTheme="minorBidi" w:hAnsiTheme="minorBidi"/>
                <w:sz w:val="15"/>
                <w:szCs w:val="15"/>
              </w:rPr>
              <w:t>$137,685,000</w:t>
            </w:r>
          </w:p>
        </w:tc>
        <w:tc>
          <w:tcPr>
            <w:tcW w:w="1531" w:type="dxa"/>
            <w:hideMark/>
          </w:tcPr>
          <w:p w14:paraId="341248CE" w14:textId="77777777" w:rsidR="009F3FAC" w:rsidRPr="00D14592" w:rsidRDefault="009F3FAC" w:rsidP="009F3FAC">
            <w:pPr>
              <w:spacing w:after="40"/>
              <w:jc w:val="center"/>
              <w:rPr>
                <w:rFonts w:asciiTheme="minorBidi" w:hAnsiTheme="minorBidi"/>
                <w:sz w:val="15"/>
                <w:szCs w:val="15"/>
              </w:rPr>
            </w:pPr>
            <w:r w:rsidRPr="00D14592">
              <w:rPr>
                <w:rFonts w:asciiTheme="minorBidi" w:hAnsiTheme="minorBidi"/>
                <w:sz w:val="15"/>
                <w:szCs w:val="15"/>
              </w:rPr>
              <w:t>$100,747,000</w:t>
            </w:r>
          </w:p>
        </w:tc>
        <w:tc>
          <w:tcPr>
            <w:tcW w:w="1311" w:type="dxa"/>
            <w:hideMark/>
          </w:tcPr>
          <w:p w14:paraId="3C7FDFC7"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w:t>
            </w:r>
            <w:r w:rsidRPr="00884403">
              <w:rPr>
                <w:rFonts w:asciiTheme="minorBidi" w:hAnsiTheme="minorBidi"/>
                <w:sz w:val="15"/>
                <w:szCs w:val="15"/>
              </w:rPr>
              <w:t>32,000</w:t>
            </w:r>
          </w:p>
        </w:tc>
        <w:tc>
          <w:tcPr>
            <w:tcW w:w="1254" w:type="dxa"/>
            <w:hideMark/>
          </w:tcPr>
          <w:p w14:paraId="10B8A013" w14:textId="77777777" w:rsidR="009F3FAC" w:rsidRPr="00516FAB" w:rsidRDefault="009F3FAC" w:rsidP="009F3FAC">
            <w:pPr>
              <w:spacing w:after="40"/>
              <w:jc w:val="center"/>
              <w:rPr>
                <w:rFonts w:asciiTheme="minorBidi" w:hAnsiTheme="minorBidi"/>
                <w:sz w:val="15"/>
                <w:szCs w:val="15"/>
              </w:rPr>
            </w:pPr>
            <w:r>
              <w:rPr>
                <w:rFonts w:asciiTheme="minorBidi" w:hAnsiTheme="minorBidi"/>
                <w:sz w:val="15"/>
                <w:szCs w:val="15"/>
              </w:rPr>
              <w:t>$</w:t>
            </w:r>
            <w:r w:rsidRPr="009C66DE">
              <w:rPr>
                <w:rFonts w:asciiTheme="minorBidi" w:hAnsiTheme="minorBidi"/>
                <w:sz w:val="15"/>
                <w:szCs w:val="15"/>
              </w:rPr>
              <w:t>1,459.91</w:t>
            </w:r>
          </w:p>
        </w:tc>
      </w:tr>
      <w:tr w:rsidR="009F3FAC" w14:paraId="097F838D" w14:textId="77777777" w:rsidTr="00884403">
        <w:trPr>
          <w:trHeight w:val="810"/>
        </w:trPr>
        <w:tc>
          <w:tcPr>
            <w:tcW w:w="1554" w:type="dxa"/>
            <w:hideMark/>
          </w:tcPr>
          <w:p w14:paraId="0F37048D"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lastRenderedPageBreak/>
              <w:t>7.648% Dollar Perpetual Regulatory tier One Securities, Series 1 (“</w:t>
            </w:r>
            <w:r>
              <w:rPr>
                <w:rFonts w:asciiTheme="minorBidi" w:hAnsiTheme="minorBidi"/>
                <w:b/>
                <w:bCs/>
                <w:sz w:val="15"/>
                <w:szCs w:val="15"/>
              </w:rPr>
              <w:t>PROs</w:t>
            </w:r>
            <w:r>
              <w:rPr>
                <w:rFonts w:asciiTheme="minorBidi" w:hAnsiTheme="minorBidi"/>
                <w:sz w:val="15"/>
                <w:szCs w:val="15"/>
              </w:rPr>
              <w:t>”)</w:t>
            </w:r>
          </w:p>
        </w:tc>
        <w:tc>
          <w:tcPr>
            <w:tcW w:w="1255" w:type="dxa"/>
            <w:hideMark/>
          </w:tcPr>
          <w:p w14:paraId="4CB63E82"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The Royal Bank of Scotland Group plc</w:t>
            </w:r>
            <w:r>
              <w:rPr>
                <w:rFonts w:asciiTheme="minorBidi" w:hAnsiTheme="minorBidi"/>
                <w:sz w:val="15"/>
                <w:szCs w:val="15"/>
                <w:vertAlign w:val="superscript"/>
              </w:rPr>
              <w:t>(3)</w:t>
            </w:r>
          </w:p>
        </w:tc>
        <w:tc>
          <w:tcPr>
            <w:tcW w:w="1562" w:type="dxa"/>
            <w:hideMark/>
          </w:tcPr>
          <w:p w14:paraId="0688DE4B"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US780097AH44</w:t>
            </w:r>
          </w:p>
          <w:p w14:paraId="4BC48749"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780097AH4</w:t>
            </w:r>
          </w:p>
        </w:tc>
        <w:tc>
          <w:tcPr>
            <w:tcW w:w="1590" w:type="dxa"/>
            <w:hideMark/>
          </w:tcPr>
          <w:p w14:paraId="4D86E385"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$130,205,000</w:t>
            </w:r>
          </w:p>
        </w:tc>
        <w:tc>
          <w:tcPr>
            <w:tcW w:w="1531" w:type="dxa"/>
            <w:hideMark/>
          </w:tcPr>
          <w:p w14:paraId="4AD343A7" w14:textId="77777777" w:rsidR="009F3FAC" w:rsidRPr="00D14592" w:rsidRDefault="009F3FAC" w:rsidP="009F3FAC">
            <w:pPr>
              <w:spacing w:after="40"/>
              <w:jc w:val="center"/>
              <w:rPr>
                <w:rFonts w:asciiTheme="minorBidi" w:hAnsiTheme="minorBidi"/>
                <w:sz w:val="15"/>
                <w:szCs w:val="15"/>
              </w:rPr>
            </w:pPr>
            <w:r w:rsidRPr="00D14592">
              <w:rPr>
                <w:rFonts w:asciiTheme="minorBidi" w:hAnsiTheme="minorBidi"/>
                <w:sz w:val="15"/>
                <w:szCs w:val="15"/>
              </w:rPr>
              <w:t>$58,036,000</w:t>
            </w:r>
          </w:p>
        </w:tc>
        <w:tc>
          <w:tcPr>
            <w:tcW w:w="1311" w:type="dxa"/>
            <w:hideMark/>
          </w:tcPr>
          <w:p w14:paraId="25D72B72"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w:t>
            </w:r>
            <w:r w:rsidRPr="00884403">
              <w:rPr>
                <w:rFonts w:asciiTheme="minorBidi" w:hAnsiTheme="minorBidi"/>
                <w:sz w:val="15"/>
                <w:szCs w:val="15"/>
              </w:rPr>
              <w:t>4,814,000</w:t>
            </w:r>
          </w:p>
        </w:tc>
        <w:tc>
          <w:tcPr>
            <w:tcW w:w="1254" w:type="dxa"/>
            <w:hideMark/>
          </w:tcPr>
          <w:p w14:paraId="4AAA7CB8" w14:textId="77777777" w:rsidR="009F3FAC" w:rsidRPr="00516FAB" w:rsidRDefault="009F3FAC" w:rsidP="009F3FAC">
            <w:pPr>
              <w:spacing w:after="40"/>
              <w:jc w:val="center"/>
              <w:rPr>
                <w:rFonts w:asciiTheme="minorBidi" w:hAnsiTheme="minorBidi"/>
                <w:sz w:val="15"/>
                <w:szCs w:val="15"/>
              </w:rPr>
            </w:pPr>
            <w:r>
              <w:rPr>
                <w:rFonts w:asciiTheme="minorBidi" w:hAnsiTheme="minorBidi"/>
                <w:sz w:val="15"/>
                <w:szCs w:val="15"/>
              </w:rPr>
              <w:t>$</w:t>
            </w:r>
            <w:r w:rsidRPr="009C66DE">
              <w:rPr>
                <w:rFonts w:asciiTheme="minorBidi" w:hAnsiTheme="minorBidi"/>
                <w:sz w:val="15"/>
                <w:szCs w:val="15"/>
              </w:rPr>
              <w:t>1,466.33</w:t>
            </w:r>
          </w:p>
        </w:tc>
      </w:tr>
      <w:tr w:rsidR="009F3FAC" w14:paraId="70717B5E" w14:textId="77777777" w:rsidTr="00884403">
        <w:trPr>
          <w:trHeight w:val="906"/>
        </w:trPr>
        <w:tc>
          <w:tcPr>
            <w:tcW w:w="1554" w:type="dxa"/>
            <w:hideMark/>
          </w:tcPr>
          <w:p w14:paraId="7BE6707E"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6.125% Subordinated Tier 2 Notes due 2022 (“</w:t>
            </w:r>
            <w:r>
              <w:rPr>
                <w:rFonts w:asciiTheme="minorBidi" w:hAnsiTheme="minorBidi"/>
                <w:b/>
                <w:bCs/>
                <w:sz w:val="15"/>
                <w:szCs w:val="15"/>
              </w:rPr>
              <w:t>2022 Notes</w:t>
            </w:r>
            <w:r>
              <w:rPr>
                <w:rFonts w:asciiTheme="minorBidi" w:hAnsiTheme="minorBidi"/>
                <w:sz w:val="15"/>
                <w:szCs w:val="15"/>
              </w:rPr>
              <w:t>”)</w:t>
            </w:r>
          </w:p>
        </w:tc>
        <w:tc>
          <w:tcPr>
            <w:tcW w:w="1255" w:type="dxa"/>
            <w:hideMark/>
          </w:tcPr>
          <w:p w14:paraId="52767B6C"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The Royal Bank of Scotland Group plc</w:t>
            </w:r>
            <w:r>
              <w:rPr>
                <w:rFonts w:asciiTheme="minorBidi" w:hAnsiTheme="minorBidi"/>
                <w:sz w:val="15"/>
                <w:szCs w:val="15"/>
                <w:vertAlign w:val="superscript"/>
              </w:rPr>
              <w:t xml:space="preserve"> (3)</w:t>
            </w:r>
          </w:p>
        </w:tc>
        <w:tc>
          <w:tcPr>
            <w:tcW w:w="1562" w:type="dxa"/>
            <w:hideMark/>
          </w:tcPr>
          <w:p w14:paraId="2669BC92"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US780099CE50</w:t>
            </w:r>
          </w:p>
          <w:p w14:paraId="4173FAD1"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780099CE5</w:t>
            </w:r>
          </w:p>
        </w:tc>
        <w:tc>
          <w:tcPr>
            <w:tcW w:w="1590" w:type="dxa"/>
            <w:hideMark/>
          </w:tcPr>
          <w:p w14:paraId="1969EC3C"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$1,615,576,000</w:t>
            </w:r>
          </w:p>
        </w:tc>
        <w:tc>
          <w:tcPr>
            <w:tcW w:w="1531" w:type="dxa"/>
            <w:hideMark/>
          </w:tcPr>
          <w:p w14:paraId="0F987824" w14:textId="77777777" w:rsidR="009F3FAC" w:rsidRPr="00D14592" w:rsidRDefault="009F3FAC" w:rsidP="009F3FAC">
            <w:pPr>
              <w:spacing w:after="40"/>
              <w:jc w:val="center"/>
              <w:rPr>
                <w:rFonts w:asciiTheme="minorBidi" w:hAnsiTheme="minorBidi"/>
                <w:sz w:val="15"/>
                <w:szCs w:val="15"/>
              </w:rPr>
            </w:pPr>
            <w:r w:rsidRPr="00D14592">
              <w:rPr>
                <w:rFonts w:asciiTheme="minorBidi" w:hAnsiTheme="minorBidi"/>
                <w:sz w:val="15"/>
                <w:szCs w:val="15"/>
              </w:rPr>
              <w:t>$311,371,000</w:t>
            </w:r>
          </w:p>
        </w:tc>
        <w:tc>
          <w:tcPr>
            <w:tcW w:w="1311" w:type="dxa"/>
            <w:hideMark/>
          </w:tcPr>
          <w:p w14:paraId="6745B559"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w:t>
            </w:r>
            <w:r w:rsidRPr="00884403">
              <w:rPr>
                <w:rFonts w:asciiTheme="minorBidi" w:hAnsiTheme="minorBidi"/>
                <w:sz w:val="15"/>
                <w:szCs w:val="15"/>
              </w:rPr>
              <w:t>875,000</w:t>
            </w:r>
          </w:p>
        </w:tc>
        <w:tc>
          <w:tcPr>
            <w:tcW w:w="1254" w:type="dxa"/>
            <w:hideMark/>
          </w:tcPr>
          <w:p w14:paraId="784B00FA" w14:textId="77777777" w:rsidR="009F3FAC" w:rsidRPr="00516FAB" w:rsidRDefault="009F3FAC" w:rsidP="009F3FAC">
            <w:pPr>
              <w:spacing w:after="40"/>
              <w:jc w:val="center"/>
              <w:rPr>
                <w:rFonts w:asciiTheme="minorBidi" w:hAnsiTheme="minorBidi"/>
                <w:sz w:val="15"/>
                <w:szCs w:val="15"/>
              </w:rPr>
            </w:pPr>
            <w:r>
              <w:rPr>
                <w:rFonts w:asciiTheme="minorBidi" w:hAnsiTheme="minorBidi"/>
                <w:sz w:val="15"/>
                <w:szCs w:val="15"/>
              </w:rPr>
              <w:t>$1</w:t>
            </w:r>
            <w:r w:rsidRPr="009C66DE">
              <w:rPr>
                <w:rFonts w:asciiTheme="minorBidi" w:hAnsiTheme="minorBidi"/>
                <w:sz w:val="15"/>
                <w:szCs w:val="15"/>
              </w:rPr>
              <w:t>,090.10</w:t>
            </w:r>
          </w:p>
        </w:tc>
      </w:tr>
      <w:tr w:rsidR="009F3FAC" w14:paraId="35C4894F" w14:textId="77777777" w:rsidTr="00884403">
        <w:trPr>
          <w:trHeight w:val="906"/>
        </w:trPr>
        <w:tc>
          <w:tcPr>
            <w:tcW w:w="1554" w:type="dxa"/>
            <w:hideMark/>
          </w:tcPr>
          <w:p w14:paraId="4C96AB6D"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6.100% Subordinated Tier 2 Notes due 2023 (“</w:t>
            </w:r>
            <w:r>
              <w:rPr>
                <w:rFonts w:asciiTheme="minorBidi" w:hAnsiTheme="minorBidi"/>
                <w:b/>
                <w:bCs/>
                <w:sz w:val="15"/>
                <w:szCs w:val="15"/>
              </w:rPr>
              <w:t>2023 Notes I</w:t>
            </w:r>
            <w:r>
              <w:rPr>
                <w:rFonts w:asciiTheme="minorBidi" w:hAnsiTheme="minorBidi"/>
                <w:sz w:val="15"/>
                <w:szCs w:val="15"/>
              </w:rPr>
              <w:t>”)</w:t>
            </w:r>
          </w:p>
        </w:tc>
        <w:tc>
          <w:tcPr>
            <w:tcW w:w="1255" w:type="dxa"/>
            <w:hideMark/>
          </w:tcPr>
          <w:p w14:paraId="4B3B4C30"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The Royal Bank of Scotland Group plc</w:t>
            </w:r>
            <w:r>
              <w:rPr>
                <w:rFonts w:asciiTheme="minorBidi" w:hAnsiTheme="minorBidi"/>
                <w:sz w:val="15"/>
                <w:szCs w:val="15"/>
                <w:vertAlign w:val="superscript"/>
              </w:rPr>
              <w:t>(3)</w:t>
            </w:r>
          </w:p>
        </w:tc>
        <w:tc>
          <w:tcPr>
            <w:tcW w:w="1562" w:type="dxa"/>
            <w:hideMark/>
          </w:tcPr>
          <w:p w14:paraId="3CE6B43D"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US780097AY76</w:t>
            </w:r>
          </w:p>
          <w:p w14:paraId="799D6A17"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780097AY7</w:t>
            </w:r>
          </w:p>
        </w:tc>
        <w:tc>
          <w:tcPr>
            <w:tcW w:w="1590" w:type="dxa"/>
            <w:hideMark/>
          </w:tcPr>
          <w:p w14:paraId="26FBDDB5"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$544,194,000</w:t>
            </w:r>
          </w:p>
        </w:tc>
        <w:tc>
          <w:tcPr>
            <w:tcW w:w="1531" w:type="dxa"/>
            <w:hideMark/>
          </w:tcPr>
          <w:p w14:paraId="27752B38" w14:textId="77777777" w:rsidR="009F3FAC" w:rsidRPr="00D14592" w:rsidRDefault="009F3FAC" w:rsidP="009F3FAC">
            <w:pPr>
              <w:spacing w:after="40"/>
              <w:jc w:val="center"/>
              <w:rPr>
                <w:rFonts w:asciiTheme="minorBidi" w:hAnsiTheme="minorBidi"/>
                <w:sz w:val="15"/>
                <w:szCs w:val="15"/>
              </w:rPr>
            </w:pPr>
            <w:r w:rsidRPr="00D14592">
              <w:rPr>
                <w:rFonts w:asciiTheme="minorBidi" w:hAnsiTheme="minorBidi"/>
                <w:sz w:val="15"/>
                <w:szCs w:val="15"/>
              </w:rPr>
              <w:t>$76,459,000</w:t>
            </w:r>
          </w:p>
        </w:tc>
        <w:tc>
          <w:tcPr>
            <w:tcW w:w="1311" w:type="dxa"/>
            <w:hideMark/>
          </w:tcPr>
          <w:p w14:paraId="5507BB3D" w14:textId="77777777" w:rsidR="009F3FAC" w:rsidRPr="00884403" w:rsidRDefault="009F3FAC" w:rsidP="009F3FAC">
            <w:pPr>
              <w:spacing w:after="40"/>
              <w:jc w:val="center"/>
              <w:rPr>
                <w:rFonts w:asciiTheme="minorBidi" w:hAnsiTheme="minorBidi"/>
                <w:sz w:val="15"/>
                <w:szCs w:val="15"/>
              </w:rPr>
            </w:pPr>
            <w:r w:rsidRPr="00884403">
              <w:rPr>
                <w:rFonts w:asciiTheme="minorBidi" w:hAnsiTheme="minorBidi"/>
                <w:sz w:val="15"/>
                <w:szCs w:val="15"/>
              </w:rPr>
              <w:t>$2,394,000</w:t>
            </w:r>
          </w:p>
        </w:tc>
        <w:tc>
          <w:tcPr>
            <w:tcW w:w="1254" w:type="dxa"/>
            <w:hideMark/>
          </w:tcPr>
          <w:p w14:paraId="24A70055" w14:textId="77777777" w:rsidR="009F3FAC" w:rsidRPr="00516FAB" w:rsidRDefault="009F3FAC" w:rsidP="009F3FAC">
            <w:pPr>
              <w:spacing w:after="40"/>
              <w:jc w:val="center"/>
              <w:rPr>
                <w:rFonts w:asciiTheme="minorBidi" w:hAnsiTheme="minorBidi"/>
                <w:sz w:val="15"/>
                <w:szCs w:val="15"/>
              </w:rPr>
            </w:pPr>
            <w:r>
              <w:rPr>
                <w:rFonts w:asciiTheme="minorBidi" w:hAnsiTheme="minorBidi"/>
                <w:sz w:val="15"/>
                <w:szCs w:val="15"/>
              </w:rPr>
              <w:t>$</w:t>
            </w:r>
            <w:r w:rsidRPr="009C66DE">
              <w:rPr>
                <w:rFonts w:asciiTheme="minorBidi" w:hAnsiTheme="minorBidi"/>
                <w:sz w:val="15"/>
                <w:szCs w:val="15"/>
              </w:rPr>
              <w:t>1,111.54</w:t>
            </w:r>
          </w:p>
        </w:tc>
      </w:tr>
      <w:tr w:rsidR="009F3FAC" w14:paraId="151D83A0" w14:textId="77777777" w:rsidTr="00884403">
        <w:trPr>
          <w:trHeight w:val="906"/>
        </w:trPr>
        <w:tc>
          <w:tcPr>
            <w:tcW w:w="1554" w:type="dxa"/>
            <w:hideMark/>
          </w:tcPr>
          <w:p w14:paraId="4FD459AA"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6.000% Subordinated Tier 2 Notes due 2023 (“</w:t>
            </w:r>
            <w:r>
              <w:rPr>
                <w:rFonts w:asciiTheme="minorBidi" w:hAnsiTheme="minorBidi"/>
                <w:b/>
                <w:bCs/>
                <w:sz w:val="15"/>
                <w:szCs w:val="15"/>
              </w:rPr>
              <w:t>2023 Notes II</w:t>
            </w:r>
            <w:r>
              <w:rPr>
                <w:rFonts w:asciiTheme="minorBidi" w:hAnsiTheme="minorBidi"/>
                <w:sz w:val="15"/>
                <w:szCs w:val="15"/>
              </w:rPr>
              <w:t>”)</w:t>
            </w:r>
          </w:p>
        </w:tc>
        <w:tc>
          <w:tcPr>
            <w:tcW w:w="1255" w:type="dxa"/>
            <w:hideMark/>
          </w:tcPr>
          <w:p w14:paraId="2080B0EB"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The Royal Bank of Scotland Group plc</w:t>
            </w:r>
            <w:r>
              <w:rPr>
                <w:rFonts w:asciiTheme="minorBidi" w:hAnsiTheme="minorBidi"/>
                <w:sz w:val="15"/>
                <w:szCs w:val="15"/>
                <w:vertAlign w:val="superscript"/>
              </w:rPr>
              <w:t>(3)</w:t>
            </w:r>
          </w:p>
        </w:tc>
        <w:tc>
          <w:tcPr>
            <w:tcW w:w="1562" w:type="dxa"/>
            <w:hideMark/>
          </w:tcPr>
          <w:p w14:paraId="040FD8E7" w14:textId="77777777" w:rsidR="009F3FAC" w:rsidRDefault="009F3FAC" w:rsidP="009F3FAC">
            <w:pPr>
              <w:spacing w:after="80"/>
              <w:jc w:val="center"/>
              <w:rPr>
                <w:rFonts w:asciiTheme="minorBidi" w:hAnsiTheme="minorBidi"/>
                <w:sz w:val="15"/>
                <w:szCs w:val="15"/>
              </w:rPr>
            </w:pPr>
            <w:r>
              <w:rPr>
                <w:rFonts w:asciiTheme="minorBidi" w:hAnsiTheme="minorBidi"/>
                <w:sz w:val="15"/>
                <w:szCs w:val="15"/>
              </w:rPr>
              <w:t>US780097AZ42</w:t>
            </w:r>
          </w:p>
          <w:p w14:paraId="6F00CBDD"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780097AZ4</w:t>
            </w:r>
          </w:p>
        </w:tc>
        <w:tc>
          <w:tcPr>
            <w:tcW w:w="1590" w:type="dxa"/>
            <w:hideMark/>
          </w:tcPr>
          <w:p w14:paraId="0C99D519"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$2,000,000,000</w:t>
            </w:r>
          </w:p>
        </w:tc>
        <w:tc>
          <w:tcPr>
            <w:tcW w:w="1531" w:type="dxa"/>
            <w:hideMark/>
          </w:tcPr>
          <w:p w14:paraId="0490E4A5" w14:textId="77777777" w:rsidR="009F3FAC" w:rsidRPr="00D14592" w:rsidRDefault="009F3FAC" w:rsidP="009F3FAC">
            <w:pPr>
              <w:spacing w:after="40"/>
              <w:jc w:val="center"/>
              <w:rPr>
                <w:rFonts w:asciiTheme="minorBidi" w:hAnsiTheme="minorBidi"/>
                <w:sz w:val="15"/>
                <w:szCs w:val="15"/>
              </w:rPr>
            </w:pPr>
            <w:r w:rsidRPr="00D14592">
              <w:rPr>
                <w:rFonts w:asciiTheme="minorBidi" w:hAnsiTheme="minorBidi"/>
                <w:sz w:val="15"/>
                <w:szCs w:val="15"/>
              </w:rPr>
              <w:t>$600,132,000</w:t>
            </w:r>
          </w:p>
        </w:tc>
        <w:tc>
          <w:tcPr>
            <w:tcW w:w="1311" w:type="dxa"/>
            <w:hideMark/>
          </w:tcPr>
          <w:p w14:paraId="45A04922" w14:textId="77777777" w:rsidR="009F3FAC" w:rsidRPr="00884403" w:rsidRDefault="009F3FAC" w:rsidP="009F3FAC">
            <w:pPr>
              <w:spacing w:after="40"/>
              <w:jc w:val="center"/>
              <w:rPr>
                <w:rFonts w:asciiTheme="minorBidi" w:hAnsiTheme="minorBidi"/>
                <w:sz w:val="15"/>
                <w:szCs w:val="15"/>
              </w:rPr>
            </w:pPr>
            <w:r w:rsidRPr="00884403">
              <w:rPr>
                <w:rFonts w:asciiTheme="minorBidi" w:hAnsiTheme="minorBidi"/>
                <w:sz w:val="15"/>
                <w:szCs w:val="15"/>
              </w:rPr>
              <w:t>$5,516,000</w:t>
            </w:r>
          </w:p>
        </w:tc>
        <w:tc>
          <w:tcPr>
            <w:tcW w:w="1254" w:type="dxa"/>
            <w:hideMark/>
          </w:tcPr>
          <w:p w14:paraId="31228A39" w14:textId="77777777" w:rsidR="009F3FAC" w:rsidRPr="00516FAB" w:rsidRDefault="009F3FAC" w:rsidP="009F3FAC">
            <w:pPr>
              <w:spacing w:after="40"/>
              <w:jc w:val="center"/>
              <w:rPr>
                <w:rFonts w:asciiTheme="minorBidi" w:hAnsiTheme="minorBidi"/>
                <w:sz w:val="15"/>
                <w:szCs w:val="15"/>
              </w:rPr>
            </w:pPr>
            <w:r>
              <w:rPr>
                <w:rFonts w:asciiTheme="minorBidi" w:hAnsiTheme="minorBidi"/>
                <w:sz w:val="15"/>
                <w:szCs w:val="15"/>
              </w:rPr>
              <w:t>$</w:t>
            </w:r>
            <w:r w:rsidRPr="009C66DE">
              <w:rPr>
                <w:rFonts w:asciiTheme="minorBidi" w:hAnsiTheme="minorBidi"/>
                <w:sz w:val="15"/>
                <w:szCs w:val="15"/>
              </w:rPr>
              <w:t>1,132.36</w:t>
            </w:r>
          </w:p>
        </w:tc>
      </w:tr>
      <w:tr w:rsidR="009F3FAC" w14:paraId="6F461083" w14:textId="77777777" w:rsidTr="00884403">
        <w:trPr>
          <w:trHeight w:val="237"/>
        </w:trPr>
        <w:tc>
          <w:tcPr>
            <w:tcW w:w="1554" w:type="dxa"/>
            <w:tcBorders>
              <w:top w:val="nil"/>
              <w:left w:val="nil"/>
              <w:bottom w:val="single" w:sz="4" w:space="0" w:color="auto"/>
              <w:right w:val="nil"/>
            </w:tcBorders>
            <w:hideMark/>
          </w:tcPr>
          <w:p w14:paraId="284F5F94"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5.125% Subordinated Tier 2 Notes due 2024 (“</w:t>
            </w:r>
            <w:r>
              <w:rPr>
                <w:rFonts w:asciiTheme="minorBidi" w:hAnsiTheme="minorBidi"/>
                <w:b/>
                <w:bCs/>
                <w:sz w:val="15"/>
                <w:szCs w:val="15"/>
              </w:rPr>
              <w:t>2024 Notes</w:t>
            </w:r>
            <w:r>
              <w:rPr>
                <w:rFonts w:asciiTheme="minorBidi" w:hAnsiTheme="minorBidi"/>
                <w:sz w:val="15"/>
                <w:szCs w:val="15"/>
              </w:rPr>
              <w:t>”)</w:t>
            </w:r>
          </w:p>
        </w:tc>
        <w:tc>
          <w:tcPr>
            <w:tcW w:w="1255" w:type="dxa"/>
            <w:tcBorders>
              <w:top w:val="nil"/>
              <w:left w:val="nil"/>
              <w:bottom w:val="single" w:sz="4" w:space="0" w:color="auto"/>
              <w:right w:val="nil"/>
            </w:tcBorders>
            <w:hideMark/>
          </w:tcPr>
          <w:p w14:paraId="08126B10"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The Royal Bank of Scotland Group plc</w:t>
            </w:r>
            <w:r>
              <w:rPr>
                <w:rFonts w:asciiTheme="minorBidi" w:hAnsiTheme="minorBidi"/>
                <w:sz w:val="15"/>
                <w:szCs w:val="15"/>
                <w:vertAlign w:val="superscript"/>
              </w:rPr>
              <w:t>(3)</w:t>
            </w:r>
          </w:p>
        </w:tc>
        <w:tc>
          <w:tcPr>
            <w:tcW w:w="1562" w:type="dxa"/>
            <w:hideMark/>
          </w:tcPr>
          <w:p w14:paraId="45A2046D"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US780099CH81</w:t>
            </w:r>
          </w:p>
          <w:p w14:paraId="7390AB9A"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780099CH8</w:t>
            </w:r>
          </w:p>
        </w:tc>
        <w:tc>
          <w:tcPr>
            <w:tcW w:w="1590" w:type="dxa"/>
            <w:hideMark/>
          </w:tcPr>
          <w:p w14:paraId="10142344" w14:textId="77777777" w:rsidR="009F3FAC" w:rsidRDefault="009F3FAC" w:rsidP="009F3FAC">
            <w:pPr>
              <w:spacing w:after="40"/>
              <w:jc w:val="center"/>
              <w:rPr>
                <w:rFonts w:asciiTheme="minorBidi" w:hAnsiTheme="minorBidi"/>
                <w:sz w:val="15"/>
                <w:szCs w:val="15"/>
              </w:rPr>
            </w:pPr>
            <w:r>
              <w:rPr>
                <w:rFonts w:asciiTheme="minorBidi" w:hAnsiTheme="minorBidi"/>
                <w:sz w:val="15"/>
                <w:szCs w:val="15"/>
              </w:rPr>
              <w:t>$2,250,000,000</w:t>
            </w:r>
          </w:p>
        </w:tc>
        <w:tc>
          <w:tcPr>
            <w:tcW w:w="1531" w:type="dxa"/>
            <w:hideMark/>
          </w:tcPr>
          <w:p w14:paraId="6F99A5F7" w14:textId="77777777" w:rsidR="009F3FAC" w:rsidRPr="00D14592" w:rsidRDefault="009F3FAC" w:rsidP="009F3FAC">
            <w:pPr>
              <w:spacing w:after="40"/>
              <w:jc w:val="center"/>
              <w:rPr>
                <w:rFonts w:asciiTheme="minorBidi" w:hAnsiTheme="minorBidi"/>
                <w:sz w:val="15"/>
                <w:szCs w:val="15"/>
              </w:rPr>
            </w:pPr>
            <w:r w:rsidRPr="00D14592">
              <w:rPr>
                <w:rFonts w:asciiTheme="minorBidi" w:hAnsiTheme="minorBidi"/>
                <w:sz w:val="15"/>
                <w:szCs w:val="15"/>
              </w:rPr>
              <w:t>$1,007,891,000</w:t>
            </w:r>
          </w:p>
        </w:tc>
        <w:tc>
          <w:tcPr>
            <w:tcW w:w="1311" w:type="dxa"/>
            <w:hideMark/>
          </w:tcPr>
          <w:p w14:paraId="7480F2C2" w14:textId="77777777" w:rsidR="009F3FAC" w:rsidRPr="00884403" w:rsidRDefault="009F3FAC" w:rsidP="009F3FAC">
            <w:pPr>
              <w:spacing w:after="40"/>
              <w:jc w:val="center"/>
              <w:rPr>
                <w:rFonts w:asciiTheme="minorBidi" w:hAnsiTheme="minorBidi"/>
                <w:sz w:val="15"/>
                <w:szCs w:val="15"/>
              </w:rPr>
            </w:pPr>
            <w:r w:rsidRPr="00884403">
              <w:rPr>
                <w:rFonts w:asciiTheme="minorBidi" w:hAnsiTheme="minorBidi"/>
                <w:sz w:val="15"/>
                <w:szCs w:val="15"/>
              </w:rPr>
              <w:t>$2,485,000</w:t>
            </w:r>
          </w:p>
        </w:tc>
        <w:tc>
          <w:tcPr>
            <w:tcW w:w="1254" w:type="dxa"/>
            <w:hideMark/>
          </w:tcPr>
          <w:p w14:paraId="11EDEA66" w14:textId="77777777" w:rsidR="009F3FAC" w:rsidRPr="00516FAB" w:rsidRDefault="009F3FAC" w:rsidP="009F3FAC">
            <w:pPr>
              <w:spacing w:after="40"/>
              <w:jc w:val="center"/>
              <w:rPr>
                <w:rFonts w:asciiTheme="minorBidi" w:hAnsiTheme="minorBidi"/>
                <w:sz w:val="15"/>
                <w:szCs w:val="15"/>
              </w:rPr>
            </w:pPr>
            <w:r>
              <w:rPr>
                <w:rFonts w:asciiTheme="minorBidi" w:hAnsiTheme="minorBidi"/>
                <w:sz w:val="15"/>
                <w:szCs w:val="15"/>
              </w:rPr>
              <w:t>$</w:t>
            </w:r>
            <w:r w:rsidRPr="009C66DE">
              <w:rPr>
                <w:rFonts w:asciiTheme="minorBidi" w:hAnsiTheme="minorBidi"/>
                <w:sz w:val="15"/>
                <w:szCs w:val="15"/>
              </w:rPr>
              <w:t>1,119.09</w:t>
            </w:r>
          </w:p>
        </w:tc>
      </w:tr>
    </w:tbl>
    <w:p w14:paraId="6DF45A0A" w14:textId="77777777" w:rsidR="004F464E" w:rsidRDefault="004F464E" w:rsidP="004F464E">
      <w:pPr>
        <w:pStyle w:val="fdtblftn10"/>
        <w:spacing w:after="60"/>
        <w:ind w:left="-360"/>
        <w:rPr>
          <w:rFonts w:asciiTheme="minorBidi" w:hAnsiTheme="minorBidi" w:cstheme="minorBidi"/>
          <w:sz w:val="15"/>
          <w:szCs w:val="15"/>
        </w:rPr>
      </w:pPr>
      <w:r>
        <w:rPr>
          <w:rFonts w:asciiTheme="minorBidi" w:hAnsiTheme="minorBidi" w:cstheme="minorBidi"/>
          <w:sz w:val="15"/>
          <w:szCs w:val="15"/>
        </w:rPr>
        <w:t>(1)</w:t>
      </w:r>
      <w:r>
        <w:rPr>
          <w:rFonts w:asciiTheme="minorBidi" w:hAnsiTheme="minorBidi" w:cstheme="minorBidi"/>
          <w:sz w:val="15"/>
          <w:szCs w:val="15"/>
        </w:rPr>
        <w:tab/>
        <w:t>As of the commencement date of the Offers; excludes $512,315</w:t>
      </w:r>
      <w:r w:rsidR="00E02D96">
        <w:rPr>
          <w:rFonts w:asciiTheme="minorBidi" w:hAnsiTheme="minorBidi" w:cstheme="minorBidi"/>
          <w:sz w:val="15"/>
          <w:szCs w:val="15"/>
        </w:rPr>
        <w:t>,</w:t>
      </w:r>
      <w:r>
        <w:rPr>
          <w:rFonts w:asciiTheme="minorBidi" w:hAnsiTheme="minorBidi" w:cstheme="minorBidi"/>
          <w:sz w:val="15"/>
          <w:szCs w:val="15"/>
        </w:rPr>
        <w:t>000 principal amount of 6.425% Non-Cumulative Trust Preferred Securities, which are held by the Offeror as of the date hereof and are deemed not to be outstanding.</w:t>
      </w:r>
    </w:p>
    <w:p w14:paraId="522F1390" w14:textId="77777777" w:rsidR="004F464E" w:rsidRDefault="004F464E" w:rsidP="004F464E">
      <w:pPr>
        <w:pStyle w:val="fdtblftn10"/>
        <w:spacing w:after="60"/>
        <w:ind w:left="-360"/>
        <w:rPr>
          <w:rFonts w:asciiTheme="minorBidi" w:hAnsiTheme="minorBidi" w:cstheme="minorBidi"/>
          <w:sz w:val="15"/>
          <w:szCs w:val="15"/>
        </w:rPr>
      </w:pPr>
      <w:r>
        <w:rPr>
          <w:rFonts w:asciiTheme="minorBidi" w:hAnsiTheme="minorBidi" w:cstheme="minorBidi"/>
          <w:sz w:val="15"/>
          <w:szCs w:val="15"/>
        </w:rPr>
        <w:t>(2)</w:t>
      </w:r>
      <w:r>
        <w:rPr>
          <w:rFonts w:asciiTheme="minorBidi" w:hAnsiTheme="minorBidi" w:cstheme="minorBidi"/>
          <w:sz w:val="15"/>
          <w:szCs w:val="15"/>
        </w:rPr>
        <w:tab/>
        <w:t>Per $1,000 principal amount of the Notes validly tendered and accepted for purchase.</w:t>
      </w:r>
    </w:p>
    <w:p w14:paraId="730E64BC" w14:textId="77777777" w:rsidR="004F464E" w:rsidRDefault="004F464E" w:rsidP="004F464E">
      <w:pPr>
        <w:pStyle w:val="fdtblftn10"/>
        <w:spacing w:after="60"/>
        <w:ind w:left="-360"/>
        <w:rPr>
          <w:rFonts w:asciiTheme="minorBidi" w:hAnsiTheme="minorBidi" w:cstheme="minorBidi"/>
          <w:sz w:val="15"/>
          <w:szCs w:val="15"/>
        </w:rPr>
      </w:pPr>
      <w:r>
        <w:rPr>
          <w:rFonts w:asciiTheme="minorBidi" w:hAnsiTheme="minorBidi" w:cstheme="minorBidi"/>
          <w:sz w:val="15"/>
          <w:szCs w:val="15"/>
        </w:rPr>
        <w:t>(3)</w:t>
      </w:r>
      <w:r>
        <w:rPr>
          <w:rFonts w:asciiTheme="minorBidi" w:hAnsiTheme="minorBidi" w:cstheme="minorBidi"/>
          <w:sz w:val="15"/>
          <w:szCs w:val="15"/>
        </w:rPr>
        <w:tab/>
        <w:t>Currently NatWest Group plc.</w:t>
      </w:r>
    </w:p>
    <w:p w14:paraId="0A3B6FF2" w14:textId="77777777" w:rsidR="004F464E" w:rsidRDefault="004F464E" w:rsidP="004F464E">
      <w:pPr>
        <w:spacing w:line="280" w:lineRule="exact"/>
        <w:jc w:val="both"/>
        <w:rPr>
          <w:rFonts w:ascii="Arial" w:hAnsi="Arial" w:cs="Arial"/>
        </w:rPr>
      </w:pPr>
    </w:p>
    <w:p w14:paraId="25423CE8" w14:textId="77777777" w:rsidR="004F464E" w:rsidRDefault="004F464E" w:rsidP="004F464E">
      <w:pPr>
        <w:spacing w:line="280" w:lineRule="exact"/>
        <w:jc w:val="both"/>
        <w:rPr>
          <w:rFonts w:ascii="Arial" w:hAnsi="Arial" w:cs="Arial"/>
        </w:rPr>
      </w:pPr>
    </w:p>
    <w:p w14:paraId="79274747" w14:textId="77777777" w:rsidR="004F464E" w:rsidRDefault="004F464E" w:rsidP="004F464E">
      <w:pPr>
        <w:spacing w:line="280" w:lineRule="exact"/>
        <w:jc w:val="both"/>
        <w:rPr>
          <w:rFonts w:ascii="Arial" w:hAnsi="Arial" w:cs="Arial"/>
        </w:rPr>
      </w:pPr>
    </w:p>
    <w:p w14:paraId="72E65511" w14:textId="77777777" w:rsidR="004F464E" w:rsidRDefault="004F464E" w:rsidP="004F464E">
      <w:pPr>
        <w:spacing w:line="280" w:lineRule="exact"/>
        <w:jc w:val="both"/>
        <w:rPr>
          <w:rFonts w:ascii="Arial" w:hAnsi="Arial" w:cs="Arial"/>
        </w:rPr>
      </w:pPr>
    </w:p>
    <w:p w14:paraId="095A6B22" w14:textId="77777777" w:rsidR="004F464E" w:rsidRDefault="004F464E" w:rsidP="004F464E">
      <w:pPr>
        <w:pStyle w:val="Heading1"/>
        <w:keepNext/>
        <w:ind w:left="115"/>
        <w:rPr>
          <w:rFonts w:asciiTheme="minorBidi" w:hAnsiTheme="minorBidi"/>
          <w:b w:val="0"/>
          <w:bCs w:val="0"/>
        </w:rPr>
      </w:pPr>
      <w:r>
        <w:rPr>
          <w:rFonts w:asciiTheme="minorBidi" w:hAnsiTheme="minorBidi"/>
        </w:rPr>
        <w:t xml:space="preserve">FURTHER </w:t>
      </w:r>
      <w:r>
        <w:rPr>
          <w:rFonts w:asciiTheme="minorBidi" w:hAnsiTheme="minorBidi"/>
          <w:spacing w:val="-1"/>
        </w:rPr>
        <w:t>INFORMATION</w:t>
      </w:r>
      <w:r>
        <w:rPr>
          <w:rFonts w:asciiTheme="minorBidi" w:hAnsiTheme="minorBidi"/>
        </w:rPr>
        <w:t xml:space="preserve"> </w:t>
      </w:r>
    </w:p>
    <w:p w14:paraId="6CCCB7DD" w14:textId="77777777" w:rsidR="004F464E" w:rsidRDefault="004F464E" w:rsidP="004F464E">
      <w:pPr>
        <w:spacing w:line="280" w:lineRule="exact"/>
        <w:jc w:val="both"/>
        <w:rPr>
          <w:rFonts w:asciiTheme="minorBidi" w:hAnsiTheme="minorBidi"/>
        </w:rPr>
      </w:pPr>
    </w:p>
    <w:p w14:paraId="04B68230" w14:textId="77777777" w:rsidR="004F464E" w:rsidRDefault="004F464E" w:rsidP="004F464E">
      <w:pPr>
        <w:pStyle w:val="BodyText"/>
        <w:ind w:left="119" w:right="110"/>
        <w:rPr>
          <w:rFonts w:asciiTheme="minorBidi" w:hAnsiTheme="minorBidi"/>
        </w:rPr>
      </w:pPr>
      <w:r>
        <w:rPr>
          <w:rFonts w:asciiTheme="minorBidi" w:hAnsiTheme="minorBidi"/>
        </w:rPr>
        <w:t>Lucid Issuer Services Limited acted as tender agent for the Offers. NatWest Markets Securities Inc., an affiliate of the Offeror, acted as Global Arranger and Lead Dealer Manager and Citigroup Global Markets Limited, Merrill Lynch International, Morgan Stanley &amp; Co. LLC and UBS Securities LLC (together with NatWest Markets Securities Inc.) acted as Dealer Managers. Questions regarding the Offers should be directed to NatWest Markets Securities Inc. at +44 20 7678 522</w:t>
      </w:r>
      <w:r w:rsidR="00C35288">
        <w:rPr>
          <w:rFonts w:asciiTheme="minorBidi" w:hAnsiTheme="minorBidi"/>
        </w:rPr>
        <w:t xml:space="preserve">2, </w:t>
      </w:r>
      <w:r w:rsidR="00C35288">
        <w:t>+1 203 897 6166 (U.S.) or +1 866 884 2071 (U.S. Toll Free)</w:t>
      </w:r>
      <w:r>
        <w:rPr>
          <w:rFonts w:asciiTheme="minorBidi" w:hAnsiTheme="minorBidi"/>
        </w:rPr>
        <w:t>, Citigroup Global Markets Limited at +44 20 7986 8969 (UK), +1 212 723 6106 (U.S.) or +1 800 558 3745 (U.S. Toll Free), Merrill Lynch International at +44 20 7996 5420 (London), +1 888 292 0070 (U.S. Toll Free) or +1 980 387 3907 (U.S.), Morgan Stanley &amp; Co. LLC at +44 20 7677 5040 (Europe), +1 800 624 1808 (U.S. Toll Free) or +1 212 761 1057 (U.S.) and UBS Securities LLC at +44 20 7568 1121 (Europe), +1 888 719-4210 (U.S. Toll Free) or + 1 203 719 4210 (U.S.).</w:t>
      </w:r>
    </w:p>
    <w:p w14:paraId="68AD2A4D" w14:textId="77777777" w:rsidR="004F464E" w:rsidRDefault="004F464E" w:rsidP="004F464E">
      <w:pPr>
        <w:pStyle w:val="Heading1"/>
        <w:ind w:left="119"/>
        <w:rPr>
          <w:rFonts w:asciiTheme="minorBidi" w:hAnsiTheme="minorBidi"/>
          <w:spacing w:val="-1"/>
        </w:rPr>
      </w:pPr>
    </w:p>
    <w:p w14:paraId="563CB505" w14:textId="77777777" w:rsidR="004F464E" w:rsidRDefault="004F464E" w:rsidP="004F464E">
      <w:pPr>
        <w:pStyle w:val="Heading1"/>
        <w:keepNext/>
        <w:ind w:left="115"/>
        <w:rPr>
          <w:rFonts w:asciiTheme="minorBidi" w:hAnsiTheme="minorBidi"/>
          <w:spacing w:val="-1"/>
        </w:rPr>
      </w:pPr>
      <w:r>
        <w:rPr>
          <w:rFonts w:asciiTheme="minorBidi" w:hAnsiTheme="minorBidi"/>
          <w:spacing w:val="-1"/>
        </w:rPr>
        <w:t>FORWARD-LOOKING</w:t>
      </w:r>
      <w:r>
        <w:rPr>
          <w:rFonts w:asciiTheme="minorBidi" w:hAnsiTheme="minorBidi"/>
          <w:spacing w:val="-37"/>
        </w:rPr>
        <w:t xml:space="preserve"> </w:t>
      </w:r>
      <w:r>
        <w:rPr>
          <w:rFonts w:asciiTheme="minorBidi" w:hAnsiTheme="minorBidi"/>
          <w:spacing w:val="-1"/>
        </w:rPr>
        <w:t>STATEMENTS</w:t>
      </w:r>
    </w:p>
    <w:p w14:paraId="71F973FA" w14:textId="77777777" w:rsidR="004F464E" w:rsidRDefault="004F464E" w:rsidP="004F464E">
      <w:pPr>
        <w:pStyle w:val="Heading1"/>
        <w:keepNext/>
        <w:ind w:left="115"/>
        <w:rPr>
          <w:rFonts w:asciiTheme="minorBidi" w:hAnsiTheme="minorBidi"/>
          <w:b w:val="0"/>
          <w:bCs w:val="0"/>
        </w:rPr>
      </w:pPr>
    </w:p>
    <w:p w14:paraId="09E344FF" w14:textId="77777777" w:rsidR="004F464E" w:rsidRDefault="004F464E" w:rsidP="004F464E">
      <w:pPr>
        <w:pStyle w:val="BodyText"/>
        <w:ind w:left="119" w:right="110"/>
        <w:rPr>
          <w:rFonts w:asciiTheme="minorBidi" w:hAnsiTheme="minorBidi"/>
        </w:rPr>
      </w:pPr>
      <w:r>
        <w:rPr>
          <w:rFonts w:asciiTheme="minorBidi" w:hAnsiTheme="minorBidi"/>
        </w:rPr>
        <w:t>From time to time, we may make statements, both written and oral, regarding our assumptions, projections, expectations, intentions or beliefs about future events.  These statements constitute “forward-looking statements”.  We caution that these statements may and often do vary materially from actual results.  Accordingly, we cannot assure you that actual results will not differ materially from those expressed or implied by the forward-looking statements. You should read the sections entitled “</w:t>
      </w:r>
      <w:r>
        <w:rPr>
          <w:rFonts w:asciiTheme="minorBidi" w:hAnsiTheme="minorBidi"/>
          <w:i/>
          <w:iCs/>
        </w:rPr>
        <w:t>Risk Factors</w:t>
      </w:r>
      <w:r>
        <w:rPr>
          <w:rFonts w:asciiTheme="minorBidi" w:hAnsiTheme="minorBidi"/>
        </w:rPr>
        <w:t>” in the Offer to Purchase, in our Annual Report and “</w:t>
      </w:r>
      <w:r>
        <w:rPr>
          <w:rFonts w:asciiTheme="minorBidi" w:hAnsiTheme="minorBidi"/>
          <w:i/>
          <w:iCs/>
        </w:rPr>
        <w:t>Forward-Looking Statements</w:t>
      </w:r>
      <w:r>
        <w:rPr>
          <w:rFonts w:asciiTheme="minorBidi" w:hAnsiTheme="minorBidi"/>
        </w:rPr>
        <w:t xml:space="preserve">” in our Annual Report. </w:t>
      </w:r>
    </w:p>
    <w:p w14:paraId="6EDA91D2" w14:textId="77777777" w:rsidR="004F464E" w:rsidRDefault="004F464E" w:rsidP="004F464E">
      <w:pPr>
        <w:pStyle w:val="BodyText"/>
        <w:ind w:left="119" w:right="110"/>
        <w:rPr>
          <w:rFonts w:asciiTheme="minorBidi" w:hAnsiTheme="minorBidi"/>
          <w:lang w:eastAsia="zh-CN"/>
        </w:rPr>
      </w:pPr>
    </w:p>
    <w:p w14:paraId="5219256A" w14:textId="77777777" w:rsidR="004F464E" w:rsidRDefault="004F464E" w:rsidP="004F464E">
      <w:pPr>
        <w:pStyle w:val="BodyText"/>
        <w:ind w:left="119" w:right="110"/>
        <w:rPr>
          <w:rFonts w:asciiTheme="minorBidi" w:hAnsiTheme="minorBidi"/>
        </w:rPr>
      </w:pPr>
      <w:r>
        <w:rPr>
          <w:rFonts w:asciiTheme="minorBidi" w:hAnsiTheme="minorBidi"/>
        </w:rPr>
        <w:t xml:space="preserve">Any forward-looking statements made herein or in the documents incorporated by reference herein speak only as of the date they are made. Except as required by the U.K. Financial Conduct Authority (the “FCA”), any applicable stock exchange or any applicable law, we expressly disclaim any obligation or undertaking to release publicly any updates or revisions to any forward-looking statement contained in the Offer to Purchase or the documents incorporated by reference herein to reflect any changes in expectations with regard thereto or any new information or any changes in events, conditions or </w:t>
      </w:r>
      <w:r>
        <w:rPr>
          <w:rFonts w:asciiTheme="minorBidi" w:hAnsiTheme="minorBidi"/>
        </w:rPr>
        <w:lastRenderedPageBreak/>
        <w:t>circumstances on which any such statement is based. The reader should, however, consult any additional disclosures that we have made or may make in documents we have filed or may file with the SEC.</w:t>
      </w:r>
    </w:p>
    <w:p w14:paraId="29BD44BA" w14:textId="77777777" w:rsidR="004F464E" w:rsidRDefault="004F464E" w:rsidP="004F464E">
      <w:pPr>
        <w:pStyle w:val="BodyText"/>
        <w:ind w:left="119" w:right="110"/>
        <w:rPr>
          <w:rFonts w:asciiTheme="minorBidi" w:hAnsiTheme="minorBidi"/>
        </w:rPr>
      </w:pPr>
    </w:p>
    <w:tbl>
      <w:tblPr>
        <w:tblW w:w="6806" w:type="dxa"/>
        <w:tblCellSpacing w:w="0" w:type="dxa"/>
        <w:tblCellMar>
          <w:left w:w="0" w:type="dxa"/>
          <w:right w:w="0" w:type="dxa"/>
        </w:tblCellMar>
        <w:tblLook w:val="04A0" w:firstRow="1" w:lastRow="0" w:firstColumn="1" w:lastColumn="0" w:noHBand="0" w:noVBand="1"/>
      </w:tblPr>
      <w:tblGrid>
        <w:gridCol w:w="3295"/>
        <w:gridCol w:w="3511"/>
      </w:tblGrid>
      <w:tr w:rsidR="004F464E" w14:paraId="03A9659B" w14:textId="77777777" w:rsidTr="004F464E">
        <w:trPr>
          <w:trHeight w:val="318"/>
          <w:tblCellSpacing w:w="0" w:type="dxa"/>
        </w:trPr>
        <w:tc>
          <w:tcPr>
            <w:tcW w:w="0" w:type="auto"/>
            <w:hideMark/>
          </w:tcPr>
          <w:p w14:paraId="5D0258A7" w14:textId="77777777" w:rsidR="004F464E" w:rsidRDefault="004F464E">
            <w:pPr>
              <w:spacing w:after="160" w:line="235" w:lineRule="atLeast"/>
              <w:ind w:left="90"/>
              <w:rPr>
                <w:rFonts w:asciiTheme="minorBidi" w:hAnsiTheme="minorBidi"/>
                <w:b/>
                <w:bCs/>
                <w:color w:val="000000"/>
              </w:rPr>
            </w:pPr>
            <w:r>
              <w:rPr>
                <w:rFonts w:asciiTheme="minorBidi" w:hAnsiTheme="minorBidi"/>
                <w:b/>
                <w:bCs/>
                <w:color w:val="000000"/>
              </w:rPr>
              <w:t>Legal Entity Identifiers</w:t>
            </w:r>
          </w:p>
        </w:tc>
        <w:tc>
          <w:tcPr>
            <w:tcW w:w="0" w:type="auto"/>
            <w:hideMark/>
          </w:tcPr>
          <w:p w14:paraId="3E0FEAA4" w14:textId="77777777" w:rsidR="004F464E" w:rsidRDefault="004F464E">
            <w:pPr>
              <w:spacing w:after="160" w:line="235" w:lineRule="atLeast"/>
              <w:ind w:left="90"/>
              <w:rPr>
                <w:rFonts w:asciiTheme="minorBidi" w:hAnsiTheme="minorBidi"/>
                <w:color w:val="000000"/>
              </w:rPr>
            </w:pPr>
            <w:r>
              <w:rPr>
                <w:rFonts w:asciiTheme="minorBidi" w:hAnsiTheme="minorBidi"/>
                <w:color w:val="000000"/>
              </w:rPr>
              <w:t> </w:t>
            </w:r>
          </w:p>
        </w:tc>
      </w:tr>
      <w:tr w:rsidR="004F464E" w14:paraId="70ABF620" w14:textId="77777777" w:rsidTr="004F464E">
        <w:trPr>
          <w:trHeight w:val="284"/>
          <w:tblCellSpacing w:w="0" w:type="dxa"/>
        </w:trPr>
        <w:tc>
          <w:tcPr>
            <w:tcW w:w="0" w:type="auto"/>
            <w:hideMark/>
          </w:tcPr>
          <w:p w14:paraId="14AB9E7D" w14:textId="77777777" w:rsidR="004F464E" w:rsidRDefault="004F464E">
            <w:pPr>
              <w:spacing w:after="160" w:line="235" w:lineRule="atLeast"/>
              <w:ind w:left="90"/>
              <w:rPr>
                <w:rFonts w:asciiTheme="minorBidi" w:hAnsiTheme="minorBidi"/>
                <w:color w:val="000000"/>
              </w:rPr>
            </w:pPr>
            <w:r>
              <w:rPr>
                <w:rFonts w:asciiTheme="minorBidi" w:hAnsiTheme="minorBidi"/>
                <w:color w:val="000000"/>
              </w:rPr>
              <w:t>NatWest Group plc</w:t>
            </w:r>
          </w:p>
        </w:tc>
        <w:tc>
          <w:tcPr>
            <w:tcW w:w="0" w:type="auto"/>
            <w:hideMark/>
          </w:tcPr>
          <w:p w14:paraId="16EBD736" w14:textId="77777777" w:rsidR="004F464E" w:rsidRDefault="004F464E">
            <w:pPr>
              <w:spacing w:after="160" w:line="235" w:lineRule="atLeast"/>
              <w:ind w:left="90"/>
              <w:rPr>
                <w:rFonts w:asciiTheme="minorBidi" w:hAnsiTheme="minorBidi"/>
                <w:color w:val="000000"/>
              </w:rPr>
            </w:pPr>
            <w:r>
              <w:rPr>
                <w:rFonts w:asciiTheme="minorBidi" w:hAnsiTheme="minorBidi"/>
                <w:color w:val="000000"/>
              </w:rPr>
              <w:t>2138005O9XJIJN4JPN90</w:t>
            </w:r>
          </w:p>
        </w:tc>
      </w:tr>
    </w:tbl>
    <w:p w14:paraId="100E1CB8" w14:textId="77777777" w:rsidR="0028375C" w:rsidRDefault="0028375C">
      <w:pPr>
        <w:rPr>
          <w:rFonts w:ascii="Arial" w:eastAsia="Arial" w:hAnsi="Arial" w:cs="Arial"/>
          <w:sz w:val="21"/>
          <w:szCs w:val="21"/>
        </w:rPr>
      </w:pPr>
    </w:p>
    <w:sectPr w:rsidR="0028375C" w:rsidSect="00DF65C6">
      <w:headerReference w:type="default" r:id="rId10"/>
      <w:footerReference w:type="default" r:id="rId11"/>
      <w:type w:val="continuous"/>
      <w:pgSz w:w="12240" w:h="15840"/>
      <w:pgMar w:top="660" w:right="1000" w:bottom="1100" w:left="960" w:header="0" w:footer="90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DB220" w14:textId="77777777" w:rsidR="00FD4507" w:rsidRDefault="00FD4507">
      <w:r>
        <w:separator/>
      </w:r>
    </w:p>
  </w:endnote>
  <w:endnote w:type="continuationSeparator" w:id="0">
    <w:p w14:paraId="4D062A32" w14:textId="77777777" w:rsidR="00FD4507" w:rsidRDefault="00F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embedRegular r:id="rId1" w:subsetted="1" w:fontKey="{B17BD48B-424F-47D8-9397-85A2704BD606}"/>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EB39E" w14:textId="77777777" w:rsidR="00362E7A" w:rsidRDefault="00362E7A" w:rsidP="00362E7A">
    <w:pPr>
      <w:pStyle w:val="Footer"/>
      <w:jc w:val="center"/>
    </w:pPr>
    <w:r>
      <w:fldChar w:fldCharType="begin"/>
    </w:r>
    <w:r>
      <w:instrText xml:space="preserve"> PAGE  \* MERGEFORMAT </w:instrText>
    </w:r>
    <w:r>
      <w:fldChar w:fldCharType="separate"/>
    </w:r>
    <w:r w:rsidR="007967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2D941" w14:textId="77777777" w:rsidR="00FD4507" w:rsidRDefault="00FD4507">
      <w:r>
        <w:separator/>
      </w:r>
    </w:p>
  </w:footnote>
  <w:footnote w:type="continuationSeparator" w:id="0">
    <w:p w14:paraId="6560A1A4" w14:textId="77777777" w:rsidR="00FD4507" w:rsidRDefault="00F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4760" w14:textId="77777777" w:rsidR="00ED060B" w:rsidRDefault="00ED060B" w:rsidP="00AE2570">
    <w:pPr>
      <w:pStyle w:val="Header"/>
      <w:jc w:val="right"/>
      <w:rPr>
        <w:rFonts w:asciiTheme="minorBidi" w:hAnsiTheme="minorBidi"/>
        <w:sz w:val="16"/>
        <w:szCs w:val="16"/>
      </w:rPr>
    </w:pPr>
  </w:p>
  <w:p w14:paraId="2D2B0F5C" w14:textId="77777777" w:rsidR="00C97242" w:rsidRPr="005D33E9" w:rsidRDefault="00C97242" w:rsidP="00AE2570">
    <w:pPr>
      <w:pStyle w:val="Header"/>
      <w:jc w:val="right"/>
      <w:rPr>
        <w:rFonts w:asciiTheme="minorBidi" w:hAnsiTheme="min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6466C"/>
    <w:multiLevelType w:val="hybridMultilevel"/>
    <w:tmpl w:val="DB9C6E22"/>
    <w:lvl w:ilvl="0" w:tplc="4E8EECAA">
      <w:start w:val="1"/>
      <w:numFmt w:val="bullet"/>
      <w:lvlText w:val=""/>
      <w:lvlJc w:val="left"/>
      <w:pPr>
        <w:ind w:left="840" w:hanging="361"/>
      </w:pPr>
      <w:rPr>
        <w:rFonts w:ascii="Symbol" w:eastAsia="Symbol" w:hAnsi="Symbol" w:hint="default"/>
        <w:w w:val="99"/>
        <w:sz w:val="22"/>
        <w:szCs w:val="22"/>
      </w:rPr>
    </w:lvl>
    <w:lvl w:ilvl="1" w:tplc="D9C88108">
      <w:start w:val="1"/>
      <w:numFmt w:val="bullet"/>
      <w:lvlText w:val="•"/>
      <w:lvlJc w:val="left"/>
      <w:pPr>
        <w:ind w:left="1786" w:hanging="361"/>
      </w:pPr>
      <w:rPr>
        <w:rFonts w:hint="default"/>
      </w:rPr>
    </w:lvl>
    <w:lvl w:ilvl="2" w:tplc="9F7855CC">
      <w:start w:val="1"/>
      <w:numFmt w:val="bullet"/>
      <w:lvlText w:val="•"/>
      <w:lvlJc w:val="left"/>
      <w:pPr>
        <w:ind w:left="2732" w:hanging="361"/>
      </w:pPr>
      <w:rPr>
        <w:rFonts w:hint="default"/>
      </w:rPr>
    </w:lvl>
    <w:lvl w:ilvl="3" w:tplc="D3DE8BCC">
      <w:start w:val="1"/>
      <w:numFmt w:val="bullet"/>
      <w:lvlText w:val="•"/>
      <w:lvlJc w:val="left"/>
      <w:pPr>
        <w:ind w:left="3678" w:hanging="361"/>
      </w:pPr>
      <w:rPr>
        <w:rFonts w:hint="default"/>
      </w:rPr>
    </w:lvl>
    <w:lvl w:ilvl="4" w:tplc="BD90CCC8">
      <w:start w:val="1"/>
      <w:numFmt w:val="bullet"/>
      <w:lvlText w:val="•"/>
      <w:lvlJc w:val="left"/>
      <w:pPr>
        <w:ind w:left="4624" w:hanging="361"/>
      </w:pPr>
      <w:rPr>
        <w:rFonts w:hint="default"/>
      </w:rPr>
    </w:lvl>
    <w:lvl w:ilvl="5" w:tplc="BDC823B2">
      <w:start w:val="1"/>
      <w:numFmt w:val="bullet"/>
      <w:lvlText w:val="•"/>
      <w:lvlJc w:val="left"/>
      <w:pPr>
        <w:ind w:left="5570" w:hanging="361"/>
      </w:pPr>
      <w:rPr>
        <w:rFonts w:hint="default"/>
      </w:rPr>
    </w:lvl>
    <w:lvl w:ilvl="6" w:tplc="D918E7FE">
      <w:start w:val="1"/>
      <w:numFmt w:val="bullet"/>
      <w:lvlText w:val="•"/>
      <w:lvlJc w:val="left"/>
      <w:pPr>
        <w:ind w:left="6516" w:hanging="361"/>
      </w:pPr>
      <w:rPr>
        <w:rFonts w:hint="default"/>
      </w:rPr>
    </w:lvl>
    <w:lvl w:ilvl="7" w:tplc="B0D091D6">
      <w:start w:val="1"/>
      <w:numFmt w:val="bullet"/>
      <w:lvlText w:val="•"/>
      <w:lvlJc w:val="left"/>
      <w:pPr>
        <w:ind w:left="7462" w:hanging="361"/>
      </w:pPr>
      <w:rPr>
        <w:rFonts w:hint="default"/>
      </w:rPr>
    </w:lvl>
    <w:lvl w:ilvl="8" w:tplc="2D2668DA">
      <w:start w:val="1"/>
      <w:numFmt w:val="bullet"/>
      <w:lvlText w:val="•"/>
      <w:lvlJc w:val="left"/>
      <w:pPr>
        <w:ind w:left="8408" w:hanging="361"/>
      </w:pPr>
      <w:rPr>
        <w:rFonts w:hint="default"/>
      </w:rPr>
    </w:lvl>
  </w:abstractNum>
  <w:abstractNum w:abstractNumId="1" w15:restartNumberingAfterBreak="0">
    <w:nsid w:val="5CE90FB7"/>
    <w:multiLevelType w:val="hybridMultilevel"/>
    <w:tmpl w:val="FF226D22"/>
    <w:lvl w:ilvl="0" w:tplc="8B20C036">
      <w:start w:val="1"/>
      <w:numFmt w:val="bullet"/>
      <w:lvlText w:val=""/>
      <w:lvlJc w:val="left"/>
      <w:pPr>
        <w:ind w:left="840" w:hanging="361"/>
      </w:pPr>
      <w:rPr>
        <w:rFonts w:ascii="Symbol" w:eastAsia="Symbol" w:hAnsi="Symbol" w:hint="default"/>
        <w:w w:val="99"/>
        <w:sz w:val="22"/>
        <w:szCs w:val="22"/>
      </w:rPr>
    </w:lvl>
    <w:lvl w:ilvl="1" w:tplc="5BF065BC">
      <w:start w:val="1"/>
      <w:numFmt w:val="bullet"/>
      <w:lvlText w:val="•"/>
      <w:lvlJc w:val="left"/>
      <w:pPr>
        <w:ind w:left="1786" w:hanging="361"/>
      </w:pPr>
      <w:rPr>
        <w:rFonts w:hint="default"/>
      </w:rPr>
    </w:lvl>
    <w:lvl w:ilvl="2" w:tplc="74789AA8">
      <w:start w:val="1"/>
      <w:numFmt w:val="bullet"/>
      <w:lvlText w:val="•"/>
      <w:lvlJc w:val="left"/>
      <w:pPr>
        <w:ind w:left="2732" w:hanging="361"/>
      </w:pPr>
      <w:rPr>
        <w:rFonts w:hint="default"/>
      </w:rPr>
    </w:lvl>
    <w:lvl w:ilvl="3" w:tplc="CD8C0398">
      <w:start w:val="1"/>
      <w:numFmt w:val="bullet"/>
      <w:lvlText w:val="•"/>
      <w:lvlJc w:val="left"/>
      <w:pPr>
        <w:ind w:left="3678" w:hanging="361"/>
      </w:pPr>
      <w:rPr>
        <w:rFonts w:hint="default"/>
      </w:rPr>
    </w:lvl>
    <w:lvl w:ilvl="4" w:tplc="40DEEBF4">
      <w:start w:val="1"/>
      <w:numFmt w:val="bullet"/>
      <w:lvlText w:val="•"/>
      <w:lvlJc w:val="left"/>
      <w:pPr>
        <w:ind w:left="4624" w:hanging="361"/>
      </w:pPr>
      <w:rPr>
        <w:rFonts w:hint="default"/>
      </w:rPr>
    </w:lvl>
    <w:lvl w:ilvl="5" w:tplc="8FA8AC8E">
      <w:start w:val="1"/>
      <w:numFmt w:val="bullet"/>
      <w:lvlText w:val="•"/>
      <w:lvlJc w:val="left"/>
      <w:pPr>
        <w:ind w:left="5570" w:hanging="361"/>
      </w:pPr>
      <w:rPr>
        <w:rFonts w:hint="default"/>
      </w:rPr>
    </w:lvl>
    <w:lvl w:ilvl="6" w:tplc="57AE0D9A">
      <w:start w:val="1"/>
      <w:numFmt w:val="bullet"/>
      <w:lvlText w:val="•"/>
      <w:lvlJc w:val="left"/>
      <w:pPr>
        <w:ind w:left="6516" w:hanging="361"/>
      </w:pPr>
      <w:rPr>
        <w:rFonts w:hint="default"/>
      </w:rPr>
    </w:lvl>
    <w:lvl w:ilvl="7" w:tplc="44F8607E">
      <w:start w:val="1"/>
      <w:numFmt w:val="bullet"/>
      <w:lvlText w:val="•"/>
      <w:lvlJc w:val="left"/>
      <w:pPr>
        <w:ind w:left="7462" w:hanging="361"/>
      </w:pPr>
      <w:rPr>
        <w:rFonts w:hint="default"/>
      </w:rPr>
    </w:lvl>
    <w:lvl w:ilvl="8" w:tplc="5D5E4F82">
      <w:start w:val="1"/>
      <w:numFmt w:val="bullet"/>
      <w:lvlText w:val="•"/>
      <w:lvlJc w:val="left"/>
      <w:pPr>
        <w:ind w:left="8408"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TrueTypeFonts/>
  <w:saveSubsetFonts/>
  <w:proofState w:spelling="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5C"/>
    <w:rsid w:val="00000689"/>
    <w:rsid w:val="000169A3"/>
    <w:rsid w:val="00016ADB"/>
    <w:rsid w:val="00023CE8"/>
    <w:rsid w:val="0002743E"/>
    <w:rsid w:val="00033983"/>
    <w:rsid w:val="00034CCF"/>
    <w:rsid w:val="00041EA8"/>
    <w:rsid w:val="00051B07"/>
    <w:rsid w:val="00053CFF"/>
    <w:rsid w:val="0005608A"/>
    <w:rsid w:val="00057A8F"/>
    <w:rsid w:val="00065478"/>
    <w:rsid w:val="0006609A"/>
    <w:rsid w:val="000854D8"/>
    <w:rsid w:val="00087A47"/>
    <w:rsid w:val="000970CB"/>
    <w:rsid w:val="000A7538"/>
    <w:rsid w:val="000C0407"/>
    <w:rsid w:val="000C0D0E"/>
    <w:rsid w:val="000C32A0"/>
    <w:rsid w:val="000C3337"/>
    <w:rsid w:val="000D1125"/>
    <w:rsid w:val="000D2809"/>
    <w:rsid w:val="000D2C96"/>
    <w:rsid w:val="000D63B7"/>
    <w:rsid w:val="000E056E"/>
    <w:rsid w:val="000E4013"/>
    <w:rsid w:val="00103897"/>
    <w:rsid w:val="00106593"/>
    <w:rsid w:val="00106A03"/>
    <w:rsid w:val="00117E42"/>
    <w:rsid w:val="001221F5"/>
    <w:rsid w:val="00123D2A"/>
    <w:rsid w:val="001250DB"/>
    <w:rsid w:val="00125279"/>
    <w:rsid w:val="00136348"/>
    <w:rsid w:val="00143C99"/>
    <w:rsid w:val="001443C6"/>
    <w:rsid w:val="00147F31"/>
    <w:rsid w:val="001502C9"/>
    <w:rsid w:val="00152BE6"/>
    <w:rsid w:val="00163ADF"/>
    <w:rsid w:val="00164E2C"/>
    <w:rsid w:val="00182506"/>
    <w:rsid w:val="001874B1"/>
    <w:rsid w:val="00195ADA"/>
    <w:rsid w:val="001A1CAE"/>
    <w:rsid w:val="001A29B1"/>
    <w:rsid w:val="001A4A63"/>
    <w:rsid w:val="001C02D2"/>
    <w:rsid w:val="001C770F"/>
    <w:rsid w:val="001D3548"/>
    <w:rsid w:val="001F339B"/>
    <w:rsid w:val="001F56E2"/>
    <w:rsid w:val="00201A54"/>
    <w:rsid w:val="00203646"/>
    <w:rsid w:val="00204AEA"/>
    <w:rsid w:val="00214EF5"/>
    <w:rsid w:val="002165FB"/>
    <w:rsid w:val="002251BE"/>
    <w:rsid w:val="00231773"/>
    <w:rsid w:val="00237291"/>
    <w:rsid w:val="002372EB"/>
    <w:rsid w:val="0024585E"/>
    <w:rsid w:val="0026286C"/>
    <w:rsid w:val="00265016"/>
    <w:rsid w:val="00267952"/>
    <w:rsid w:val="00280894"/>
    <w:rsid w:val="002820AD"/>
    <w:rsid w:val="00283379"/>
    <w:rsid w:val="0028375C"/>
    <w:rsid w:val="00286B39"/>
    <w:rsid w:val="0029716C"/>
    <w:rsid w:val="002A53C8"/>
    <w:rsid w:val="002C0FA5"/>
    <w:rsid w:val="002C2324"/>
    <w:rsid w:val="002C4498"/>
    <w:rsid w:val="002D2E3D"/>
    <w:rsid w:val="002D32DF"/>
    <w:rsid w:val="002E0D4A"/>
    <w:rsid w:val="002E4856"/>
    <w:rsid w:val="002F122A"/>
    <w:rsid w:val="002F3B3F"/>
    <w:rsid w:val="002F3D7A"/>
    <w:rsid w:val="002F3FB6"/>
    <w:rsid w:val="00305A27"/>
    <w:rsid w:val="00314C91"/>
    <w:rsid w:val="00320E78"/>
    <w:rsid w:val="00330A09"/>
    <w:rsid w:val="00334A03"/>
    <w:rsid w:val="00334EB2"/>
    <w:rsid w:val="003477DA"/>
    <w:rsid w:val="00353D91"/>
    <w:rsid w:val="00354BA3"/>
    <w:rsid w:val="00360650"/>
    <w:rsid w:val="00360EE8"/>
    <w:rsid w:val="00362E7A"/>
    <w:rsid w:val="0036312D"/>
    <w:rsid w:val="0036376E"/>
    <w:rsid w:val="00367C2F"/>
    <w:rsid w:val="00373E6C"/>
    <w:rsid w:val="003755B4"/>
    <w:rsid w:val="00394FA6"/>
    <w:rsid w:val="003A02F2"/>
    <w:rsid w:val="003A2E06"/>
    <w:rsid w:val="003A4CD6"/>
    <w:rsid w:val="003A6B19"/>
    <w:rsid w:val="003B316D"/>
    <w:rsid w:val="003B7A4B"/>
    <w:rsid w:val="003C262E"/>
    <w:rsid w:val="003C4D70"/>
    <w:rsid w:val="003C5848"/>
    <w:rsid w:val="003C6B1E"/>
    <w:rsid w:val="003D230A"/>
    <w:rsid w:val="003D277D"/>
    <w:rsid w:val="003D5477"/>
    <w:rsid w:val="003D5A30"/>
    <w:rsid w:val="003D64FA"/>
    <w:rsid w:val="003E4CA4"/>
    <w:rsid w:val="003E7CC0"/>
    <w:rsid w:val="003F038D"/>
    <w:rsid w:val="003F1151"/>
    <w:rsid w:val="003F4571"/>
    <w:rsid w:val="00407D10"/>
    <w:rsid w:val="0041761E"/>
    <w:rsid w:val="004179B0"/>
    <w:rsid w:val="004210A5"/>
    <w:rsid w:val="00421AEA"/>
    <w:rsid w:val="004229FF"/>
    <w:rsid w:val="00430A5A"/>
    <w:rsid w:val="00436CF6"/>
    <w:rsid w:val="00442267"/>
    <w:rsid w:val="0044273D"/>
    <w:rsid w:val="004474E9"/>
    <w:rsid w:val="004535E4"/>
    <w:rsid w:val="00453DC8"/>
    <w:rsid w:val="004622F7"/>
    <w:rsid w:val="004716F0"/>
    <w:rsid w:val="004748B3"/>
    <w:rsid w:val="00494206"/>
    <w:rsid w:val="004A6E9D"/>
    <w:rsid w:val="004B4038"/>
    <w:rsid w:val="004D0DCC"/>
    <w:rsid w:val="004D1415"/>
    <w:rsid w:val="004D1882"/>
    <w:rsid w:val="004D74B1"/>
    <w:rsid w:val="004F02CA"/>
    <w:rsid w:val="004F39C0"/>
    <w:rsid w:val="004F464E"/>
    <w:rsid w:val="00513700"/>
    <w:rsid w:val="00515F5F"/>
    <w:rsid w:val="005207C7"/>
    <w:rsid w:val="00521EDD"/>
    <w:rsid w:val="00532AA7"/>
    <w:rsid w:val="005449A9"/>
    <w:rsid w:val="00544B0E"/>
    <w:rsid w:val="00546376"/>
    <w:rsid w:val="00550947"/>
    <w:rsid w:val="00552C31"/>
    <w:rsid w:val="00554A93"/>
    <w:rsid w:val="00555758"/>
    <w:rsid w:val="00557FCD"/>
    <w:rsid w:val="00560C83"/>
    <w:rsid w:val="0057131A"/>
    <w:rsid w:val="00572027"/>
    <w:rsid w:val="00583195"/>
    <w:rsid w:val="005924D1"/>
    <w:rsid w:val="0059579C"/>
    <w:rsid w:val="00596ECB"/>
    <w:rsid w:val="005A2447"/>
    <w:rsid w:val="005A3455"/>
    <w:rsid w:val="005C74C0"/>
    <w:rsid w:val="005D3494"/>
    <w:rsid w:val="005D5D64"/>
    <w:rsid w:val="005E3A0E"/>
    <w:rsid w:val="005F03BD"/>
    <w:rsid w:val="005F3B5B"/>
    <w:rsid w:val="005F6BFC"/>
    <w:rsid w:val="00603E11"/>
    <w:rsid w:val="006046A1"/>
    <w:rsid w:val="00612A85"/>
    <w:rsid w:val="00613920"/>
    <w:rsid w:val="006162CB"/>
    <w:rsid w:val="006250AA"/>
    <w:rsid w:val="00625473"/>
    <w:rsid w:val="0062684C"/>
    <w:rsid w:val="006327EB"/>
    <w:rsid w:val="006336FF"/>
    <w:rsid w:val="00633BAE"/>
    <w:rsid w:val="0063643C"/>
    <w:rsid w:val="00641774"/>
    <w:rsid w:val="00641DD4"/>
    <w:rsid w:val="00644A76"/>
    <w:rsid w:val="00650D73"/>
    <w:rsid w:val="0065656E"/>
    <w:rsid w:val="00656E54"/>
    <w:rsid w:val="006602AC"/>
    <w:rsid w:val="00662DD7"/>
    <w:rsid w:val="00664E3F"/>
    <w:rsid w:val="006702D1"/>
    <w:rsid w:val="00670A9E"/>
    <w:rsid w:val="00674FC8"/>
    <w:rsid w:val="00675CEF"/>
    <w:rsid w:val="00683765"/>
    <w:rsid w:val="00696DB0"/>
    <w:rsid w:val="006A2059"/>
    <w:rsid w:val="006B0482"/>
    <w:rsid w:val="006B0E5F"/>
    <w:rsid w:val="006B3C48"/>
    <w:rsid w:val="006B4A26"/>
    <w:rsid w:val="006C015A"/>
    <w:rsid w:val="006C05BE"/>
    <w:rsid w:val="006E2D02"/>
    <w:rsid w:val="006F1A44"/>
    <w:rsid w:val="006F551E"/>
    <w:rsid w:val="00701424"/>
    <w:rsid w:val="0070464C"/>
    <w:rsid w:val="00711802"/>
    <w:rsid w:val="00713FAA"/>
    <w:rsid w:val="00714FBE"/>
    <w:rsid w:val="007155DD"/>
    <w:rsid w:val="00720026"/>
    <w:rsid w:val="00726B9B"/>
    <w:rsid w:val="00736C5C"/>
    <w:rsid w:val="007379A0"/>
    <w:rsid w:val="00744E3F"/>
    <w:rsid w:val="00745BCC"/>
    <w:rsid w:val="007472E0"/>
    <w:rsid w:val="00754B3A"/>
    <w:rsid w:val="0075587B"/>
    <w:rsid w:val="00774289"/>
    <w:rsid w:val="007810B5"/>
    <w:rsid w:val="0078444F"/>
    <w:rsid w:val="00787A22"/>
    <w:rsid w:val="00796735"/>
    <w:rsid w:val="00796917"/>
    <w:rsid w:val="007A0B64"/>
    <w:rsid w:val="007A5496"/>
    <w:rsid w:val="007B0E26"/>
    <w:rsid w:val="007D30E1"/>
    <w:rsid w:val="007E3AF9"/>
    <w:rsid w:val="007E3F61"/>
    <w:rsid w:val="007F6D58"/>
    <w:rsid w:val="00803850"/>
    <w:rsid w:val="00805DAF"/>
    <w:rsid w:val="00807A79"/>
    <w:rsid w:val="00807E03"/>
    <w:rsid w:val="00816799"/>
    <w:rsid w:val="00817A7E"/>
    <w:rsid w:val="00822801"/>
    <w:rsid w:val="00823E95"/>
    <w:rsid w:val="00824D7E"/>
    <w:rsid w:val="00827DDC"/>
    <w:rsid w:val="00836BD2"/>
    <w:rsid w:val="00850168"/>
    <w:rsid w:val="008517CA"/>
    <w:rsid w:val="008528B0"/>
    <w:rsid w:val="008533B3"/>
    <w:rsid w:val="00857BA2"/>
    <w:rsid w:val="00877851"/>
    <w:rsid w:val="00884403"/>
    <w:rsid w:val="008847A3"/>
    <w:rsid w:val="00885888"/>
    <w:rsid w:val="00893F26"/>
    <w:rsid w:val="008A0975"/>
    <w:rsid w:val="008A5B1E"/>
    <w:rsid w:val="008A777C"/>
    <w:rsid w:val="008C12B1"/>
    <w:rsid w:val="008D42F2"/>
    <w:rsid w:val="008D4D7D"/>
    <w:rsid w:val="008E1CEB"/>
    <w:rsid w:val="008E351D"/>
    <w:rsid w:val="008E4E59"/>
    <w:rsid w:val="008E5E1F"/>
    <w:rsid w:val="008E6E52"/>
    <w:rsid w:val="008F2808"/>
    <w:rsid w:val="008F3A13"/>
    <w:rsid w:val="008F5B33"/>
    <w:rsid w:val="0090145A"/>
    <w:rsid w:val="0090211B"/>
    <w:rsid w:val="00902BDB"/>
    <w:rsid w:val="009046AB"/>
    <w:rsid w:val="00904B51"/>
    <w:rsid w:val="0090639F"/>
    <w:rsid w:val="00906B19"/>
    <w:rsid w:val="009128B2"/>
    <w:rsid w:val="0091782B"/>
    <w:rsid w:val="00931AFD"/>
    <w:rsid w:val="00934520"/>
    <w:rsid w:val="009364AA"/>
    <w:rsid w:val="00942160"/>
    <w:rsid w:val="00942525"/>
    <w:rsid w:val="0094314F"/>
    <w:rsid w:val="00964D62"/>
    <w:rsid w:val="0097394A"/>
    <w:rsid w:val="0097774C"/>
    <w:rsid w:val="00983CEC"/>
    <w:rsid w:val="00985556"/>
    <w:rsid w:val="009A05EC"/>
    <w:rsid w:val="009A320A"/>
    <w:rsid w:val="009A5683"/>
    <w:rsid w:val="009C0722"/>
    <w:rsid w:val="009C1B10"/>
    <w:rsid w:val="009D5C8E"/>
    <w:rsid w:val="009F0D36"/>
    <w:rsid w:val="009F346E"/>
    <w:rsid w:val="009F3FAC"/>
    <w:rsid w:val="009F5FC0"/>
    <w:rsid w:val="00A0035E"/>
    <w:rsid w:val="00A0687C"/>
    <w:rsid w:val="00A068FA"/>
    <w:rsid w:val="00A1309D"/>
    <w:rsid w:val="00A143C8"/>
    <w:rsid w:val="00A14775"/>
    <w:rsid w:val="00A17D24"/>
    <w:rsid w:val="00A23092"/>
    <w:rsid w:val="00A3002D"/>
    <w:rsid w:val="00A30CC1"/>
    <w:rsid w:val="00A43772"/>
    <w:rsid w:val="00A464A8"/>
    <w:rsid w:val="00A5015A"/>
    <w:rsid w:val="00A50BBB"/>
    <w:rsid w:val="00A53C4C"/>
    <w:rsid w:val="00A655A8"/>
    <w:rsid w:val="00A6623A"/>
    <w:rsid w:val="00A72DAC"/>
    <w:rsid w:val="00A7520E"/>
    <w:rsid w:val="00A7629E"/>
    <w:rsid w:val="00A77300"/>
    <w:rsid w:val="00A77F08"/>
    <w:rsid w:val="00A85A46"/>
    <w:rsid w:val="00AA01E7"/>
    <w:rsid w:val="00AA4B68"/>
    <w:rsid w:val="00AB2262"/>
    <w:rsid w:val="00AB36B1"/>
    <w:rsid w:val="00AD7C2D"/>
    <w:rsid w:val="00AE2570"/>
    <w:rsid w:val="00AE3444"/>
    <w:rsid w:val="00AE4459"/>
    <w:rsid w:val="00AF0C75"/>
    <w:rsid w:val="00AF3A59"/>
    <w:rsid w:val="00AF437A"/>
    <w:rsid w:val="00AF6353"/>
    <w:rsid w:val="00B05749"/>
    <w:rsid w:val="00B23EF5"/>
    <w:rsid w:val="00B24011"/>
    <w:rsid w:val="00B30AE4"/>
    <w:rsid w:val="00B32AB7"/>
    <w:rsid w:val="00B3474B"/>
    <w:rsid w:val="00B34C14"/>
    <w:rsid w:val="00B35816"/>
    <w:rsid w:val="00B3655D"/>
    <w:rsid w:val="00B40FC1"/>
    <w:rsid w:val="00B4169A"/>
    <w:rsid w:val="00B45492"/>
    <w:rsid w:val="00B45B88"/>
    <w:rsid w:val="00B53B94"/>
    <w:rsid w:val="00B56C2C"/>
    <w:rsid w:val="00B625D6"/>
    <w:rsid w:val="00B62990"/>
    <w:rsid w:val="00B653FE"/>
    <w:rsid w:val="00B65CAC"/>
    <w:rsid w:val="00B671C9"/>
    <w:rsid w:val="00B73AC4"/>
    <w:rsid w:val="00B76015"/>
    <w:rsid w:val="00B81398"/>
    <w:rsid w:val="00B832DF"/>
    <w:rsid w:val="00B85A55"/>
    <w:rsid w:val="00B85F7A"/>
    <w:rsid w:val="00B87BB9"/>
    <w:rsid w:val="00B90241"/>
    <w:rsid w:val="00BA05A5"/>
    <w:rsid w:val="00BA0B9F"/>
    <w:rsid w:val="00BA142F"/>
    <w:rsid w:val="00BA278C"/>
    <w:rsid w:val="00BA475F"/>
    <w:rsid w:val="00BB76B7"/>
    <w:rsid w:val="00BD6E09"/>
    <w:rsid w:val="00BE03BC"/>
    <w:rsid w:val="00BE1BC4"/>
    <w:rsid w:val="00BE2597"/>
    <w:rsid w:val="00BF1AA4"/>
    <w:rsid w:val="00BF3447"/>
    <w:rsid w:val="00BF5CFF"/>
    <w:rsid w:val="00C02143"/>
    <w:rsid w:val="00C113CB"/>
    <w:rsid w:val="00C14B7B"/>
    <w:rsid w:val="00C35288"/>
    <w:rsid w:val="00C41693"/>
    <w:rsid w:val="00C440C3"/>
    <w:rsid w:val="00C448F0"/>
    <w:rsid w:val="00C54E76"/>
    <w:rsid w:val="00C634E8"/>
    <w:rsid w:val="00C6647D"/>
    <w:rsid w:val="00C66605"/>
    <w:rsid w:val="00C721C4"/>
    <w:rsid w:val="00C74F5E"/>
    <w:rsid w:val="00C84C7A"/>
    <w:rsid w:val="00C85675"/>
    <w:rsid w:val="00C86C97"/>
    <w:rsid w:val="00C87347"/>
    <w:rsid w:val="00C94151"/>
    <w:rsid w:val="00C97216"/>
    <w:rsid w:val="00C97242"/>
    <w:rsid w:val="00CA2A71"/>
    <w:rsid w:val="00CA4B1D"/>
    <w:rsid w:val="00CB03C6"/>
    <w:rsid w:val="00CB116C"/>
    <w:rsid w:val="00CB1992"/>
    <w:rsid w:val="00CC1171"/>
    <w:rsid w:val="00CC3C2C"/>
    <w:rsid w:val="00CC5F7C"/>
    <w:rsid w:val="00CC63BD"/>
    <w:rsid w:val="00CD42DA"/>
    <w:rsid w:val="00CE4E4B"/>
    <w:rsid w:val="00CF0DC8"/>
    <w:rsid w:val="00CF2079"/>
    <w:rsid w:val="00CF74F0"/>
    <w:rsid w:val="00CF7AFD"/>
    <w:rsid w:val="00D00F05"/>
    <w:rsid w:val="00D069AB"/>
    <w:rsid w:val="00D113D3"/>
    <w:rsid w:val="00D14592"/>
    <w:rsid w:val="00D1753E"/>
    <w:rsid w:val="00D21A2E"/>
    <w:rsid w:val="00D2298E"/>
    <w:rsid w:val="00D34294"/>
    <w:rsid w:val="00D3655F"/>
    <w:rsid w:val="00D409F8"/>
    <w:rsid w:val="00D414FA"/>
    <w:rsid w:val="00D423AA"/>
    <w:rsid w:val="00D46F8C"/>
    <w:rsid w:val="00D50577"/>
    <w:rsid w:val="00D517A6"/>
    <w:rsid w:val="00D56CAB"/>
    <w:rsid w:val="00D62690"/>
    <w:rsid w:val="00D62B9F"/>
    <w:rsid w:val="00D676B4"/>
    <w:rsid w:val="00D86C17"/>
    <w:rsid w:val="00D870F0"/>
    <w:rsid w:val="00D90202"/>
    <w:rsid w:val="00D9298B"/>
    <w:rsid w:val="00D963E8"/>
    <w:rsid w:val="00DA27FA"/>
    <w:rsid w:val="00DA46E5"/>
    <w:rsid w:val="00DA7165"/>
    <w:rsid w:val="00DB2906"/>
    <w:rsid w:val="00DB4698"/>
    <w:rsid w:val="00DB4C23"/>
    <w:rsid w:val="00DC27A6"/>
    <w:rsid w:val="00DC30AE"/>
    <w:rsid w:val="00DC5B7B"/>
    <w:rsid w:val="00DE1703"/>
    <w:rsid w:val="00DE3A76"/>
    <w:rsid w:val="00DF65C6"/>
    <w:rsid w:val="00DF7906"/>
    <w:rsid w:val="00E02D96"/>
    <w:rsid w:val="00E05ED3"/>
    <w:rsid w:val="00E06B98"/>
    <w:rsid w:val="00E1153E"/>
    <w:rsid w:val="00E14A85"/>
    <w:rsid w:val="00E242F7"/>
    <w:rsid w:val="00E24DA5"/>
    <w:rsid w:val="00E34BE1"/>
    <w:rsid w:val="00E36F63"/>
    <w:rsid w:val="00E37ADB"/>
    <w:rsid w:val="00E4124E"/>
    <w:rsid w:val="00E446F7"/>
    <w:rsid w:val="00E45D63"/>
    <w:rsid w:val="00E4733E"/>
    <w:rsid w:val="00E55DD3"/>
    <w:rsid w:val="00E60FAB"/>
    <w:rsid w:val="00E62240"/>
    <w:rsid w:val="00E62FC1"/>
    <w:rsid w:val="00E638DA"/>
    <w:rsid w:val="00E64F1B"/>
    <w:rsid w:val="00E65001"/>
    <w:rsid w:val="00E72DC7"/>
    <w:rsid w:val="00E7327A"/>
    <w:rsid w:val="00E754DA"/>
    <w:rsid w:val="00E851AC"/>
    <w:rsid w:val="00E85516"/>
    <w:rsid w:val="00E87D09"/>
    <w:rsid w:val="00E9147B"/>
    <w:rsid w:val="00EA0F24"/>
    <w:rsid w:val="00EB0023"/>
    <w:rsid w:val="00EB00D3"/>
    <w:rsid w:val="00EB036E"/>
    <w:rsid w:val="00EB631B"/>
    <w:rsid w:val="00EC10DD"/>
    <w:rsid w:val="00EC5BC5"/>
    <w:rsid w:val="00ED00C7"/>
    <w:rsid w:val="00ED060B"/>
    <w:rsid w:val="00EE0ED5"/>
    <w:rsid w:val="00EE5695"/>
    <w:rsid w:val="00EE5B97"/>
    <w:rsid w:val="00EF2CA6"/>
    <w:rsid w:val="00EF61E6"/>
    <w:rsid w:val="00EF6721"/>
    <w:rsid w:val="00F04819"/>
    <w:rsid w:val="00F11E5E"/>
    <w:rsid w:val="00F15942"/>
    <w:rsid w:val="00F50FE5"/>
    <w:rsid w:val="00F5268B"/>
    <w:rsid w:val="00F52B85"/>
    <w:rsid w:val="00F64275"/>
    <w:rsid w:val="00F73718"/>
    <w:rsid w:val="00F749AE"/>
    <w:rsid w:val="00F80D9F"/>
    <w:rsid w:val="00F8662E"/>
    <w:rsid w:val="00F91024"/>
    <w:rsid w:val="00F95EF2"/>
    <w:rsid w:val="00F9610C"/>
    <w:rsid w:val="00F96F47"/>
    <w:rsid w:val="00FA49D6"/>
    <w:rsid w:val="00FA62A0"/>
    <w:rsid w:val="00FB0760"/>
    <w:rsid w:val="00FB59C0"/>
    <w:rsid w:val="00FC66B3"/>
    <w:rsid w:val="00FC7BC5"/>
    <w:rsid w:val="00FD4507"/>
    <w:rsid w:val="00FD4FB1"/>
    <w:rsid w:val="00FE79BE"/>
    <w:rsid w:val="00FF3E3D"/>
    <w:rsid w:val="00FF4E1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0C6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1"/>
    <w:semiHidden/>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5279"/>
    <w:rPr>
      <w:rFonts w:ascii="Tahoma" w:hAnsi="Tahoma" w:cs="Tahoma"/>
      <w:sz w:val="16"/>
      <w:szCs w:val="16"/>
    </w:rPr>
  </w:style>
  <w:style w:type="character" w:customStyle="1" w:styleId="BalloonTextChar">
    <w:name w:val="Balloon Text Char"/>
    <w:basedOn w:val="DefaultParagraphFont"/>
    <w:link w:val="BalloonText"/>
    <w:uiPriority w:val="99"/>
    <w:semiHidden/>
    <w:rsid w:val="00125279"/>
    <w:rPr>
      <w:rFonts w:ascii="Tahoma" w:hAnsi="Tahoma" w:cs="Tahoma"/>
      <w:sz w:val="16"/>
      <w:szCs w:val="16"/>
    </w:rPr>
  </w:style>
  <w:style w:type="paragraph" w:styleId="Header">
    <w:name w:val="header"/>
    <w:basedOn w:val="Normal"/>
    <w:link w:val="HeaderChar"/>
    <w:uiPriority w:val="99"/>
    <w:unhideWhenUsed/>
    <w:rsid w:val="00360EE8"/>
    <w:pPr>
      <w:tabs>
        <w:tab w:val="center" w:pos="4680"/>
        <w:tab w:val="right" w:pos="9360"/>
      </w:tabs>
    </w:pPr>
  </w:style>
  <w:style w:type="character" w:customStyle="1" w:styleId="HeaderChar">
    <w:name w:val="Header Char"/>
    <w:basedOn w:val="DefaultParagraphFont"/>
    <w:link w:val="Header"/>
    <w:uiPriority w:val="99"/>
    <w:rsid w:val="00360EE8"/>
  </w:style>
  <w:style w:type="paragraph" w:styleId="Footer">
    <w:name w:val="footer"/>
    <w:basedOn w:val="Normal"/>
    <w:link w:val="FooterChar"/>
    <w:uiPriority w:val="99"/>
    <w:unhideWhenUsed/>
    <w:rsid w:val="00360EE8"/>
    <w:pPr>
      <w:tabs>
        <w:tab w:val="center" w:pos="4680"/>
        <w:tab w:val="right" w:pos="9360"/>
      </w:tabs>
    </w:pPr>
  </w:style>
  <w:style w:type="character" w:customStyle="1" w:styleId="FooterChar">
    <w:name w:val="Footer Char"/>
    <w:basedOn w:val="DefaultParagraphFont"/>
    <w:link w:val="Footer"/>
    <w:uiPriority w:val="99"/>
    <w:rsid w:val="00360EE8"/>
  </w:style>
  <w:style w:type="character" w:styleId="CommentReference">
    <w:name w:val="annotation reference"/>
    <w:basedOn w:val="DefaultParagraphFont"/>
    <w:uiPriority w:val="99"/>
    <w:semiHidden/>
    <w:unhideWhenUsed/>
    <w:rsid w:val="003E4CA4"/>
    <w:rPr>
      <w:sz w:val="16"/>
      <w:szCs w:val="16"/>
    </w:rPr>
  </w:style>
  <w:style w:type="paragraph" w:styleId="CommentText">
    <w:name w:val="annotation text"/>
    <w:basedOn w:val="Normal"/>
    <w:link w:val="CommentTextChar"/>
    <w:uiPriority w:val="99"/>
    <w:semiHidden/>
    <w:unhideWhenUsed/>
    <w:rsid w:val="003E4CA4"/>
    <w:rPr>
      <w:sz w:val="20"/>
      <w:szCs w:val="20"/>
    </w:rPr>
  </w:style>
  <w:style w:type="character" w:customStyle="1" w:styleId="CommentTextChar">
    <w:name w:val="Comment Text Char"/>
    <w:basedOn w:val="DefaultParagraphFont"/>
    <w:link w:val="CommentText"/>
    <w:uiPriority w:val="99"/>
    <w:semiHidden/>
    <w:rsid w:val="003E4CA4"/>
    <w:rPr>
      <w:sz w:val="20"/>
      <w:szCs w:val="20"/>
    </w:rPr>
  </w:style>
  <w:style w:type="paragraph" w:styleId="CommentSubject">
    <w:name w:val="annotation subject"/>
    <w:basedOn w:val="CommentText"/>
    <w:next w:val="CommentText"/>
    <w:link w:val="CommentSubjectChar"/>
    <w:uiPriority w:val="99"/>
    <w:semiHidden/>
    <w:unhideWhenUsed/>
    <w:rsid w:val="003E4CA4"/>
    <w:rPr>
      <w:b/>
      <w:bCs/>
    </w:rPr>
  </w:style>
  <w:style w:type="character" w:customStyle="1" w:styleId="CommentSubjectChar">
    <w:name w:val="Comment Subject Char"/>
    <w:basedOn w:val="CommentTextChar"/>
    <w:link w:val="CommentSubject"/>
    <w:uiPriority w:val="99"/>
    <w:semiHidden/>
    <w:rsid w:val="003E4CA4"/>
    <w:rPr>
      <w:b/>
      <w:bCs/>
      <w:sz w:val="20"/>
      <w:szCs w:val="20"/>
    </w:rPr>
  </w:style>
  <w:style w:type="paragraph" w:styleId="FootnoteText">
    <w:name w:val="footnote text"/>
    <w:basedOn w:val="Normal"/>
    <w:link w:val="FootnoteTextChar"/>
    <w:uiPriority w:val="59"/>
    <w:rsid w:val="00A53C4C"/>
    <w:pPr>
      <w:widowControl/>
      <w:ind w:firstLine="720"/>
    </w:pPr>
    <w:rPr>
      <w:rFonts w:ascii="Times New Roman" w:eastAsia="Calibri" w:hAnsi="Times New Roman" w:cs="Arial"/>
      <w:sz w:val="20"/>
      <w:szCs w:val="20"/>
      <w:lang w:bidi="he-IL"/>
    </w:rPr>
  </w:style>
  <w:style w:type="character" w:customStyle="1" w:styleId="FootnoteTextChar">
    <w:name w:val="Footnote Text Char"/>
    <w:basedOn w:val="DefaultParagraphFont"/>
    <w:link w:val="FootnoteText"/>
    <w:uiPriority w:val="59"/>
    <w:rsid w:val="00A53C4C"/>
    <w:rPr>
      <w:rFonts w:ascii="Times New Roman" w:eastAsia="Calibri" w:hAnsi="Times New Roman" w:cs="Arial"/>
      <w:sz w:val="20"/>
      <w:szCs w:val="20"/>
      <w:lang w:bidi="he-IL"/>
    </w:rPr>
  </w:style>
  <w:style w:type="character" w:styleId="FootnoteReference">
    <w:name w:val="footnote reference"/>
    <w:uiPriority w:val="59"/>
    <w:rsid w:val="00A53C4C"/>
    <w:rPr>
      <w:sz w:val="20"/>
      <w:vertAlign w:val="superscript"/>
    </w:rPr>
  </w:style>
  <w:style w:type="table" w:styleId="TableGrid">
    <w:name w:val="Table Grid"/>
    <w:basedOn w:val="TableNormal"/>
    <w:uiPriority w:val="59"/>
    <w:rsid w:val="00C94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dtblhead8">
    <w:name w:val="fd tbl head8"/>
    <w:basedOn w:val="Normal"/>
    <w:uiPriority w:val="79"/>
    <w:rsid w:val="004474E9"/>
    <w:pPr>
      <w:widowControl/>
      <w:spacing w:before="20" w:after="40" w:line="180" w:lineRule="exact"/>
      <w:jc w:val="center"/>
    </w:pPr>
    <w:rPr>
      <w:rFonts w:ascii="Times New Roman" w:eastAsia="Times New Roman" w:hAnsi="Times New Roman" w:cs="Times New Roman"/>
      <w:b/>
      <w:sz w:val="16"/>
      <w:szCs w:val="24"/>
    </w:rPr>
  </w:style>
  <w:style w:type="paragraph" w:customStyle="1" w:styleId="fdtblftnline">
    <w:name w:val="fd tbl ftn line"/>
    <w:basedOn w:val="Normal"/>
    <w:next w:val="fdtblftn10"/>
    <w:rsid w:val="003C262E"/>
    <w:pPr>
      <w:keepNext/>
      <w:widowControl/>
      <w:pBdr>
        <w:bottom w:val="single" w:sz="4" w:space="1" w:color="auto"/>
      </w:pBdr>
      <w:spacing w:after="50"/>
      <w:ind w:right="7920"/>
    </w:pPr>
    <w:rPr>
      <w:rFonts w:ascii="Times New Roman" w:eastAsia="Times New Roman" w:hAnsi="Times New Roman" w:cs="Times New Roman"/>
      <w:sz w:val="10"/>
      <w:szCs w:val="10"/>
    </w:rPr>
  </w:style>
  <w:style w:type="paragraph" w:customStyle="1" w:styleId="fdtblftn10">
    <w:name w:val="fd tbl ftn10"/>
    <w:basedOn w:val="Normal"/>
    <w:uiPriority w:val="79"/>
    <w:rsid w:val="003C262E"/>
    <w:pPr>
      <w:widowControl/>
      <w:spacing w:after="100"/>
      <w:ind w:left="360" w:hanging="360"/>
    </w:pPr>
    <w:rPr>
      <w:rFonts w:ascii="Times New Roman" w:eastAsia="Times New Roman" w:hAnsi="Times New Roman" w:cs="Times New Roman"/>
      <w:sz w:val="20"/>
      <w:szCs w:val="24"/>
    </w:rPr>
  </w:style>
  <w:style w:type="paragraph" w:customStyle="1" w:styleId="fdBodyText">
    <w:name w:val="fd Body Text"/>
    <w:basedOn w:val="Normal"/>
    <w:link w:val="fdBodyTextChar"/>
    <w:uiPriority w:val="9"/>
    <w:rsid w:val="008533B3"/>
    <w:pPr>
      <w:widowControl/>
      <w:spacing w:after="200"/>
      <w:ind w:firstLine="360"/>
    </w:pPr>
    <w:rPr>
      <w:rFonts w:ascii="Times New Roman" w:eastAsia="Times New Roman" w:hAnsi="Times New Roman" w:cs="Times New Roman"/>
      <w:sz w:val="20"/>
      <w:szCs w:val="24"/>
    </w:rPr>
  </w:style>
  <w:style w:type="table" w:customStyle="1" w:styleId="TableGrid1">
    <w:name w:val="Table Grid1"/>
    <w:basedOn w:val="TableNormal"/>
    <w:next w:val="TableGrid"/>
    <w:uiPriority w:val="59"/>
    <w:rsid w:val="004535E4"/>
    <w:pPr>
      <w:widowControl/>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63B7"/>
    <w:rPr>
      <w:color w:val="0000FF" w:themeColor="hyperlink"/>
      <w:u w:val="single"/>
    </w:rPr>
  </w:style>
  <w:style w:type="paragraph" w:customStyle="1" w:styleId="fdBlockText">
    <w:name w:val="fd Block Text"/>
    <w:basedOn w:val="Normal"/>
    <w:uiPriority w:val="49"/>
    <w:rsid w:val="009F5FC0"/>
    <w:pPr>
      <w:widowControl/>
      <w:ind w:left="720" w:right="720"/>
    </w:pPr>
    <w:rPr>
      <w:rFonts w:ascii="Times New Roman" w:eastAsia="Times New Roman" w:hAnsi="Times New Roman" w:cs="Times New Roman"/>
      <w:sz w:val="20"/>
      <w:szCs w:val="24"/>
    </w:rPr>
  </w:style>
  <w:style w:type="paragraph" w:customStyle="1" w:styleId="DPWfdHDItalBold">
    <w:name w:val="DPWfd HD Ital Bold"/>
    <w:basedOn w:val="Normal"/>
    <w:next w:val="Normal"/>
    <w:link w:val="DPWfdHDItalBoldChar"/>
    <w:rsid w:val="006B0482"/>
    <w:pPr>
      <w:keepNext/>
      <w:widowControl/>
      <w:spacing w:after="200"/>
      <w:ind w:left="187"/>
    </w:pPr>
    <w:rPr>
      <w:rFonts w:ascii="Times New Roman" w:eastAsia="Times New Roman" w:hAnsi="Times New Roman" w:cs="Times New Roman"/>
      <w:b/>
      <w:i/>
      <w:sz w:val="20"/>
      <w:szCs w:val="20"/>
    </w:rPr>
  </w:style>
  <w:style w:type="character" w:customStyle="1" w:styleId="DPWfdHDItalBoldChar">
    <w:name w:val="DPWfd HD Ital Bold Char"/>
    <w:link w:val="DPWfdHDItalBold"/>
    <w:rsid w:val="006B0482"/>
    <w:rPr>
      <w:rFonts w:ascii="Times New Roman" w:eastAsia="Times New Roman" w:hAnsi="Times New Roman" w:cs="Times New Roman"/>
      <w:b/>
      <w:i/>
      <w:sz w:val="20"/>
      <w:szCs w:val="20"/>
    </w:rPr>
  </w:style>
  <w:style w:type="character" w:styleId="SubtleEmphasis">
    <w:name w:val="Subtle Emphasis"/>
    <w:basedOn w:val="DefaultParagraphFont"/>
    <w:uiPriority w:val="19"/>
    <w:semiHidden/>
    <w:qFormat/>
    <w:rsid w:val="00EC5BC5"/>
    <w:rPr>
      <w:i/>
      <w:iCs/>
      <w:color w:val="404040" w:themeColor="text1" w:themeTint="BF"/>
    </w:rPr>
  </w:style>
  <w:style w:type="character" w:styleId="Emphasis">
    <w:name w:val="Emphasis"/>
    <w:basedOn w:val="DefaultParagraphFont"/>
    <w:uiPriority w:val="20"/>
    <w:semiHidden/>
    <w:qFormat/>
    <w:rsid w:val="00EC5BC5"/>
    <w:rPr>
      <w:i/>
      <w:iCs/>
    </w:rPr>
  </w:style>
  <w:style w:type="character" w:styleId="IntenseEmphasis">
    <w:name w:val="Intense Emphasis"/>
    <w:basedOn w:val="DefaultParagraphFont"/>
    <w:uiPriority w:val="21"/>
    <w:semiHidden/>
    <w:qFormat/>
    <w:rsid w:val="00EC5BC5"/>
    <w:rPr>
      <w:i/>
      <w:iCs/>
      <w:color w:val="4F81BD" w:themeColor="accent1"/>
    </w:rPr>
  </w:style>
  <w:style w:type="character" w:styleId="Strong">
    <w:name w:val="Strong"/>
    <w:basedOn w:val="DefaultParagraphFont"/>
    <w:uiPriority w:val="22"/>
    <w:semiHidden/>
    <w:qFormat/>
    <w:rsid w:val="00EC5BC5"/>
    <w:rPr>
      <w:b/>
      <w:bCs/>
    </w:rPr>
  </w:style>
  <w:style w:type="paragraph" w:styleId="Quote">
    <w:name w:val="Quote"/>
    <w:basedOn w:val="Normal"/>
    <w:next w:val="Normal"/>
    <w:link w:val="QuoteChar"/>
    <w:uiPriority w:val="29"/>
    <w:semiHidden/>
    <w:qFormat/>
    <w:rsid w:val="00EC5B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BC5"/>
    <w:rPr>
      <w:i/>
      <w:iCs/>
      <w:color w:val="404040" w:themeColor="text1" w:themeTint="BF"/>
    </w:rPr>
  </w:style>
  <w:style w:type="paragraph" w:styleId="IntenseQuote">
    <w:name w:val="Intense Quote"/>
    <w:basedOn w:val="Normal"/>
    <w:next w:val="Normal"/>
    <w:link w:val="IntenseQuoteChar"/>
    <w:uiPriority w:val="30"/>
    <w:semiHidden/>
    <w:qFormat/>
    <w:rsid w:val="00EC5BC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5BC5"/>
    <w:rPr>
      <w:i/>
      <w:iCs/>
      <w:color w:val="4F81BD" w:themeColor="accent1"/>
    </w:rPr>
  </w:style>
  <w:style w:type="character" w:styleId="SubtleReference">
    <w:name w:val="Subtle Reference"/>
    <w:basedOn w:val="DefaultParagraphFont"/>
    <w:uiPriority w:val="31"/>
    <w:semiHidden/>
    <w:qFormat/>
    <w:rsid w:val="00EC5BC5"/>
    <w:rPr>
      <w:smallCaps/>
      <w:color w:val="5A5A5A" w:themeColor="text1" w:themeTint="A5"/>
    </w:rPr>
  </w:style>
  <w:style w:type="character" w:styleId="IntenseReference">
    <w:name w:val="Intense Reference"/>
    <w:basedOn w:val="DefaultParagraphFont"/>
    <w:uiPriority w:val="32"/>
    <w:semiHidden/>
    <w:qFormat/>
    <w:rsid w:val="00EC5BC5"/>
    <w:rPr>
      <w:b/>
      <w:bCs/>
      <w:smallCaps/>
      <w:color w:val="4F81BD" w:themeColor="accent1"/>
      <w:spacing w:val="5"/>
    </w:rPr>
  </w:style>
  <w:style w:type="character" w:styleId="BookTitle">
    <w:name w:val="Book Title"/>
    <w:basedOn w:val="DefaultParagraphFont"/>
    <w:uiPriority w:val="33"/>
    <w:semiHidden/>
    <w:qFormat/>
    <w:rsid w:val="00EC5BC5"/>
    <w:rPr>
      <w:b/>
      <w:bCs/>
      <w:i/>
      <w:iCs/>
      <w:spacing w:val="5"/>
    </w:rPr>
  </w:style>
  <w:style w:type="paragraph" w:customStyle="1" w:styleId="NormalArial">
    <w:name w:val="Normal + Arial"/>
    <w:aliases w:val="10 pt,After:  6 pt,Justified,Line spacing:  Exactly 14 pt"/>
    <w:basedOn w:val="Normal"/>
    <w:rsid w:val="00B87BB9"/>
    <w:pPr>
      <w:widowControl/>
      <w:spacing w:before="140" w:after="280" w:line="280" w:lineRule="exact"/>
      <w:jc w:val="right"/>
    </w:pPr>
    <w:rPr>
      <w:rFonts w:ascii="Arial" w:eastAsiaTheme="minorEastAsia" w:hAnsi="Arial" w:cs="Arial"/>
      <w:sz w:val="20"/>
      <w:szCs w:val="20"/>
      <w:lang w:eastAsia="en-GB" w:bidi="he-IL"/>
    </w:rPr>
  </w:style>
  <w:style w:type="character" w:customStyle="1" w:styleId="fdBodyTextChar">
    <w:name w:val="fd Body Text Char"/>
    <w:link w:val="fdBodyText"/>
    <w:uiPriority w:val="9"/>
    <w:locked/>
    <w:rsid w:val="00BF1AA4"/>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1"/>
    <w:rsid w:val="00583195"/>
    <w:rPr>
      <w:rFonts w:ascii="Arial" w:eastAsia="Arial" w:hAnsi="Arial"/>
      <w:b/>
      <w:bCs/>
    </w:rPr>
  </w:style>
  <w:style w:type="paragraph" w:customStyle="1" w:styleId="xmsonormal">
    <w:name w:val="x_msonormal"/>
    <w:basedOn w:val="Normal"/>
    <w:rsid w:val="00D14592"/>
    <w:pPr>
      <w:widowControl/>
    </w:pPr>
    <w:rPr>
      <w:rFonts w:ascii="Calibri" w:eastAsiaTheme="minorEastAsia" w:hAnsi="Calibri" w:cs="Calibri"/>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42247">
      <w:bodyDiv w:val="1"/>
      <w:marLeft w:val="0"/>
      <w:marRight w:val="0"/>
      <w:marTop w:val="0"/>
      <w:marBottom w:val="0"/>
      <w:divBdr>
        <w:top w:val="none" w:sz="0" w:space="0" w:color="auto"/>
        <w:left w:val="none" w:sz="0" w:space="0" w:color="auto"/>
        <w:bottom w:val="none" w:sz="0" w:space="0" w:color="auto"/>
        <w:right w:val="none" w:sz="0" w:space="0" w:color="auto"/>
      </w:divBdr>
    </w:div>
    <w:div w:id="1011833591">
      <w:bodyDiv w:val="1"/>
      <w:marLeft w:val="0"/>
      <w:marRight w:val="0"/>
      <w:marTop w:val="0"/>
      <w:marBottom w:val="0"/>
      <w:divBdr>
        <w:top w:val="none" w:sz="0" w:space="0" w:color="auto"/>
        <w:left w:val="none" w:sz="0" w:space="0" w:color="auto"/>
        <w:bottom w:val="none" w:sz="0" w:space="0" w:color="auto"/>
        <w:right w:val="none" w:sz="0" w:space="0" w:color="auto"/>
      </w:divBdr>
    </w:div>
    <w:div w:id="1066025436">
      <w:bodyDiv w:val="1"/>
      <w:marLeft w:val="0"/>
      <w:marRight w:val="0"/>
      <w:marTop w:val="0"/>
      <w:marBottom w:val="0"/>
      <w:divBdr>
        <w:top w:val="none" w:sz="0" w:space="0" w:color="auto"/>
        <w:left w:val="none" w:sz="0" w:space="0" w:color="auto"/>
        <w:bottom w:val="none" w:sz="0" w:space="0" w:color="auto"/>
        <w:right w:val="none" w:sz="0" w:space="0" w:color="auto"/>
      </w:divBdr>
    </w:div>
    <w:div w:id="1247226231">
      <w:bodyDiv w:val="1"/>
      <w:marLeft w:val="0"/>
      <w:marRight w:val="0"/>
      <w:marTop w:val="0"/>
      <w:marBottom w:val="0"/>
      <w:divBdr>
        <w:top w:val="none" w:sz="0" w:space="0" w:color="auto"/>
        <w:left w:val="none" w:sz="0" w:space="0" w:color="auto"/>
        <w:bottom w:val="none" w:sz="0" w:space="0" w:color="auto"/>
        <w:right w:val="none" w:sz="0" w:space="0" w:color="auto"/>
      </w:divBdr>
    </w:div>
    <w:div w:id="1492258006">
      <w:bodyDiv w:val="1"/>
      <w:marLeft w:val="0"/>
      <w:marRight w:val="0"/>
      <w:marTop w:val="0"/>
      <w:marBottom w:val="0"/>
      <w:divBdr>
        <w:top w:val="none" w:sz="0" w:space="0" w:color="auto"/>
        <w:left w:val="none" w:sz="0" w:space="0" w:color="auto"/>
        <w:bottom w:val="none" w:sz="0" w:space="0" w:color="auto"/>
        <w:right w:val="none" w:sz="0" w:space="0" w:color="auto"/>
      </w:divBdr>
    </w:div>
    <w:div w:id="1536115800">
      <w:bodyDiv w:val="1"/>
      <w:marLeft w:val="0"/>
      <w:marRight w:val="0"/>
      <w:marTop w:val="0"/>
      <w:marBottom w:val="0"/>
      <w:divBdr>
        <w:top w:val="none" w:sz="0" w:space="0" w:color="auto"/>
        <w:left w:val="none" w:sz="0" w:space="0" w:color="auto"/>
        <w:bottom w:val="none" w:sz="0" w:space="0" w:color="auto"/>
        <w:right w:val="none" w:sz="0" w:space="0" w:color="auto"/>
      </w:divBdr>
    </w:div>
    <w:div w:id="1649625259">
      <w:bodyDiv w:val="1"/>
      <w:marLeft w:val="0"/>
      <w:marRight w:val="0"/>
      <w:marTop w:val="0"/>
      <w:marBottom w:val="0"/>
      <w:divBdr>
        <w:top w:val="none" w:sz="0" w:space="0" w:color="auto"/>
        <w:left w:val="none" w:sz="0" w:space="0" w:color="auto"/>
        <w:bottom w:val="none" w:sz="0" w:space="0" w:color="auto"/>
        <w:right w:val="none" w:sz="0" w:space="0" w:color="auto"/>
      </w:divBdr>
    </w:div>
    <w:div w:id="1827670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3ED9-9D5B-45B9-BC07-9CC37161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2021-03-30T12:36:00Z</dcterms:created>
  <dcterms:modified xsi:type="dcterms:W3CDTF">2021-03-30T12:36:00Z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PathText">
    <vt:lpwstr>#22060525v10</vt:lpwstr>
  </property>
  <property fmtid="{D5CDD505-2E9C-101B-9397-08002B2CF9AE}" pid="3" name="_AdHocReviewCycleID">
    <vt:i4>545473400</vt:i4>
  </property>
  <property fmtid="{D5CDD505-2E9C-101B-9397-08002B2CF9AE}" pid="4" name="_NewReviewCycle">
    <vt:lpwstr/>
  </property>
  <property fmtid="{D5CDD505-2E9C-101B-9397-08002B2CF9AE}" pid="5" name="_ReviewingToolsShownOnce">
    <vt:lpwstr/>
  </property>
</Properties>
</file>