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B41A0" w14:textId="5E7D7689" w:rsidR="00D7428E" w:rsidRPr="00107010" w:rsidRDefault="00D7428E" w:rsidP="00D7428E">
      <w:pPr>
        <w:spacing w:after="0" w:line="240" w:lineRule="auto"/>
        <w:jc w:val="both"/>
        <w:rPr>
          <w:rFonts w:ascii="RN House Sans Light" w:hAnsi="RN House Sans Light"/>
          <w:b/>
          <w:bCs/>
        </w:rPr>
      </w:pPr>
      <w:r w:rsidRPr="00107010">
        <w:rPr>
          <w:rFonts w:ascii="RN House Sans Light" w:hAnsi="RN House Sans Light"/>
          <w:b/>
          <w:bCs/>
        </w:rPr>
        <w:t xml:space="preserve">NATWEST PLEDGES £100BN OF CLIMATE AND SUSTAINABLE FUNDING AND FINANCING </w:t>
      </w:r>
    </w:p>
    <w:p w14:paraId="0E393C77" w14:textId="77777777" w:rsidR="00D7428E" w:rsidRPr="00D7428E" w:rsidRDefault="00D7428E" w:rsidP="00D7428E">
      <w:pPr>
        <w:spacing w:after="0" w:line="240" w:lineRule="auto"/>
        <w:jc w:val="both"/>
        <w:rPr>
          <w:rFonts w:ascii="RN House Sans Light" w:hAnsi="RN House Sans Light"/>
          <w:b/>
          <w:bCs/>
        </w:rPr>
      </w:pPr>
    </w:p>
    <w:p w14:paraId="72D7B0E9" w14:textId="36CD525C" w:rsidR="00D7428E" w:rsidRDefault="00D7428E" w:rsidP="00D7428E">
      <w:pPr>
        <w:spacing w:after="0" w:line="240" w:lineRule="auto"/>
        <w:jc w:val="both"/>
        <w:rPr>
          <w:rFonts w:ascii="RN House Sans Light" w:hAnsi="RN House Sans Light"/>
        </w:rPr>
      </w:pPr>
      <w:r w:rsidRPr="009F22EA">
        <w:rPr>
          <w:rFonts w:ascii="RN House Sans Light" w:hAnsi="RN House Sans Light"/>
        </w:rPr>
        <w:t xml:space="preserve">Our ambition is to be a leading bank in the UK and Ireland helping to address climate change by setting ourselves the challenge to at least halve the climate impact of our financing activity by 2030, to reach net zero by 2050, and making our own operations Climate Positive by 2025. </w:t>
      </w:r>
      <w:bookmarkStart w:id="0" w:name="_Hlk84959318"/>
      <w:r w:rsidR="005A32C9">
        <w:rPr>
          <w:rFonts w:ascii="RN House Sans Light" w:hAnsi="RN House Sans Light"/>
        </w:rPr>
        <w:t xml:space="preserve">In 2019, we announced our target for £20 billion funding and financing for climate and sustainable finance between 2020 and 2022 which we brought forward from 2022 to 2021. </w:t>
      </w:r>
      <w:r w:rsidRPr="009F22EA">
        <w:rPr>
          <w:rFonts w:ascii="RN House Sans Light" w:hAnsi="RN House Sans Light"/>
        </w:rPr>
        <w:t xml:space="preserve">In H1 2021, NatWest </w:t>
      </w:r>
      <w:r w:rsidR="009E1E9A">
        <w:rPr>
          <w:rFonts w:ascii="RN House Sans Light" w:hAnsi="RN House Sans Light"/>
        </w:rPr>
        <w:t>exceeded</w:t>
      </w:r>
      <w:r w:rsidRPr="009F22EA">
        <w:rPr>
          <w:rFonts w:ascii="RN House Sans Light" w:hAnsi="RN House Sans Light"/>
        </w:rPr>
        <w:t xml:space="preserve"> its 2020-2021 target of providing £20 billion of climate and sustainable funding and financing six months early</w:t>
      </w:r>
      <w:r w:rsidR="009E1E9A">
        <w:rPr>
          <w:rFonts w:ascii="RN House Sans Light" w:hAnsi="RN House Sans Light"/>
        </w:rPr>
        <w:t xml:space="preserve"> with the delivery of £21.5 billion</w:t>
      </w:r>
      <w:r w:rsidRPr="009F22EA">
        <w:rPr>
          <w:rFonts w:ascii="RN House Sans Light" w:hAnsi="RN House Sans Light"/>
        </w:rPr>
        <w:t>.</w:t>
      </w:r>
      <w:bookmarkEnd w:id="0"/>
    </w:p>
    <w:p w14:paraId="2E944AF4" w14:textId="77777777" w:rsidR="00D7428E" w:rsidRPr="009F22EA" w:rsidRDefault="00D7428E" w:rsidP="00D7428E">
      <w:pPr>
        <w:spacing w:after="0" w:line="240" w:lineRule="auto"/>
        <w:jc w:val="both"/>
        <w:rPr>
          <w:rFonts w:ascii="RN House Sans Light" w:hAnsi="RN House Sans Light"/>
        </w:rPr>
      </w:pPr>
    </w:p>
    <w:p w14:paraId="1F96E8E5" w14:textId="1F600803" w:rsidR="007317A6" w:rsidRDefault="00D7428E" w:rsidP="00D7428E">
      <w:pPr>
        <w:spacing w:after="0" w:line="240" w:lineRule="auto"/>
        <w:jc w:val="both"/>
        <w:rPr>
          <w:rStyle w:val="normaltextrun"/>
          <w:color w:val="646068"/>
        </w:rPr>
      </w:pPr>
      <w:r>
        <w:rPr>
          <w:rFonts w:ascii="RN House Sans Light" w:hAnsi="RN House Sans Light"/>
        </w:rPr>
        <w:t xml:space="preserve">Today, NatWest Group is </w:t>
      </w:r>
      <w:r w:rsidRPr="0008191E">
        <w:rPr>
          <w:rFonts w:ascii="RN House Sans Light" w:hAnsi="RN House Sans Light"/>
        </w:rPr>
        <w:t>announc</w:t>
      </w:r>
      <w:r>
        <w:rPr>
          <w:rFonts w:ascii="RN House Sans Light" w:hAnsi="RN House Sans Light"/>
        </w:rPr>
        <w:t xml:space="preserve">ing </w:t>
      </w:r>
      <w:r w:rsidRPr="0008191E">
        <w:rPr>
          <w:rFonts w:ascii="RN House Sans Light" w:hAnsi="RN House Sans Light"/>
        </w:rPr>
        <w:t xml:space="preserve">a </w:t>
      </w:r>
      <w:r>
        <w:rPr>
          <w:rFonts w:ascii="RN House Sans Light" w:hAnsi="RN House Sans Light"/>
        </w:rPr>
        <w:t xml:space="preserve">new target to provide </w:t>
      </w:r>
      <w:r w:rsidRPr="0008191E">
        <w:rPr>
          <w:rFonts w:ascii="RN House Sans Light" w:hAnsi="RN House Sans Light"/>
        </w:rPr>
        <w:t>£100</w:t>
      </w:r>
      <w:r>
        <w:rPr>
          <w:rFonts w:ascii="RN House Sans Light" w:hAnsi="RN House Sans Light"/>
        </w:rPr>
        <w:t xml:space="preserve"> </w:t>
      </w:r>
      <w:r w:rsidRPr="0008191E">
        <w:rPr>
          <w:rFonts w:ascii="RN House Sans Light" w:hAnsi="RN House Sans Light"/>
        </w:rPr>
        <w:t xml:space="preserve">billion </w:t>
      </w:r>
      <w:r>
        <w:rPr>
          <w:rFonts w:ascii="RN House Sans Light" w:hAnsi="RN House Sans Light"/>
        </w:rPr>
        <w:t>of</w:t>
      </w:r>
      <w:r w:rsidRPr="0008191E">
        <w:rPr>
          <w:rFonts w:ascii="RN House Sans Light" w:hAnsi="RN House Sans Light"/>
        </w:rPr>
        <w:t xml:space="preserve"> </w:t>
      </w:r>
      <w:r w:rsidRPr="0927FCA5">
        <w:rPr>
          <w:rFonts w:ascii="RN House Sans Light" w:hAnsi="RN House Sans Light"/>
        </w:rPr>
        <w:t>Climate and Sustainable Funding</w:t>
      </w:r>
      <w:r>
        <w:rPr>
          <w:rFonts w:ascii="RN House Sans Light" w:hAnsi="RN House Sans Light"/>
        </w:rPr>
        <w:t xml:space="preserve"> and </w:t>
      </w:r>
      <w:r w:rsidRPr="0927FCA5">
        <w:rPr>
          <w:rFonts w:ascii="RN House Sans Light" w:hAnsi="RN House Sans Light"/>
        </w:rPr>
        <w:t xml:space="preserve">Financing </w:t>
      </w:r>
      <w:r>
        <w:rPr>
          <w:rFonts w:ascii="RN House Sans Light" w:hAnsi="RN House Sans Light"/>
        </w:rPr>
        <w:t>(CSFF) by</w:t>
      </w:r>
      <w:r w:rsidRPr="0008191E">
        <w:rPr>
          <w:rFonts w:ascii="RN House Sans Light" w:hAnsi="RN House Sans Light"/>
        </w:rPr>
        <w:t xml:space="preserve"> </w:t>
      </w:r>
      <w:r>
        <w:rPr>
          <w:rFonts w:ascii="RN House Sans Light" w:hAnsi="RN House Sans Light"/>
        </w:rPr>
        <w:t xml:space="preserve">the end of </w:t>
      </w:r>
      <w:r w:rsidRPr="0008191E">
        <w:rPr>
          <w:rFonts w:ascii="RN House Sans Light" w:hAnsi="RN House Sans Light"/>
        </w:rPr>
        <w:t>2025</w:t>
      </w:r>
      <w:r>
        <w:rPr>
          <w:rFonts w:ascii="RN House Sans Light" w:hAnsi="RN House Sans Light"/>
        </w:rPr>
        <w:t xml:space="preserve"> (</w:t>
      </w:r>
      <w:r w:rsidR="00107010">
        <w:rPr>
          <w:rFonts w:ascii="RN House Sans Light" w:hAnsi="RN House Sans Light"/>
        </w:rPr>
        <w:t xml:space="preserve">from 1 </w:t>
      </w:r>
      <w:r w:rsidR="005A32C9">
        <w:rPr>
          <w:rFonts w:ascii="RN House Sans Light" w:hAnsi="RN House Sans Light"/>
        </w:rPr>
        <w:t>July</w:t>
      </w:r>
      <w:r w:rsidR="00107010">
        <w:rPr>
          <w:rFonts w:ascii="RN House Sans Light" w:hAnsi="RN House Sans Light"/>
        </w:rPr>
        <w:t xml:space="preserve"> </w:t>
      </w:r>
      <w:r w:rsidR="005A32C9">
        <w:rPr>
          <w:rFonts w:ascii="RN House Sans Light" w:hAnsi="RN House Sans Light"/>
        </w:rPr>
        <w:t>2021</w:t>
      </w:r>
      <w:r w:rsidR="00107010">
        <w:rPr>
          <w:rFonts w:ascii="RN House Sans Light" w:hAnsi="RN House Sans Light"/>
        </w:rPr>
        <w:t>)</w:t>
      </w:r>
      <w:r>
        <w:rPr>
          <w:rFonts w:ascii="RN House Sans Light" w:hAnsi="RN House Sans Light"/>
        </w:rPr>
        <w:t>.</w:t>
      </w:r>
      <w:r w:rsidRPr="70044144">
        <w:rPr>
          <w:rFonts w:ascii="RN House Sans Light" w:hAnsi="RN House Sans Light"/>
        </w:rPr>
        <w:t xml:space="preserve"> </w:t>
      </w:r>
      <w:r>
        <w:rPr>
          <w:rFonts w:ascii="RN House Sans Light" w:hAnsi="RN House Sans Light"/>
        </w:rPr>
        <w:t xml:space="preserve">Part of this </w:t>
      </w:r>
      <w:r w:rsidRPr="46BBB45D">
        <w:rPr>
          <w:rFonts w:ascii="RN House Sans Light" w:hAnsi="RN House Sans Light"/>
        </w:rPr>
        <w:t>new C</w:t>
      </w:r>
      <w:r>
        <w:rPr>
          <w:rFonts w:ascii="RN House Sans Light" w:hAnsi="RN House Sans Light"/>
        </w:rPr>
        <w:t>S</w:t>
      </w:r>
      <w:r w:rsidRPr="46BBB45D">
        <w:rPr>
          <w:rFonts w:ascii="RN House Sans Light" w:hAnsi="RN House Sans Light"/>
        </w:rPr>
        <w:t xml:space="preserve">FF </w:t>
      </w:r>
      <w:r w:rsidRPr="49ADC6B8">
        <w:rPr>
          <w:rFonts w:ascii="RN House Sans Light" w:hAnsi="RN House Sans Light"/>
        </w:rPr>
        <w:t>target</w:t>
      </w:r>
      <w:r w:rsidRPr="555AF7A6">
        <w:rPr>
          <w:rFonts w:ascii="RN House Sans Light" w:hAnsi="RN House Sans Light"/>
        </w:rPr>
        <w:t xml:space="preserve"> </w:t>
      </w:r>
      <w:r w:rsidRPr="0927FCA5">
        <w:rPr>
          <w:rFonts w:ascii="RN House Sans Light" w:hAnsi="RN House Sans Light"/>
        </w:rPr>
        <w:t>will</w:t>
      </w:r>
      <w:r w:rsidRPr="555AF7A6">
        <w:rPr>
          <w:rFonts w:ascii="RN House Sans Light" w:hAnsi="RN House Sans Light"/>
        </w:rPr>
        <w:t xml:space="preserve"> </w:t>
      </w:r>
      <w:r>
        <w:rPr>
          <w:rFonts w:ascii="RN House Sans Light" w:hAnsi="RN House Sans Light"/>
        </w:rPr>
        <w:t xml:space="preserve">also help to </w:t>
      </w:r>
      <w:r w:rsidRPr="555AF7A6">
        <w:rPr>
          <w:rFonts w:ascii="RN House Sans Light" w:hAnsi="RN House Sans Light"/>
        </w:rPr>
        <w:t>support the investment needed to transition the UK to a net zero economy</w:t>
      </w:r>
      <w:r w:rsidRPr="0927FCA5">
        <w:rPr>
          <w:rFonts w:ascii="RN House Sans Light" w:hAnsi="RN House Sans Light"/>
        </w:rPr>
        <w:t xml:space="preserve"> and</w:t>
      </w:r>
      <w:r w:rsidRPr="555AF7A6">
        <w:rPr>
          <w:rFonts w:ascii="RN House Sans Light" w:hAnsi="RN House Sans Light"/>
        </w:rPr>
        <w:t xml:space="preserve"> </w:t>
      </w:r>
      <w:r>
        <w:rPr>
          <w:rFonts w:ascii="RN House Sans Light" w:hAnsi="RN House Sans Light"/>
        </w:rPr>
        <w:t xml:space="preserve">will help to support the bank’s customers including SMEs </w:t>
      </w:r>
      <w:r w:rsidRPr="0927FCA5">
        <w:rPr>
          <w:rFonts w:ascii="RN House Sans Light" w:hAnsi="RN House Sans Light"/>
        </w:rPr>
        <w:t xml:space="preserve">on their transition to a net zero </w:t>
      </w:r>
      <w:r>
        <w:rPr>
          <w:rFonts w:ascii="RN House Sans Light" w:hAnsi="RN House Sans Light"/>
        </w:rPr>
        <w:t xml:space="preserve">and a more sustainable </w:t>
      </w:r>
      <w:r w:rsidRPr="0927FCA5">
        <w:rPr>
          <w:rFonts w:ascii="RN House Sans Light" w:hAnsi="RN House Sans Light"/>
        </w:rPr>
        <w:t>economy</w:t>
      </w:r>
      <w:r w:rsidRPr="47B86CCA">
        <w:rPr>
          <w:rStyle w:val="FootnoteReference"/>
          <w:rFonts w:ascii="RN House Sans Light" w:hAnsi="RN House Sans Light"/>
        </w:rPr>
        <w:footnoteReference w:id="1"/>
      </w:r>
      <w:r w:rsidRPr="0927FCA5">
        <w:rPr>
          <w:rFonts w:ascii="RN House Sans Light" w:hAnsi="RN House Sans Light"/>
        </w:rPr>
        <w:t>.</w:t>
      </w:r>
      <w:r w:rsidRPr="70044144">
        <w:rPr>
          <w:rStyle w:val="normaltextrun"/>
          <w:color w:val="646068"/>
        </w:rPr>
        <w:t> </w:t>
      </w:r>
    </w:p>
    <w:p w14:paraId="4485CE92" w14:textId="77777777" w:rsidR="007317A6" w:rsidRDefault="007317A6" w:rsidP="00D7428E">
      <w:pPr>
        <w:spacing w:after="0" w:line="240" w:lineRule="auto"/>
        <w:jc w:val="both"/>
        <w:rPr>
          <w:rStyle w:val="normaltextrun"/>
          <w:color w:val="646068"/>
        </w:rPr>
      </w:pPr>
    </w:p>
    <w:p w14:paraId="5BBD068C" w14:textId="45933BD1" w:rsidR="0000160A" w:rsidRDefault="005A32C9" w:rsidP="00D7428E">
      <w:pPr>
        <w:spacing w:after="0" w:line="240" w:lineRule="auto"/>
        <w:jc w:val="both"/>
        <w:rPr>
          <w:rFonts w:ascii="RN House Sans Light" w:hAnsi="RN House Sans Light"/>
        </w:rPr>
      </w:pPr>
      <w:r>
        <w:rPr>
          <w:rFonts w:ascii="RN House Sans Light" w:hAnsi="RN House Sans Light"/>
        </w:rPr>
        <w:t>T</w:t>
      </w:r>
      <w:r w:rsidR="00D7428E" w:rsidRPr="009F22EA">
        <w:rPr>
          <w:rFonts w:ascii="RN House Sans Light" w:hAnsi="RN House Sans Light"/>
        </w:rPr>
        <w:t xml:space="preserve">oday we </w:t>
      </w:r>
      <w:r w:rsidR="00D7428E">
        <w:rPr>
          <w:rFonts w:ascii="RN House Sans Light" w:hAnsi="RN House Sans Light"/>
        </w:rPr>
        <w:t xml:space="preserve">are </w:t>
      </w:r>
      <w:r w:rsidR="00D7428E" w:rsidRPr="009F22EA">
        <w:rPr>
          <w:rFonts w:ascii="RN House Sans Light" w:hAnsi="RN House Sans Light"/>
        </w:rPr>
        <w:t>also publish</w:t>
      </w:r>
      <w:r w:rsidR="00D7428E">
        <w:rPr>
          <w:rFonts w:ascii="RN House Sans Light" w:hAnsi="RN House Sans Light"/>
        </w:rPr>
        <w:t>ing</w:t>
      </w:r>
      <w:r w:rsidR="00D7428E" w:rsidRPr="009F22EA">
        <w:rPr>
          <w:rFonts w:ascii="RN House Sans Light" w:hAnsi="RN House Sans Light"/>
        </w:rPr>
        <w:t xml:space="preserve"> our </w:t>
      </w:r>
      <w:r w:rsidR="00D7428E">
        <w:rPr>
          <w:rFonts w:ascii="RN House Sans Light" w:hAnsi="RN House Sans Light"/>
        </w:rPr>
        <w:t xml:space="preserve">new </w:t>
      </w:r>
      <w:r w:rsidR="00D7428E" w:rsidRPr="009F22EA">
        <w:rPr>
          <w:rFonts w:ascii="RN House Sans Light" w:hAnsi="RN House Sans Light"/>
        </w:rPr>
        <w:t>CSFI</w:t>
      </w:r>
      <w:r w:rsidR="00D7428E">
        <w:rPr>
          <w:rFonts w:ascii="RN House Sans Light" w:hAnsi="RN House Sans Light"/>
        </w:rPr>
        <w:t xml:space="preserve"> Criteria</w:t>
      </w:r>
      <w:r w:rsidR="00D7428E" w:rsidRPr="009F22EA">
        <w:rPr>
          <w:rFonts w:ascii="RN House Sans Light" w:hAnsi="RN House Sans Light"/>
        </w:rPr>
        <w:t xml:space="preserve"> that we </w:t>
      </w:r>
      <w:r w:rsidR="00D7428E">
        <w:rPr>
          <w:rFonts w:ascii="RN House Sans Light" w:hAnsi="RN House Sans Light"/>
        </w:rPr>
        <w:t xml:space="preserve">will </w:t>
      </w:r>
      <w:r w:rsidR="00D7428E" w:rsidRPr="009F22EA">
        <w:rPr>
          <w:rFonts w:ascii="RN House Sans Light" w:hAnsi="RN House Sans Light"/>
        </w:rPr>
        <w:t>use to determine the assets, activities and companies that are eligible to be counted towards th</w:t>
      </w:r>
      <w:r w:rsidR="00D7428E">
        <w:rPr>
          <w:rFonts w:ascii="RN House Sans Light" w:hAnsi="RN House Sans Light"/>
        </w:rPr>
        <w:t>e £100 billion CSFF</w:t>
      </w:r>
      <w:r w:rsidR="00617E87">
        <w:rPr>
          <w:rFonts w:ascii="RN House Sans Light" w:hAnsi="RN House Sans Light"/>
        </w:rPr>
        <w:t xml:space="preserve"> from 1</w:t>
      </w:r>
      <w:r w:rsidR="00617E87" w:rsidRPr="00617E87">
        <w:rPr>
          <w:rFonts w:ascii="RN House Sans Light" w:hAnsi="RN House Sans Light"/>
          <w:vertAlign w:val="superscript"/>
        </w:rPr>
        <w:t>st</w:t>
      </w:r>
      <w:r w:rsidR="00617E87">
        <w:rPr>
          <w:rFonts w:ascii="RN House Sans Light" w:hAnsi="RN House Sans Light"/>
        </w:rPr>
        <w:t xml:space="preserve"> January 2022</w:t>
      </w:r>
      <w:r w:rsidR="00D7428E" w:rsidRPr="009F22EA">
        <w:rPr>
          <w:rFonts w:ascii="RN House Sans Light" w:hAnsi="RN House Sans Light"/>
        </w:rPr>
        <w:t xml:space="preserve">. The </w:t>
      </w:r>
      <w:r w:rsidR="00D7428E">
        <w:rPr>
          <w:rFonts w:ascii="RN House Sans Light" w:hAnsi="RN House Sans Light"/>
        </w:rPr>
        <w:t>new</w:t>
      </w:r>
      <w:r w:rsidR="00D7428E" w:rsidRPr="009F22EA">
        <w:rPr>
          <w:rFonts w:ascii="RN House Sans Light" w:hAnsi="RN House Sans Light"/>
        </w:rPr>
        <w:t xml:space="preserve"> CSFI Criteria (Version 1.3) </w:t>
      </w:r>
      <w:r w:rsidR="00D7428E">
        <w:rPr>
          <w:rFonts w:ascii="RN House Sans Light" w:hAnsi="RN House Sans Light"/>
        </w:rPr>
        <w:t>is</w:t>
      </w:r>
      <w:r w:rsidR="001A0D96">
        <w:rPr>
          <w:rFonts w:ascii="RN House Sans Light" w:hAnsi="RN House Sans Light"/>
        </w:rPr>
        <w:t xml:space="preserve"> </w:t>
      </w:r>
      <w:r w:rsidR="00D7428E">
        <w:rPr>
          <w:rFonts w:ascii="RN House Sans Light" w:hAnsi="RN House Sans Light"/>
        </w:rPr>
        <w:t xml:space="preserve">available </w:t>
      </w:r>
      <w:r w:rsidR="007D4955">
        <w:rPr>
          <w:rFonts w:ascii="RN House Sans Light" w:hAnsi="RN House Sans Light"/>
        </w:rPr>
        <w:t xml:space="preserve">on </w:t>
      </w:r>
      <w:r w:rsidR="00D7428E">
        <w:rPr>
          <w:rFonts w:ascii="RN House Sans Light" w:hAnsi="RN House Sans Light"/>
        </w:rPr>
        <w:t xml:space="preserve">our </w:t>
      </w:r>
      <w:bookmarkStart w:id="1" w:name="_Hlk84959701"/>
      <w:r w:rsidR="001A0D96">
        <w:rPr>
          <w:rFonts w:ascii="RN House Sans Light" w:hAnsi="RN House Sans Light"/>
        </w:rPr>
        <w:t xml:space="preserve">“Climate and sustainable finance” </w:t>
      </w:r>
      <w:bookmarkEnd w:id="1"/>
      <w:r w:rsidR="007D4955">
        <w:fldChar w:fldCharType="begin"/>
      </w:r>
      <w:r w:rsidR="007D4955">
        <w:instrText xml:space="preserve"> HYPERLINK "https://www.natwestgroup.com/our-purpose/environment/climate-and-sustainable-finance.html" </w:instrText>
      </w:r>
      <w:r w:rsidR="007D4955">
        <w:fldChar w:fldCharType="separate"/>
      </w:r>
      <w:r w:rsidR="00D7428E" w:rsidRPr="00C955A8">
        <w:rPr>
          <w:rStyle w:val="Hyperlink"/>
          <w:rFonts w:ascii="RN House Sans Light" w:hAnsi="RN House Sans Light"/>
        </w:rPr>
        <w:t>website</w:t>
      </w:r>
      <w:r w:rsidR="007D4955">
        <w:rPr>
          <w:rStyle w:val="Hyperlink"/>
          <w:rFonts w:ascii="RN House Sans Light" w:hAnsi="RN House Sans Light"/>
        </w:rPr>
        <w:fldChar w:fldCharType="end"/>
      </w:r>
      <w:r w:rsidR="00D7428E">
        <w:rPr>
          <w:rFonts w:ascii="RN House Sans Light" w:hAnsi="RN House Sans Light"/>
        </w:rPr>
        <w:t>.</w:t>
      </w:r>
    </w:p>
    <w:p w14:paraId="28B12A6F" w14:textId="77777777" w:rsidR="00D7428E" w:rsidRDefault="00D7428E" w:rsidP="00D7428E">
      <w:pPr>
        <w:spacing w:after="0" w:line="240" w:lineRule="auto"/>
        <w:jc w:val="both"/>
        <w:rPr>
          <w:rFonts w:ascii="RN House Sans Light" w:hAnsi="RN House Sans Light"/>
        </w:rPr>
      </w:pPr>
    </w:p>
    <w:p w14:paraId="1A7BAB01" w14:textId="2099C7F2" w:rsidR="00D7428E" w:rsidRPr="00D7428E" w:rsidRDefault="00D7428E" w:rsidP="00D7428E">
      <w:pPr>
        <w:spacing w:after="0" w:line="240" w:lineRule="auto"/>
        <w:jc w:val="both"/>
        <w:rPr>
          <w:rFonts w:ascii="RN House Sans Light" w:hAnsi="RN House Sans Light"/>
        </w:rPr>
      </w:pPr>
      <w:r w:rsidRPr="00D7428E">
        <w:rPr>
          <w:rFonts w:ascii="RN House Sans Light" w:hAnsi="RN House Sans Light"/>
        </w:rPr>
        <w:t>The main changes and expansions to the previous CSFI Criteria which determined the assets, activities and companies that were eligible to be counted towards our £20bn CSFF target are</w:t>
      </w:r>
      <w:r w:rsidR="001A0D96">
        <w:rPr>
          <w:rFonts w:ascii="RN House Sans Light" w:hAnsi="RN House Sans Light"/>
        </w:rPr>
        <w:t xml:space="preserve"> and which we use to determine </w:t>
      </w:r>
      <w:r w:rsidR="001A0D96" w:rsidRPr="00D7428E">
        <w:rPr>
          <w:rFonts w:ascii="RN House Sans Light" w:hAnsi="RN House Sans Light"/>
        </w:rPr>
        <w:t>the assets, activities and companies that were eligible to be counted towards our £</w:t>
      </w:r>
      <w:r w:rsidR="001A0D96">
        <w:rPr>
          <w:rFonts w:ascii="RN House Sans Light" w:hAnsi="RN House Sans Light"/>
        </w:rPr>
        <w:t>100</w:t>
      </w:r>
      <w:r w:rsidR="001A0D96" w:rsidRPr="00D7428E">
        <w:rPr>
          <w:rFonts w:ascii="RN House Sans Light" w:hAnsi="RN House Sans Light"/>
        </w:rPr>
        <w:t>bn CSFF target</w:t>
      </w:r>
      <w:r w:rsidR="001A0D96">
        <w:rPr>
          <w:rFonts w:ascii="RN House Sans Light" w:hAnsi="RN House Sans Light"/>
        </w:rPr>
        <w:t xml:space="preserve"> until 31 December 2021 are</w:t>
      </w:r>
      <w:r w:rsidRPr="00D7428E">
        <w:rPr>
          <w:rFonts w:ascii="RN House Sans Light" w:hAnsi="RN House Sans Light"/>
        </w:rPr>
        <w:t>:</w:t>
      </w:r>
    </w:p>
    <w:p w14:paraId="77A01532" w14:textId="77777777" w:rsidR="00D7428E" w:rsidRPr="00D7428E" w:rsidRDefault="00D7428E" w:rsidP="00D7428E">
      <w:pPr>
        <w:pStyle w:val="ListParagraph"/>
        <w:numPr>
          <w:ilvl w:val="0"/>
          <w:numId w:val="3"/>
        </w:numPr>
        <w:jc w:val="both"/>
        <w:rPr>
          <w:rFonts w:ascii="RN House Sans Light" w:hAnsi="RN House Sans Light"/>
          <w:lang w:eastAsia="en-GB"/>
        </w:rPr>
      </w:pPr>
      <w:r w:rsidRPr="00D7428E">
        <w:rPr>
          <w:rFonts w:ascii="RN House Sans Light" w:hAnsi="RN House Sans Light"/>
          <w:lang w:eastAsia="en-GB"/>
        </w:rPr>
        <w:t xml:space="preserve">Revisions to the </w:t>
      </w:r>
      <w:r w:rsidRPr="00D7428E">
        <w:rPr>
          <w:rFonts w:ascii="RN House Sans Light" w:hAnsi="RN House Sans Light"/>
        </w:rPr>
        <w:t>Built Environment</w:t>
      </w:r>
      <w:r w:rsidRPr="00D7428E">
        <w:rPr>
          <w:rFonts w:ascii="RN House Sans Light" w:hAnsi="RN House Sans Light"/>
          <w:b/>
          <w:bCs/>
        </w:rPr>
        <w:t xml:space="preserve"> </w:t>
      </w:r>
      <w:r w:rsidRPr="00D7428E">
        <w:rPr>
          <w:rFonts w:ascii="RN House Sans Light" w:hAnsi="RN House Sans Light"/>
          <w:lang w:eastAsia="en-GB"/>
        </w:rPr>
        <w:t>category to align to the Bank’s Green, Social and Sustainability Bond Framework and reflect the launch of green purchase and re-mortgage products.</w:t>
      </w:r>
    </w:p>
    <w:p w14:paraId="03778C84" w14:textId="30062AAE" w:rsidR="00D7428E" w:rsidRPr="00D7428E" w:rsidRDefault="00D7428E" w:rsidP="00D7428E">
      <w:pPr>
        <w:pStyle w:val="ListParagraph"/>
        <w:numPr>
          <w:ilvl w:val="0"/>
          <w:numId w:val="3"/>
        </w:numPr>
        <w:jc w:val="both"/>
        <w:rPr>
          <w:rFonts w:ascii="RN House Sans Light" w:hAnsi="RN House Sans Light"/>
          <w:lang w:eastAsia="en-GB"/>
        </w:rPr>
      </w:pPr>
      <w:r w:rsidRPr="00D7428E">
        <w:rPr>
          <w:rFonts w:ascii="RN House Sans Light" w:hAnsi="RN House Sans Light"/>
          <w:lang w:eastAsia="en-GB"/>
        </w:rPr>
        <w:t xml:space="preserve">Removal of ‘Nuclear’ and ‘Energy from Waste’ in the Low Carbon and Offsetting technology category to align to the Green Gilt Framework.  </w:t>
      </w:r>
    </w:p>
    <w:p w14:paraId="1C5653C3" w14:textId="470017A9" w:rsidR="00D7428E" w:rsidRPr="00D7428E" w:rsidRDefault="00D7428E" w:rsidP="00D7428E">
      <w:pPr>
        <w:pStyle w:val="ListParagraph"/>
        <w:numPr>
          <w:ilvl w:val="0"/>
          <w:numId w:val="3"/>
        </w:numPr>
        <w:jc w:val="both"/>
        <w:rPr>
          <w:rFonts w:ascii="RN House Sans Light" w:hAnsi="RN House Sans Light"/>
          <w:lang w:eastAsia="en-GB"/>
        </w:rPr>
      </w:pPr>
      <w:r w:rsidRPr="00D7428E">
        <w:rPr>
          <w:rFonts w:ascii="RN House Sans Light" w:hAnsi="RN House Sans Light"/>
          <w:lang w:eastAsia="en-GB"/>
        </w:rPr>
        <w:t xml:space="preserve">Inclusion of sustainability bonds, as well as sustainable linked bonds and loans. </w:t>
      </w:r>
    </w:p>
    <w:p w14:paraId="19761114" w14:textId="22D21089" w:rsidR="00D7428E" w:rsidRPr="00D7428E" w:rsidRDefault="00D7428E" w:rsidP="00D7428E">
      <w:pPr>
        <w:pStyle w:val="ListParagraph"/>
        <w:numPr>
          <w:ilvl w:val="0"/>
          <w:numId w:val="3"/>
        </w:numPr>
        <w:jc w:val="both"/>
        <w:rPr>
          <w:rFonts w:ascii="RN House Sans Light" w:hAnsi="RN House Sans Light"/>
          <w:lang w:eastAsia="en-GB"/>
        </w:rPr>
      </w:pPr>
      <w:r w:rsidRPr="00D7428E">
        <w:rPr>
          <w:rFonts w:ascii="RN House Sans Light" w:hAnsi="RN House Sans Light"/>
          <w:lang w:eastAsia="en-GB"/>
        </w:rPr>
        <w:t>To supplement the existing general lending category, which allows any general</w:t>
      </w:r>
      <w:r w:rsidR="007E52C1">
        <w:rPr>
          <w:rFonts w:ascii="RN House Sans Light" w:hAnsi="RN House Sans Light"/>
          <w:lang w:eastAsia="en-GB"/>
        </w:rPr>
        <w:t>-</w:t>
      </w:r>
      <w:r w:rsidRPr="00D7428E">
        <w:rPr>
          <w:rFonts w:ascii="RN House Sans Light" w:hAnsi="RN House Sans Light"/>
          <w:lang w:eastAsia="en-GB"/>
        </w:rPr>
        <w:t xml:space="preserve">purpose lending or wider financing to customers who can evidence (to NatWest Group’s satisfaction through review of the issuer’s or borrower’s most recently published external results) that 50% or more of their revenues are from the categories and sectors outlined in the CSFI Criteria the following </w:t>
      </w:r>
      <w:r w:rsidRPr="00D7428E">
        <w:rPr>
          <w:rFonts w:ascii="RN House Sans Light" w:hAnsi="RN House Sans Light"/>
        </w:rPr>
        <w:t xml:space="preserve">additional categories / specifications have been added </w:t>
      </w:r>
    </w:p>
    <w:p w14:paraId="6179E9A1" w14:textId="77777777" w:rsidR="00D7428E" w:rsidRPr="00D7428E" w:rsidRDefault="00D7428E" w:rsidP="00D7428E">
      <w:pPr>
        <w:pStyle w:val="ListParagraph"/>
        <w:numPr>
          <w:ilvl w:val="0"/>
          <w:numId w:val="4"/>
        </w:numPr>
        <w:ind w:left="993" w:hanging="284"/>
        <w:jc w:val="both"/>
        <w:rPr>
          <w:rFonts w:ascii="RN House Sans Light" w:hAnsi="RN House Sans Light"/>
          <w:lang w:eastAsia="en-GB"/>
        </w:rPr>
      </w:pPr>
      <w:r w:rsidRPr="00D7428E">
        <w:rPr>
          <w:rFonts w:ascii="RN House Sans Light" w:hAnsi="RN House Sans Light"/>
        </w:rPr>
        <w:t>in case of Utilities or Real Estate customers in case 75% or more of their assets are in the categories and sectors outline in the CSFI Criteria; and</w:t>
      </w:r>
    </w:p>
    <w:p w14:paraId="1D04BCA0" w14:textId="77777777" w:rsidR="00D7428E" w:rsidRPr="00D7428E" w:rsidRDefault="00D7428E" w:rsidP="00D7428E">
      <w:pPr>
        <w:pStyle w:val="ListParagraph"/>
        <w:numPr>
          <w:ilvl w:val="0"/>
          <w:numId w:val="4"/>
        </w:numPr>
        <w:ind w:left="993" w:hanging="284"/>
        <w:jc w:val="both"/>
        <w:rPr>
          <w:rFonts w:ascii="RN House Sans Light" w:hAnsi="RN House Sans Light"/>
          <w:lang w:eastAsia="en-GB"/>
        </w:rPr>
      </w:pPr>
      <w:r w:rsidRPr="00D7428E">
        <w:rPr>
          <w:rFonts w:ascii="RN House Sans Light" w:hAnsi="RN House Sans Light"/>
        </w:rPr>
        <w:t>in case of a fund client – if 75% of Assets under Management are invested in activities outlined in the CSFI Criteria, at the time of reporting.</w:t>
      </w:r>
    </w:p>
    <w:p w14:paraId="7179AAFB" w14:textId="77777777" w:rsidR="006902FE" w:rsidRDefault="006902FE" w:rsidP="00D7428E">
      <w:pPr>
        <w:spacing w:after="0" w:line="240" w:lineRule="auto"/>
        <w:jc w:val="both"/>
        <w:rPr>
          <w:rFonts w:ascii="RN House Sans Light" w:hAnsi="RN House Sans Light"/>
          <w:b/>
          <w:bCs/>
        </w:rPr>
      </w:pPr>
    </w:p>
    <w:p w14:paraId="3CDB987E" w14:textId="0A28730C" w:rsidR="006902FE" w:rsidRDefault="00CF2A15" w:rsidP="00D7428E">
      <w:pPr>
        <w:spacing w:after="0" w:line="240" w:lineRule="auto"/>
        <w:jc w:val="both"/>
        <w:rPr>
          <w:rFonts w:ascii="RN House Sans Light" w:hAnsi="RN House Sans Light"/>
          <w:b/>
          <w:bCs/>
        </w:rPr>
      </w:pPr>
      <w:r>
        <w:rPr>
          <w:rFonts w:ascii="RN House Sans Light" w:hAnsi="RN House Sans Light"/>
          <w:b/>
          <w:bCs/>
        </w:rPr>
        <w:t>__________________________</w:t>
      </w:r>
    </w:p>
    <w:p w14:paraId="7D504A4B" w14:textId="44706739" w:rsidR="006902FE" w:rsidRDefault="00CF2A15" w:rsidP="00D7428E">
      <w:pPr>
        <w:spacing w:after="0" w:line="240" w:lineRule="auto"/>
        <w:jc w:val="both"/>
        <w:rPr>
          <w:rFonts w:ascii="RN House Sans Light" w:hAnsi="RN House Sans Light"/>
          <w:sz w:val="16"/>
          <w:szCs w:val="16"/>
        </w:rPr>
      </w:pPr>
      <w:r w:rsidRPr="47B86CCA">
        <w:rPr>
          <w:rStyle w:val="FootnoteReference"/>
        </w:rPr>
        <w:footnoteRef/>
      </w:r>
      <w:r>
        <w:t xml:space="preserve"> </w:t>
      </w:r>
      <w:r w:rsidRPr="47B86CCA">
        <w:rPr>
          <w:rFonts w:ascii="RN House Sans Light" w:hAnsi="RN House Sans Light"/>
          <w:sz w:val="16"/>
          <w:szCs w:val="16"/>
        </w:rPr>
        <w:t xml:space="preserve">NatWest Group </w:t>
      </w:r>
      <w:r>
        <w:rPr>
          <w:rFonts w:ascii="RN House Sans Light" w:hAnsi="RN House Sans Light"/>
          <w:sz w:val="16"/>
          <w:szCs w:val="16"/>
        </w:rPr>
        <w:t>will target to provide</w:t>
      </w:r>
      <w:r w:rsidRPr="47B86CCA">
        <w:rPr>
          <w:rFonts w:ascii="RN House Sans Light" w:hAnsi="RN House Sans Light"/>
          <w:sz w:val="16"/>
          <w:szCs w:val="16"/>
        </w:rPr>
        <w:t xml:space="preserve"> £100 billion of climate and sustainable funding and financing </w:t>
      </w:r>
      <w:r>
        <w:rPr>
          <w:rFonts w:ascii="RN House Sans Light" w:hAnsi="RN House Sans Light"/>
          <w:sz w:val="16"/>
          <w:szCs w:val="16"/>
        </w:rPr>
        <w:t>by the end of 2025 (from 1 July 2021) across the UK and Europe</w:t>
      </w:r>
      <w:r w:rsidRPr="47B86CCA">
        <w:rPr>
          <w:rFonts w:ascii="RN House Sans Light" w:hAnsi="RN House Sans Light"/>
          <w:sz w:val="16"/>
          <w:szCs w:val="16"/>
        </w:rPr>
        <w:t>. For further information on the C</w:t>
      </w:r>
      <w:r>
        <w:rPr>
          <w:rFonts w:ascii="RN House Sans Light" w:hAnsi="RN House Sans Light"/>
          <w:sz w:val="16"/>
          <w:szCs w:val="16"/>
        </w:rPr>
        <w:t>S</w:t>
      </w:r>
      <w:r w:rsidRPr="47B86CCA">
        <w:rPr>
          <w:rFonts w:ascii="RN House Sans Light" w:hAnsi="RN House Sans Light"/>
          <w:sz w:val="16"/>
          <w:szCs w:val="16"/>
        </w:rPr>
        <w:t>FF please see notes to editors below and</w:t>
      </w:r>
      <w:r>
        <w:rPr>
          <w:rFonts w:ascii="RN House Sans Light" w:hAnsi="RN House Sans Light"/>
          <w:sz w:val="16"/>
          <w:szCs w:val="16"/>
        </w:rPr>
        <w:t xml:space="preserve"> visit our webpage at </w:t>
      </w:r>
      <w:r w:rsidRPr="009A45D6">
        <w:rPr>
          <w:rFonts w:ascii="RN House Sans Light" w:hAnsi="RN House Sans Light"/>
          <w:sz w:val="16"/>
          <w:szCs w:val="16"/>
        </w:rPr>
        <w:t>natwest.com</w:t>
      </w:r>
    </w:p>
    <w:p w14:paraId="47817303" w14:textId="4ECFDFC1" w:rsidR="00FA4180" w:rsidRDefault="00FA4180" w:rsidP="00FA4180">
      <w:pPr>
        <w:tabs>
          <w:tab w:val="left" w:pos="2670"/>
        </w:tabs>
        <w:rPr>
          <w:rFonts w:ascii="RN House Sans Light" w:hAnsi="RN House Sans Light"/>
          <w:sz w:val="16"/>
          <w:szCs w:val="16"/>
        </w:rPr>
      </w:pPr>
      <w:r>
        <w:rPr>
          <w:rFonts w:ascii="RN House Sans Light" w:hAnsi="RN House Sans Light"/>
          <w:sz w:val="16"/>
          <w:szCs w:val="16"/>
        </w:rPr>
        <w:tab/>
      </w:r>
    </w:p>
    <w:p w14:paraId="17C7D1B9" w14:textId="77777777" w:rsidR="00FA4180" w:rsidRDefault="00FA4180" w:rsidP="00FA4180">
      <w:pPr>
        <w:tabs>
          <w:tab w:val="left" w:pos="2670"/>
        </w:tabs>
        <w:rPr>
          <w:rFonts w:ascii="RN House Sans Light" w:hAnsi="RN House Sans Light"/>
          <w:b/>
          <w:bCs/>
        </w:rPr>
      </w:pPr>
    </w:p>
    <w:p w14:paraId="6D868FBB" w14:textId="77777777" w:rsidR="00FA4180" w:rsidRDefault="00FA4180" w:rsidP="00D7428E">
      <w:pPr>
        <w:spacing w:after="0" w:line="240" w:lineRule="auto"/>
        <w:jc w:val="both"/>
        <w:rPr>
          <w:rFonts w:ascii="RN House Sans Light" w:hAnsi="RN House Sans Light"/>
          <w:b/>
          <w:bCs/>
        </w:rPr>
      </w:pPr>
    </w:p>
    <w:p w14:paraId="4F887786" w14:textId="4C261F2B" w:rsidR="00D7428E" w:rsidRDefault="00D7428E" w:rsidP="00D7428E">
      <w:pPr>
        <w:spacing w:after="0" w:line="240" w:lineRule="auto"/>
        <w:jc w:val="both"/>
        <w:rPr>
          <w:rFonts w:ascii="RN House Sans Light" w:hAnsi="RN House Sans Light"/>
          <w:b/>
          <w:bCs/>
        </w:rPr>
      </w:pPr>
      <w:r w:rsidRPr="0008191E">
        <w:rPr>
          <w:rFonts w:ascii="RN House Sans Light" w:hAnsi="RN House Sans Light"/>
          <w:b/>
          <w:bCs/>
        </w:rPr>
        <w:t xml:space="preserve">For more information, please contact </w:t>
      </w:r>
    </w:p>
    <w:p w14:paraId="415E1FA1" w14:textId="77777777" w:rsidR="00D7428E" w:rsidRDefault="00D7428E" w:rsidP="00D7428E">
      <w:pPr>
        <w:spacing w:after="0" w:line="240" w:lineRule="auto"/>
        <w:jc w:val="both"/>
        <w:rPr>
          <w:rFonts w:ascii="RN House Sans Light" w:hAnsi="RN House Sans Light"/>
          <w:b/>
          <w:bCs/>
        </w:rPr>
      </w:pPr>
    </w:p>
    <w:p w14:paraId="52F0360F" w14:textId="77777777" w:rsidR="00D7428E" w:rsidRPr="0037740F" w:rsidRDefault="00D7428E" w:rsidP="00D7428E">
      <w:pPr>
        <w:pStyle w:val="as"/>
        <w:spacing w:before="0" w:beforeAutospacing="0" w:after="0" w:afterAutospacing="0"/>
        <w:rPr>
          <w:rFonts w:ascii="RN House Sans Light" w:eastAsia="Times New Roman" w:hAnsi="RN House Sans Light" w:cs="Times New Roman"/>
        </w:rPr>
      </w:pPr>
      <w:r w:rsidRPr="0037740F">
        <w:rPr>
          <w:rFonts w:ascii="RN House Sans Light" w:eastAsia="Times New Roman" w:hAnsi="RN House Sans Light" w:cs="Times New Roman"/>
        </w:rPr>
        <w:t>Investor Relations</w:t>
      </w:r>
    </w:p>
    <w:p w14:paraId="6456BDBB" w14:textId="77777777" w:rsidR="00D7428E" w:rsidRPr="0037740F" w:rsidRDefault="00D7428E" w:rsidP="00D7428E">
      <w:pPr>
        <w:pStyle w:val="as"/>
        <w:spacing w:before="0" w:beforeAutospacing="0" w:after="0" w:afterAutospacing="0"/>
        <w:rPr>
          <w:rFonts w:ascii="RN House Sans Light" w:eastAsia="Times New Roman" w:hAnsi="RN House Sans Light" w:cs="Times New Roman"/>
        </w:rPr>
      </w:pPr>
      <w:r w:rsidRPr="0037740F">
        <w:rPr>
          <w:rFonts w:ascii="RN House Sans Light" w:eastAsia="Times New Roman" w:hAnsi="RN House Sans Light" w:cs="Times New Roman"/>
        </w:rPr>
        <w:t>+ 44 (0)207 672 1758</w:t>
      </w:r>
    </w:p>
    <w:p w14:paraId="6EB9986E" w14:textId="77777777" w:rsidR="00D7428E" w:rsidRPr="0037740F" w:rsidRDefault="00D7428E" w:rsidP="00D7428E">
      <w:pPr>
        <w:pStyle w:val="as"/>
        <w:spacing w:before="0" w:beforeAutospacing="0" w:after="0" w:afterAutospacing="0"/>
        <w:rPr>
          <w:rFonts w:ascii="RN House Sans Light" w:eastAsia="Times New Roman" w:hAnsi="RN House Sans Light" w:cs="Times New Roman"/>
        </w:rPr>
      </w:pPr>
      <w:r w:rsidRPr="0037740F">
        <w:rPr>
          <w:rFonts w:eastAsia="Times New Roman"/>
        </w:rPr>
        <w:t> </w:t>
      </w:r>
    </w:p>
    <w:p w14:paraId="6119AA92" w14:textId="77777777" w:rsidR="00D7428E" w:rsidRPr="0037740F" w:rsidRDefault="00D7428E" w:rsidP="00D7428E">
      <w:pPr>
        <w:pStyle w:val="as"/>
        <w:spacing w:before="0" w:beforeAutospacing="0" w:after="0" w:afterAutospacing="0"/>
        <w:rPr>
          <w:rFonts w:ascii="RN House Sans Light" w:eastAsia="Times New Roman" w:hAnsi="RN House Sans Light" w:cs="Times New Roman"/>
        </w:rPr>
      </w:pPr>
      <w:r w:rsidRPr="0037740F">
        <w:rPr>
          <w:rFonts w:ascii="RN House Sans Light" w:eastAsia="Times New Roman" w:hAnsi="RN House Sans Light" w:cs="Times New Roman"/>
        </w:rPr>
        <w:t>Media Relations</w:t>
      </w:r>
    </w:p>
    <w:p w14:paraId="30B1918F" w14:textId="77777777" w:rsidR="00D7428E" w:rsidRPr="0037740F" w:rsidRDefault="00D7428E" w:rsidP="00D7428E">
      <w:pPr>
        <w:pStyle w:val="as"/>
        <w:spacing w:before="0" w:beforeAutospacing="0" w:after="0" w:afterAutospacing="0"/>
        <w:rPr>
          <w:rFonts w:ascii="RN House Sans Light" w:eastAsia="Times New Roman" w:hAnsi="RN House Sans Light" w:cs="Times New Roman"/>
        </w:rPr>
      </w:pPr>
      <w:r w:rsidRPr="0037740F">
        <w:rPr>
          <w:rFonts w:ascii="RN House Sans Light" w:eastAsia="Times New Roman" w:hAnsi="RN House Sans Light" w:cs="Times New Roman"/>
        </w:rPr>
        <w:t>+44 (0)131 523 4205</w:t>
      </w:r>
    </w:p>
    <w:p w14:paraId="2729F1B8" w14:textId="076DB91E" w:rsidR="00D7428E" w:rsidRDefault="00D7428E" w:rsidP="00D7428E">
      <w:pPr>
        <w:spacing w:after="0" w:line="240" w:lineRule="auto"/>
        <w:jc w:val="both"/>
        <w:rPr>
          <w:rFonts w:ascii="RN House Sans Light" w:hAnsi="RN House Sans Light"/>
        </w:rPr>
      </w:pPr>
    </w:p>
    <w:p w14:paraId="176363A1" w14:textId="5AF1E603" w:rsidR="00D7428E" w:rsidRDefault="00D7428E" w:rsidP="00D7428E">
      <w:pPr>
        <w:spacing w:after="0" w:line="240" w:lineRule="auto"/>
        <w:jc w:val="both"/>
        <w:rPr>
          <w:rFonts w:ascii="RN House Sans Light" w:hAnsi="RN House Sans Light"/>
        </w:rPr>
      </w:pPr>
    </w:p>
    <w:p w14:paraId="03199657" w14:textId="77777777" w:rsidR="00D7428E" w:rsidRPr="00D7428E" w:rsidRDefault="00D7428E" w:rsidP="00D7428E">
      <w:pPr>
        <w:pStyle w:val="xmsonormal"/>
        <w:jc w:val="both"/>
        <w:rPr>
          <w:rFonts w:ascii="RN House Sans Light" w:eastAsia="Times New Roman" w:hAnsi="RN House Sans Light" w:cstheme="minorBidi"/>
          <w:color w:val="000000"/>
          <w:sz w:val="16"/>
          <w:szCs w:val="16"/>
          <w:lang w:eastAsia="en-US"/>
        </w:rPr>
      </w:pPr>
      <w:r w:rsidRPr="00D7428E">
        <w:rPr>
          <w:rFonts w:ascii="RN House Sans Light" w:eastAsia="Times New Roman" w:hAnsi="RN House Sans Light" w:cstheme="minorBidi"/>
          <w:b/>
          <w:bCs/>
          <w:color w:val="000000"/>
          <w:sz w:val="16"/>
          <w:szCs w:val="16"/>
          <w:lang w:eastAsia="en-US"/>
        </w:rPr>
        <w:t>Caution about climate and sustainable funding and financing (CSFF) information.</w:t>
      </w:r>
      <w:r w:rsidRPr="00D7428E">
        <w:rPr>
          <w:rFonts w:ascii="RN House Sans Light" w:eastAsia="Times New Roman" w:hAnsi="RN House Sans Light" w:cstheme="minorBidi"/>
          <w:color w:val="000000"/>
          <w:sz w:val="16"/>
          <w:szCs w:val="16"/>
          <w:lang w:eastAsia="en-US"/>
        </w:rPr>
        <w:t xml:space="preserve"> </w:t>
      </w:r>
    </w:p>
    <w:p w14:paraId="07A943A0" w14:textId="77777777" w:rsidR="00D7428E" w:rsidRPr="00D7428E" w:rsidRDefault="00D7428E" w:rsidP="00D7428E">
      <w:pPr>
        <w:pStyle w:val="xmsonormal"/>
        <w:jc w:val="both"/>
        <w:rPr>
          <w:rFonts w:ascii="RN House Sans Light" w:eastAsia="Times New Roman" w:hAnsi="RN House Sans Light" w:cstheme="minorBidi"/>
          <w:b/>
          <w:bCs/>
          <w:color w:val="000000"/>
          <w:sz w:val="16"/>
          <w:szCs w:val="16"/>
          <w:lang w:eastAsia="en-US"/>
        </w:rPr>
      </w:pPr>
      <w:r w:rsidRPr="00D7428E">
        <w:rPr>
          <w:rFonts w:ascii="RN House Sans Light" w:eastAsia="Times New Roman" w:hAnsi="RN House Sans Light" w:cstheme="minorBidi"/>
          <w:color w:val="000000"/>
          <w:sz w:val="16"/>
          <w:szCs w:val="16"/>
          <w:lang w:eastAsia="en-US"/>
        </w:rPr>
        <w:t xml:space="preserve">Climate and sustainable funding and financing activities and their classification and reporting are </w:t>
      </w:r>
      <w:r w:rsidRPr="00D7428E">
        <w:rPr>
          <w:rFonts w:ascii="RN House Sans Light" w:eastAsia="Times New Roman" w:hAnsi="RN House Sans Light"/>
          <w:color w:val="000000"/>
          <w:sz w:val="16"/>
          <w:szCs w:val="16"/>
        </w:rPr>
        <w:t>still not</w:t>
      </w:r>
      <w:r w:rsidRPr="00D7428E">
        <w:rPr>
          <w:rFonts w:ascii="RN House Sans Light" w:eastAsia="Times New Roman" w:hAnsi="RN House Sans Light" w:cstheme="minorBidi"/>
          <w:color w:val="000000"/>
          <w:sz w:val="16"/>
          <w:szCs w:val="16"/>
          <w:lang w:eastAsia="en-US"/>
        </w:rPr>
        <w:t xml:space="preserve"> subject to a single recognised or accepted, consistent and comparable </w:t>
      </w:r>
      <w:r w:rsidRPr="00D7428E">
        <w:rPr>
          <w:rFonts w:ascii="RN House Sans Light" w:eastAsia="Times New Roman" w:hAnsi="RN House Sans Light"/>
          <w:color w:val="000000"/>
          <w:sz w:val="16"/>
          <w:szCs w:val="16"/>
        </w:rPr>
        <w:t xml:space="preserve">set of </w:t>
      </w:r>
      <w:r w:rsidRPr="00D7428E">
        <w:rPr>
          <w:rFonts w:ascii="RN House Sans Light" w:eastAsia="Times New Roman" w:hAnsi="RN House Sans Light" w:cstheme="minorBidi"/>
          <w:color w:val="000000"/>
          <w:sz w:val="16"/>
          <w:szCs w:val="16"/>
          <w:lang w:eastAsia="en-US"/>
        </w:rPr>
        <w:t>definitions or standards in the UK or globally. There is little certainty that such activities and or reporting of those activities will meet any present or future expectations or requirements for describing or classifying funding and financing activities</w:t>
      </w:r>
      <w:r w:rsidRPr="00D7428E">
        <w:rPr>
          <w:rFonts w:ascii="RN House Sans Light" w:eastAsia="Times New Roman" w:hAnsi="RN House Sans Light"/>
          <w:color w:val="000000"/>
          <w:sz w:val="16"/>
          <w:szCs w:val="16"/>
        </w:rPr>
        <w:t xml:space="preserve"> as </w:t>
      </w:r>
      <w:r w:rsidRPr="00D7428E">
        <w:rPr>
          <w:rFonts w:ascii="RN House Sans Light" w:eastAsia="Times New Roman" w:hAnsi="RN House Sans Light" w:cstheme="minorBidi"/>
          <w:color w:val="000000"/>
          <w:sz w:val="16"/>
          <w:szCs w:val="16"/>
          <w:lang w:eastAsia="en-US"/>
        </w:rPr>
        <w:t>“</w:t>
      </w:r>
      <w:r w:rsidRPr="00D7428E">
        <w:rPr>
          <w:rFonts w:ascii="RN House Sans Light" w:eastAsia="Times New Roman" w:hAnsi="RN House Sans Light" w:cstheme="minorBidi"/>
          <w:i/>
          <w:iCs/>
          <w:color w:val="000000"/>
          <w:sz w:val="16"/>
          <w:szCs w:val="16"/>
          <w:lang w:eastAsia="en-US"/>
        </w:rPr>
        <w:t>green</w:t>
      </w:r>
      <w:r w:rsidRPr="00D7428E">
        <w:rPr>
          <w:rFonts w:ascii="RN House Sans Light" w:eastAsia="Times New Roman" w:hAnsi="RN House Sans Light" w:cstheme="minorBidi"/>
          <w:color w:val="000000"/>
          <w:sz w:val="16"/>
          <w:szCs w:val="16"/>
          <w:lang w:eastAsia="en-US"/>
        </w:rPr>
        <w:t>” or “</w:t>
      </w:r>
      <w:r w:rsidRPr="00D7428E">
        <w:rPr>
          <w:rFonts w:ascii="RN House Sans Light" w:eastAsia="Times New Roman" w:hAnsi="RN House Sans Light" w:cstheme="minorBidi"/>
          <w:i/>
          <w:iCs/>
          <w:color w:val="000000"/>
          <w:sz w:val="16"/>
          <w:szCs w:val="16"/>
          <w:lang w:eastAsia="en-US"/>
        </w:rPr>
        <w:t>sustainable</w:t>
      </w:r>
      <w:r w:rsidRPr="00D7428E">
        <w:rPr>
          <w:rFonts w:ascii="RN House Sans Light" w:eastAsia="Times New Roman" w:hAnsi="RN House Sans Light" w:cstheme="minorBidi"/>
          <w:color w:val="000000"/>
          <w:sz w:val="16"/>
          <w:szCs w:val="16"/>
          <w:lang w:eastAsia="en-US"/>
        </w:rPr>
        <w:t xml:space="preserve">” or </w:t>
      </w:r>
      <w:r w:rsidRPr="00D7428E">
        <w:rPr>
          <w:rFonts w:ascii="RN House Sans Light" w:eastAsia="Times New Roman" w:hAnsi="RN House Sans Light"/>
          <w:color w:val="000000"/>
          <w:sz w:val="16"/>
          <w:szCs w:val="16"/>
        </w:rPr>
        <w:t xml:space="preserve">having </w:t>
      </w:r>
      <w:r w:rsidRPr="00D7428E">
        <w:rPr>
          <w:rFonts w:ascii="RN House Sans Light" w:eastAsia="Times New Roman" w:hAnsi="RN House Sans Light" w:cstheme="minorBidi"/>
          <w:color w:val="000000"/>
          <w:sz w:val="16"/>
          <w:szCs w:val="16"/>
          <w:lang w:eastAsia="en-US"/>
        </w:rPr>
        <w:t>similar labels (</w:t>
      </w:r>
      <w:r w:rsidRPr="00D7428E">
        <w:rPr>
          <w:rFonts w:ascii="RN House Sans Light" w:eastAsia="Times New Roman" w:hAnsi="RN House Sans Light"/>
          <w:color w:val="000000"/>
          <w:sz w:val="16"/>
          <w:szCs w:val="16"/>
        </w:rPr>
        <w:t>including existing or proposed standards, such as the</w:t>
      </w:r>
      <w:r w:rsidRPr="00D7428E">
        <w:rPr>
          <w:rFonts w:ascii="RN House Sans Light" w:eastAsia="Times New Roman" w:hAnsi="RN House Sans Light" w:cstheme="minorBidi"/>
          <w:color w:val="000000"/>
          <w:sz w:val="16"/>
          <w:szCs w:val="16"/>
        </w:rPr>
        <w:t xml:space="preserve"> EU Taxonomy, EU SFDR and EU GBS)</w:t>
      </w:r>
      <w:r w:rsidRPr="00D7428E">
        <w:rPr>
          <w:rFonts w:ascii="RN House Sans Light" w:eastAsia="Times New Roman" w:hAnsi="RN House Sans Light"/>
          <w:color w:val="000000"/>
          <w:sz w:val="16"/>
          <w:szCs w:val="16"/>
        </w:rPr>
        <w:t>. We expect policies, regulatory requirements, standards, and definitions to be developed and evolve over time.</w:t>
      </w:r>
    </w:p>
    <w:p w14:paraId="03941790" w14:textId="77777777" w:rsidR="00D7428E" w:rsidRPr="00D7428E" w:rsidRDefault="00D7428E" w:rsidP="00D7428E">
      <w:pPr>
        <w:autoSpaceDE w:val="0"/>
        <w:autoSpaceDN w:val="0"/>
        <w:adjustRightInd w:val="0"/>
        <w:spacing w:after="0" w:line="240" w:lineRule="auto"/>
        <w:jc w:val="both"/>
        <w:rPr>
          <w:rFonts w:ascii="RN House Sans Light" w:hAnsi="RN House Sans Light"/>
          <w:color w:val="000000"/>
          <w:sz w:val="16"/>
          <w:szCs w:val="16"/>
        </w:rPr>
      </w:pPr>
    </w:p>
    <w:p w14:paraId="3565F691" w14:textId="77777777" w:rsidR="00D7428E" w:rsidRPr="00D7428E" w:rsidRDefault="00D7428E" w:rsidP="00D7428E">
      <w:pPr>
        <w:autoSpaceDE w:val="0"/>
        <w:autoSpaceDN w:val="0"/>
        <w:adjustRightInd w:val="0"/>
        <w:spacing w:after="0" w:line="240" w:lineRule="auto"/>
        <w:jc w:val="both"/>
        <w:rPr>
          <w:color w:val="000000"/>
          <w:sz w:val="16"/>
          <w:szCs w:val="16"/>
        </w:rPr>
      </w:pPr>
      <w:r w:rsidRPr="00D7428E">
        <w:rPr>
          <w:rFonts w:ascii="RN House Sans Light" w:hAnsi="RN House Sans Light"/>
          <w:color w:val="000000"/>
          <w:sz w:val="16"/>
          <w:szCs w:val="16"/>
        </w:rPr>
        <w:t>Preparation of some of the information in the research report referred to in this announcement as well as reporting on CSFF activities against the £100 billion CSFF target requires the application of a number of key judgements, assumptions and estimates.</w:t>
      </w:r>
      <w:r w:rsidRPr="00D7428E">
        <w:rPr>
          <w:rFonts w:ascii="RN House Sans Light" w:hAnsi="RN House Sans Light"/>
          <w:color w:val="92D050"/>
          <w:sz w:val="16"/>
          <w:szCs w:val="16"/>
        </w:rPr>
        <w:t xml:space="preserve"> </w:t>
      </w:r>
      <w:r w:rsidRPr="00D7428E">
        <w:rPr>
          <w:rFonts w:ascii="RN House Sans Light" w:hAnsi="RN House Sans Light"/>
          <w:color w:val="000000"/>
          <w:sz w:val="16"/>
          <w:szCs w:val="16"/>
        </w:rPr>
        <w:t>The reported measures on such activities reflect estimates, assumptions and judgements at the given point in time. There is a risk that these judgements, estimates or assumptions may subsequently prove to be incorrect.</w:t>
      </w:r>
      <w:r w:rsidRPr="00D7428E">
        <w:rPr>
          <w:rFonts w:ascii="RN House Sans Light" w:hAnsi="RN House Sans Light"/>
          <w:color w:val="92D050"/>
          <w:sz w:val="16"/>
          <w:szCs w:val="16"/>
        </w:rPr>
        <w:t xml:space="preserve"> </w:t>
      </w:r>
      <w:r w:rsidRPr="00D7428E">
        <w:rPr>
          <w:rFonts w:ascii="RN House Sans Light" w:hAnsi="RN House Sans Light"/>
          <w:color w:val="000000"/>
          <w:sz w:val="16"/>
          <w:szCs w:val="16"/>
        </w:rPr>
        <w:t xml:space="preserve">In addition, the maturity of underlying data, systems and controls that support such reporting is generally considerably less sophisticated than the systems and internal controls for financial reporting and it also includes manual processes. </w:t>
      </w:r>
    </w:p>
    <w:p w14:paraId="23B0F7B0" w14:textId="77777777" w:rsidR="00D7428E" w:rsidRPr="00D7428E" w:rsidRDefault="00D7428E" w:rsidP="00D7428E">
      <w:pPr>
        <w:autoSpaceDE w:val="0"/>
        <w:autoSpaceDN w:val="0"/>
        <w:adjustRightInd w:val="0"/>
        <w:spacing w:after="0" w:line="240" w:lineRule="auto"/>
        <w:jc w:val="both"/>
        <w:rPr>
          <w:rFonts w:ascii="RN House Sans Light" w:hAnsi="RN House Sans Light"/>
          <w:color w:val="000000"/>
          <w:sz w:val="16"/>
          <w:szCs w:val="16"/>
        </w:rPr>
      </w:pPr>
    </w:p>
    <w:p w14:paraId="571ADAB3" w14:textId="77777777" w:rsidR="00D7428E" w:rsidRPr="00D7428E" w:rsidRDefault="00D7428E" w:rsidP="00D7428E">
      <w:pPr>
        <w:pStyle w:val="xmsonormal"/>
        <w:jc w:val="both"/>
        <w:rPr>
          <w:rFonts w:ascii="RN House Sans Light" w:eastAsia="Times New Roman" w:hAnsi="RN House Sans Light" w:cstheme="minorBidi"/>
          <w:color w:val="000000"/>
          <w:sz w:val="16"/>
          <w:szCs w:val="16"/>
          <w:lang w:eastAsia="en-US"/>
        </w:rPr>
      </w:pPr>
      <w:r w:rsidRPr="00D7428E">
        <w:rPr>
          <w:rFonts w:ascii="RN House Sans Light" w:eastAsia="Times New Roman" w:hAnsi="RN House Sans Light" w:cstheme="minorBidi"/>
          <w:color w:val="000000"/>
          <w:sz w:val="16"/>
          <w:szCs w:val="16"/>
          <w:lang w:eastAsia="en-US"/>
        </w:rPr>
        <w:t xml:space="preserve">This document and any information contained or otherwise accessible through natwestgroup.com are historical and only speak as of their respective dates. Reference to natwestgroup.com and other websites are made for information purposes only. Information found at such websites are not incorporated by reference into this document. NatWest Group is under no obligation to update these materials, absent a legal duty to do so. </w:t>
      </w:r>
    </w:p>
    <w:p w14:paraId="3C44F4F9" w14:textId="77777777" w:rsidR="00D7428E" w:rsidRPr="00D7428E" w:rsidRDefault="00D7428E" w:rsidP="00D7428E">
      <w:pPr>
        <w:pStyle w:val="xmsonormal"/>
        <w:jc w:val="both"/>
        <w:rPr>
          <w:rFonts w:ascii="RN House Sans Light" w:eastAsia="Times New Roman" w:hAnsi="RN House Sans Light" w:cstheme="minorBidi"/>
          <w:color w:val="000000"/>
          <w:sz w:val="16"/>
          <w:szCs w:val="16"/>
          <w:lang w:eastAsia="en-US"/>
        </w:rPr>
      </w:pPr>
    </w:p>
    <w:p w14:paraId="3C76B62B" w14:textId="77777777" w:rsidR="00D7428E" w:rsidRPr="00D7428E" w:rsidRDefault="00D7428E" w:rsidP="00D7428E">
      <w:pPr>
        <w:pStyle w:val="xmsonormal"/>
        <w:jc w:val="both"/>
        <w:rPr>
          <w:rFonts w:ascii="RN House Sans Light" w:eastAsia="Times New Roman" w:hAnsi="RN House Sans Light" w:cstheme="minorBidi"/>
          <w:color w:val="000000"/>
          <w:sz w:val="16"/>
          <w:szCs w:val="16"/>
          <w:lang w:eastAsia="en-US"/>
        </w:rPr>
      </w:pPr>
      <w:r w:rsidRPr="00D7428E">
        <w:rPr>
          <w:rFonts w:ascii="RN House Sans Light" w:eastAsia="Times New Roman" w:hAnsi="RN House Sans Light" w:cstheme="minorBidi"/>
          <w:b/>
          <w:bCs/>
          <w:color w:val="000000"/>
          <w:sz w:val="16"/>
          <w:szCs w:val="16"/>
          <w:lang w:eastAsia="en-US"/>
        </w:rPr>
        <w:t>No securities offering.</w:t>
      </w:r>
      <w:r w:rsidRPr="00D7428E">
        <w:rPr>
          <w:rFonts w:ascii="RN House Sans Light" w:eastAsia="Times New Roman" w:hAnsi="RN House Sans Light" w:cstheme="minorBidi"/>
          <w:color w:val="000000"/>
          <w:sz w:val="16"/>
          <w:szCs w:val="16"/>
          <w:lang w:eastAsia="en-US"/>
        </w:rPr>
        <w:t xml:space="preserve"> The information, statements and opinions contained in this announcement do not constitute a public offer under any applicable legislation, an offer to sell or solicitation of any offer to buy any securities or financial instruments, or any advice or recommendation with respect to such securities or other financial instruments.</w:t>
      </w:r>
    </w:p>
    <w:p w14:paraId="313774ED" w14:textId="77777777" w:rsidR="00D7428E" w:rsidRPr="00D7428E" w:rsidRDefault="00D7428E" w:rsidP="00D7428E">
      <w:pPr>
        <w:spacing w:after="0" w:line="240" w:lineRule="auto"/>
        <w:rPr>
          <w:rFonts w:ascii="RN House Sans Light" w:hAnsi="RN House Sans Light"/>
          <w:sz w:val="16"/>
          <w:szCs w:val="16"/>
        </w:rPr>
      </w:pPr>
    </w:p>
    <w:p w14:paraId="378D71C1" w14:textId="39A94FFF" w:rsidR="00D7428E" w:rsidRPr="00D7428E" w:rsidRDefault="00D7428E" w:rsidP="00D7428E">
      <w:pPr>
        <w:spacing w:after="0" w:line="240" w:lineRule="auto"/>
        <w:jc w:val="both"/>
        <w:rPr>
          <w:rFonts w:ascii="RN House Sans Light" w:hAnsi="RN House Sans Light"/>
          <w:sz w:val="16"/>
          <w:szCs w:val="16"/>
        </w:rPr>
      </w:pPr>
      <w:r w:rsidRPr="00D7428E">
        <w:rPr>
          <w:rFonts w:ascii="RN House Sans Light" w:hAnsi="RN House Sans Light"/>
          <w:b/>
          <w:bCs/>
          <w:sz w:val="16"/>
          <w:szCs w:val="16"/>
        </w:rPr>
        <w:t xml:space="preserve">Forward-looking statements. </w:t>
      </w:r>
      <w:r w:rsidRPr="00D7428E">
        <w:rPr>
          <w:rFonts w:ascii="RN House Sans Light" w:hAnsi="RN House Sans Light"/>
          <w:sz w:val="16"/>
          <w:szCs w:val="16"/>
        </w:rPr>
        <w:t>The £100 billion CSSF target referred to in this announcement is a forward-looking statement. Words or phrases such as ‘estimate’, ‘believe’, ‘commits’, ’continue’, ‘could’, ‘expect’, ‘forecast’, ‘goal’, ‘guidance’, ‘intend’, ‘may’, ‘objective’, ‘plan’, ‘pledge’, ‘potential’, ‘predict’, ‘projection’, ‘seek’, ‘should’, ‘target’, ‘will’, ‘will provide’, ‘would’ or similar expressions that convey the prospective nature of events or outcomes generally indicate other forward-looking statements. These forward-looking statements are based on current plans, expectations, estimates, targets and projections, and are subject to significant inherent risks, uncertainties and other factors, both external and relating to NatWest Group’s strategy or operations, which may result in NatWest Group being unable to achieve the current plans, expectations, estimates, targets, projections and other anticipated outcomes expressed or implied by such forward-looking statements. The target included in this announcement is based on various industry and other information and are based on assumptions and estimates and are the result of research, not statements of historical fact.  By their nature, certain of these disclosures are only estimates and, as a result, actual future results could differ materially from those that have been estimated. Accordingly, undue reliance should not be placed on these statements. The forward-looking statements contained in this document speak only as of the date we make them. Except to the extent legally required, we expressly disclaim any obligation or undertaking to update or revise any forward-looking statements in this document, whether to reflect any change in our expectations regarding those forward-looking statements, any change in events, conditions or circumstances on which any such statement is based, or otherwise.</w:t>
      </w:r>
    </w:p>
    <w:p w14:paraId="4851C1CB" w14:textId="77777777" w:rsidR="00D7428E" w:rsidRPr="00D7428E" w:rsidRDefault="00D7428E" w:rsidP="00D7428E">
      <w:pPr>
        <w:spacing w:after="0" w:line="240" w:lineRule="auto"/>
        <w:jc w:val="both"/>
        <w:rPr>
          <w:rFonts w:ascii="RN House Sans Light" w:hAnsi="RN House Sans Light"/>
          <w:sz w:val="16"/>
          <w:szCs w:val="16"/>
        </w:rPr>
      </w:pPr>
    </w:p>
    <w:p w14:paraId="038469EF" w14:textId="77777777" w:rsidR="00D7428E" w:rsidRPr="00D7428E" w:rsidRDefault="00D7428E" w:rsidP="00D7428E">
      <w:pPr>
        <w:spacing w:after="0" w:line="240" w:lineRule="auto"/>
        <w:rPr>
          <w:rFonts w:ascii="RN House Sans Light" w:hAnsi="RN House Sans Light"/>
          <w:sz w:val="16"/>
          <w:szCs w:val="16"/>
        </w:rPr>
      </w:pPr>
      <w:r w:rsidRPr="00D7428E">
        <w:rPr>
          <w:rFonts w:ascii="RN House Sans Light" w:hAnsi="RN House Sans Light"/>
          <w:sz w:val="16"/>
          <w:szCs w:val="16"/>
        </w:rPr>
        <w:t>This cautionary note and forward-looking statement should not be regarded as complete and comprehensive and should be read together with:</w:t>
      </w:r>
    </w:p>
    <w:p w14:paraId="086D3BF0" w14:textId="77777777" w:rsidR="00D7428E" w:rsidRPr="00D7428E" w:rsidRDefault="00D7428E" w:rsidP="00D7428E">
      <w:pPr>
        <w:pStyle w:val="ListParagraph"/>
        <w:numPr>
          <w:ilvl w:val="0"/>
          <w:numId w:val="5"/>
        </w:numPr>
        <w:ind w:left="284" w:hanging="284"/>
        <w:jc w:val="both"/>
        <w:rPr>
          <w:rFonts w:ascii="RN House Sans Light" w:hAnsi="RN House Sans Light"/>
          <w:sz w:val="16"/>
          <w:szCs w:val="16"/>
        </w:rPr>
      </w:pPr>
      <w:r w:rsidRPr="00D7428E">
        <w:rPr>
          <w:rFonts w:ascii="RN House Sans Light" w:hAnsi="RN House Sans Light"/>
          <w:sz w:val="16"/>
          <w:szCs w:val="16"/>
        </w:rPr>
        <w:t>the ‘Risk Factors’ included on pages 345 to 362 of the NatWest Group plc 2020 Annual Report and Accounts (with special regard to the risk factors in relation to ‘Climate and sustainability related risks’ that describes several particular uncertainties, climate and sustainability related risks to which NatWest Group is exposed) and included on page 113 of NatWest Group’s H1 2021 Interim Results;</w:t>
      </w:r>
    </w:p>
    <w:p w14:paraId="61A10C66" w14:textId="2DA08806" w:rsidR="00D7428E" w:rsidRPr="00D7428E" w:rsidRDefault="00D7428E" w:rsidP="00D7428E">
      <w:pPr>
        <w:pStyle w:val="ListParagraph"/>
        <w:numPr>
          <w:ilvl w:val="0"/>
          <w:numId w:val="5"/>
        </w:numPr>
        <w:ind w:left="284" w:hanging="284"/>
        <w:jc w:val="both"/>
        <w:rPr>
          <w:rFonts w:ascii="RN House Sans Light" w:hAnsi="RN House Sans Light"/>
          <w:sz w:val="16"/>
          <w:szCs w:val="16"/>
        </w:rPr>
      </w:pPr>
      <w:r w:rsidRPr="00D7428E">
        <w:rPr>
          <w:rFonts w:ascii="RN House Sans Light" w:hAnsi="RN House Sans Light"/>
          <w:sz w:val="16"/>
          <w:szCs w:val="16"/>
        </w:rPr>
        <w:t>the ‘Cautionary statement regarding forward-looking statements’ on page 367 of the NatWest Group plc 2020 Annual Report and Accounts and on page 115 of NatWest Group ‘s H1 2021 Interim Results;</w:t>
      </w:r>
    </w:p>
    <w:p w14:paraId="44C08A60" w14:textId="77777777" w:rsidR="00D7428E" w:rsidRPr="00D7428E" w:rsidRDefault="00D7428E" w:rsidP="00D7428E">
      <w:pPr>
        <w:pStyle w:val="ListParagraph"/>
        <w:numPr>
          <w:ilvl w:val="0"/>
          <w:numId w:val="5"/>
        </w:numPr>
        <w:ind w:left="284" w:hanging="284"/>
        <w:jc w:val="both"/>
        <w:rPr>
          <w:rFonts w:ascii="RN House Sans Light" w:hAnsi="RN House Sans Light"/>
          <w:sz w:val="16"/>
          <w:szCs w:val="16"/>
        </w:rPr>
      </w:pPr>
      <w:r w:rsidRPr="00D7428E">
        <w:rPr>
          <w:rFonts w:ascii="RN House Sans Light" w:hAnsi="RN House Sans Light"/>
          <w:sz w:val="16"/>
          <w:szCs w:val="16"/>
        </w:rPr>
        <w:t>Section 5.7 (Caution about climate metrics) and the ‘Climate-related and other forward-looking statements and metrics’ (page 65) of the NatWest Group’s Climate-related disclosure report 2020; and</w:t>
      </w:r>
    </w:p>
    <w:p w14:paraId="0D11E8B8" w14:textId="3D2DC8CE" w:rsidR="00D7428E" w:rsidRDefault="00D7428E" w:rsidP="00D7428E">
      <w:pPr>
        <w:pStyle w:val="ListParagraph"/>
        <w:numPr>
          <w:ilvl w:val="0"/>
          <w:numId w:val="5"/>
        </w:numPr>
        <w:ind w:left="284" w:hanging="284"/>
        <w:jc w:val="both"/>
        <w:rPr>
          <w:rFonts w:ascii="RN House Sans Light" w:hAnsi="RN House Sans Light"/>
          <w:sz w:val="16"/>
          <w:szCs w:val="16"/>
        </w:rPr>
      </w:pPr>
      <w:r w:rsidRPr="00D7428E">
        <w:rPr>
          <w:rFonts w:ascii="RN House Sans Light" w:hAnsi="RN House Sans Light"/>
          <w:sz w:val="16"/>
          <w:szCs w:val="16"/>
        </w:rPr>
        <w:t>the cautionary statement of NatWest Group’s Climate, Purpose and ESG measures supplement H1 2021</w:t>
      </w:r>
      <w:r w:rsidR="0000160A">
        <w:rPr>
          <w:rFonts w:ascii="RN House Sans Light" w:hAnsi="RN House Sans Light"/>
          <w:sz w:val="16"/>
          <w:szCs w:val="16"/>
        </w:rPr>
        <w:t>.</w:t>
      </w:r>
    </w:p>
    <w:p w14:paraId="6694BC73" w14:textId="77777777" w:rsidR="000558D9" w:rsidRPr="000558D9" w:rsidRDefault="000558D9" w:rsidP="00DE152F">
      <w:pPr>
        <w:jc w:val="both"/>
        <w:rPr>
          <w:rFonts w:ascii="RN House Sans Light" w:eastAsia="Times New Roman" w:hAnsi="RN House Sans Light" w:cs="Times New Roman"/>
          <w:sz w:val="24"/>
          <w:szCs w:val="24"/>
          <w:lang w:eastAsia="en-GB"/>
        </w:rPr>
      </w:pPr>
    </w:p>
    <w:p w14:paraId="207D4F38" w14:textId="4F8CC600" w:rsidR="00DE152F" w:rsidRPr="000558D9" w:rsidRDefault="00DE152F" w:rsidP="00DE152F">
      <w:pPr>
        <w:jc w:val="both"/>
        <w:rPr>
          <w:rFonts w:ascii="RN House Sans Light" w:eastAsia="Times New Roman" w:hAnsi="RN House Sans Light" w:cs="Times New Roman"/>
          <w:sz w:val="24"/>
          <w:szCs w:val="24"/>
          <w:lang w:eastAsia="en-GB"/>
        </w:rPr>
      </w:pPr>
      <w:r w:rsidRPr="000558D9">
        <w:rPr>
          <w:rFonts w:ascii="RN House Sans Light" w:eastAsia="Times New Roman" w:hAnsi="RN House Sans Light" w:cs="Times New Roman"/>
          <w:sz w:val="24"/>
          <w:szCs w:val="24"/>
          <w:lang w:eastAsia="en-GB"/>
        </w:rPr>
        <w:lastRenderedPageBreak/>
        <w:t>Legal Entity Identifier: 2138005O9XJIJN4JPN90</w:t>
      </w:r>
    </w:p>
    <w:sectPr w:rsidR="00DE152F" w:rsidRPr="000558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51510" w14:textId="77777777" w:rsidR="00D7428E" w:rsidRDefault="00D7428E" w:rsidP="00D7428E">
      <w:pPr>
        <w:spacing w:after="0" w:line="240" w:lineRule="auto"/>
      </w:pPr>
      <w:r>
        <w:separator/>
      </w:r>
    </w:p>
  </w:endnote>
  <w:endnote w:type="continuationSeparator" w:id="0">
    <w:p w14:paraId="6D6E6310" w14:textId="77777777" w:rsidR="00D7428E" w:rsidRDefault="00D7428E" w:rsidP="00D7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N House Sans Light">
    <w:panose1 w:val="020B0404020203020204"/>
    <w:charset w:val="00"/>
    <w:family w:val="swiss"/>
    <w:pitch w:val="variable"/>
    <w:sig w:usb0="A0000003" w:usb1="00000002" w:usb2="00000000" w:usb3="00000000" w:csb0="000001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CFDE5" w14:textId="77777777" w:rsidR="00D7428E" w:rsidRDefault="00D7428E" w:rsidP="00D7428E">
      <w:pPr>
        <w:spacing w:after="0" w:line="240" w:lineRule="auto"/>
      </w:pPr>
      <w:r>
        <w:separator/>
      </w:r>
    </w:p>
  </w:footnote>
  <w:footnote w:type="continuationSeparator" w:id="0">
    <w:p w14:paraId="4A356648" w14:textId="77777777" w:rsidR="00D7428E" w:rsidRDefault="00D7428E" w:rsidP="00D7428E">
      <w:pPr>
        <w:spacing w:after="0" w:line="240" w:lineRule="auto"/>
      </w:pPr>
      <w:r>
        <w:continuationSeparator/>
      </w:r>
    </w:p>
  </w:footnote>
  <w:footnote w:id="1">
    <w:p w14:paraId="36D80EF8" w14:textId="620F413D" w:rsidR="00D7428E" w:rsidRDefault="00D7428E" w:rsidP="00D7428E">
      <w:pPr>
        <w:pStyle w:val="FootnoteText"/>
        <w:rPr>
          <w:rFonts w:ascii="RN House Sans Light" w:hAnsi="RN House Sans Light"/>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B5687A"/>
    <w:multiLevelType w:val="hybridMultilevel"/>
    <w:tmpl w:val="C764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7D1E90"/>
    <w:multiLevelType w:val="hybridMultilevel"/>
    <w:tmpl w:val="50FC5722"/>
    <w:lvl w:ilvl="0" w:tplc="62E8C5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2A3965"/>
    <w:multiLevelType w:val="hybridMultilevel"/>
    <w:tmpl w:val="89EE02D2"/>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2337834"/>
    <w:multiLevelType w:val="hybridMultilevel"/>
    <w:tmpl w:val="56268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A10A84"/>
    <w:multiLevelType w:val="hybridMultilevel"/>
    <w:tmpl w:val="2EA6D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7428E"/>
    <w:rsid w:val="0000160A"/>
    <w:rsid w:val="000558D9"/>
    <w:rsid w:val="00107010"/>
    <w:rsid w:val="001A0D96"/>
    <w:rsid w:val="00447798"/>
    <w:rsid w:val="005A32C9"/>
    <w:rsid w:val="00617E87"/>
    <w:rsid w:val="006902FE"/>
    <w:rsid w:val="007317A6"/>
    <w:rsid w:val="007D4955"/>
    <w:rsid w:val="007E52C1"/>
    <w:rsid w:val="0097662E"/>
    <w:rsid w:val="00987E9B"/>
    <w:rsid w:val="009E1E9A"/>
    <w:rsid w:val="00C96B15"/>
    <w:rsid w:val="00CF2A15"/>
    <w:rsid w:val="00D7428E"/>
    <w:rsid w:val="00DE152F"/>
    <w:rsid w:val="00E26CC6"/>
    <w:rsid w:val="00FA4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C7ED7"/>
  <w15:chartTrackingRefBased/>
  <w15:docId w15:val="{C73B7293-526F-41C3-ABF4-14648DC3B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428E"/>
    <w:rPr>
      <w:color w:val="0000FF"/>
      <w:u w:val="single"/>
    </w:rPr>
  </w:style>
  <w:style w:type="paragraph" w:styleId="ListParagraph">
    <w:name w:val="List Paragraph"/>
    <w:basedOn w:val="Normal"/>
    <w:uiPriority w:val="34"/>
    <w:qFormat/>
    <w:rsid w:val="00D7428E"/>
    <w:pPr>
      <w:spacing w:after="0" w:line="240" w:lineRule="auto"/>
      <w:ind w:left="720"/>
      <w:contextualSpacing/>
    </w:pPr>
    <w:rPr>
      <w:rFonts w:ascii="Calibri" w:eastAsia="Times New Roman" w:hAnsi="Calibri" w:cs="Times New Roman"/>
      <w:sz w:val="24"/>
      <w:szCs w:val="24"/>
    </w:rPr>
  </w:style>
  <w:style w:type="paragraph" w:styleId="FootnoteText">
    <w:name w:val="footnote text"/>
    <w:basedOn w:val="Normal"/>
    <w:link w:val="FootnoteTextChar"/>
    <w:uiPriority w:val="99"/>
    <w:rsid w:val="00D7428E"/>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D7428E"/>
    <w:rPr>
      <w:rFonts w:ascii="Times New Roman" w:eastAsia="Times New Roman" w:hAnsi="Times New Roman" w:cs="Times New Roman"/>
      <w:sz w:val="20"/>
      <w:szCs w:val="20"/>
      <w:lang w:eastAsia="en-GB"/>
    </w:rPr>
  </w:style>
  <w:style w:type="character" w:styleId="FootnoteReference">
    <w:name w:val="footnote reference"/>
    <w:uiPriority w:val="99"/>
    <w:rsid w:val="00D7428E"/>
    <w:rPr>
      <w:vertAlign w:val="superscript"/>
    </w:rPr>
  </w:style>
  <w:style w:type="character" w:customStyle="1" w:styleId="normaltextrun">
    <w:name w:val="normaltextrun"/>
    <w:basedOn w:val="DefaultParagraphFont"/>
    <w:rsid w:val="00D7428E"/>
  </w:style>
  <w:style w:type="paragraph" w:customStyle="1" w:styleId="as">
    <w:name w:val="as"/>
    <w:basedOn w:val="Normal"/>
    <w:rsid w:val="00D7428E"/>
    <w:pPr>
      <w:spacing w:before="100" w:beforeAutospacing="1" w:after="100" w:afterAutospacing="1" w:line="240" w:lineRule="auto"/>
    </w:pPr>
    <w:rPr>
      <w:rFonts w:ascii="Calibri" w:hAnsi="Calibri" w:cs="Calibri"/>
      <w:lang w:eastAsia="en-GB"/>
    </w:rPr>
  </w:style>
  <w:style w:type="paragraph" w:customStyle="1" w:styleId="xmsonormal">
    <w:name w:val="x_msonormal"/>
    <w:basedOn w:val="Normal"/>
    <w:rsid w:val="00D7428E"/>
    <w:pPr>
      <w:spacing w:after="0" w:line="240" w:lineRule="auto"/>
    </w:pPr>
    <w:rPr>
      <w:rFonts w:ascii="Calibri" w:eastAsia="Calibri" w:hAnsi="Calibri" w:cs="Calibri"/>
      <w:lang w:eastAsia="en-GB"/>
    </w:rPr>
  </w:style>
  <w:style w:type="character" w:styleId="FollowedHyperlink">
    <w:name w:val="FollowedHyperlink"/>
    <w:basedOn w:val="DefaultParagraphFont"/>
    <w:uiPriority w:val="99"/>
    <w:semiHidden/>
    <w:unhideWhenUsed/>
    <w:rsid w:val="005A32C9"/>
    <w:rPr>
      <w:color w:val="800080" w:themeColor="followedHyperlink"/>
      <w:u w:val="single"/>
    </w:rPr>
  </w:style>
  <w:style w:type="character" w:styleId="UnresolvedMention">
    <w:name w:val="Unresolved Mention"/>
    <w:basedOn w:val="DefaultParagraphFont"/>
    <w:uiPriority w:val="99"/>
    <w:semiHidden/>
    <w:unhideWhenUsed/>
    <w:rsid w:val="005A32C9"/>
    <w:rPr>
      <w:color w:val="605E5C"/>
      <w:shd w:val="clear" w:color="auto" w:fill="E1DFDD"/>
    </w:rPr>
  </w:style>
  <w:style w:type="paragraph" w:styleId="Header">
    <w:name w:val="header"/>
    <w:basedOn w:val="Normal"/>
    <w:link w:val="HeaderChar"/>
    <w:uiPriority w:val="99"/>
    <w:unhideWhenUsed/>
    <w:rsid w:val="00CF2A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A15"/>
  </w:style>
  <w:style w:type="paragraph" w:styleId="Footer">
    <w:name w:val="footer"/>
    <w:basedOn w:val="Normal"/>
    <w:link w:val="FooterChar"/>
    <w:uiPriority w:val="99"/>
    <w:unhideWhenUsed/>
    <w:rsid w:val="00CF2A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Fekete, Gyongyver (Treasury, ESG &amp; Disclosure Legal)</dc:creator>
  <cp:keywords/>
  <dc:description/>
  <cp:lastModifiedBy>Yvonne</cp:lastModifiedBy>
  <cp:revision>12</cp:revision>
  <dcterms:created xsi:type="dcterms:W3CDTF">2021-10-12T15:28:00Z</dcterms:created>
  <dcterms:modified xsi:type="dcterms:W3CDTF">2021-10-12T21:44:00Z</dcterms:modified>
</cp:coreProperties>
</file>