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AC2C6" w14:textId="77777777" w:rsidR="00A30F20" w:rsidRPr="00CB008F" w:rsidRDefault="00A30F20" w:rsidP="00A30F20">
      <w:pPr>
        <w:jc w:val="center"/>
        <w:outlineLvl w:val="0"/>
        <w:rPr>
          <w:rFonts w:ascii="RN House Sans Regular" w:hAnsi="RN House Sans Regular" w:cs="Arial"/>
          <w:b/>
          <w:color w:val="000000"/>
          <w:sz w:val="22"/>
          <w:szCs w:val="22"/>
        </w:rPr>
      </w:pPr>
      <w:r w:rsidRPr="00CB008F">
        <w:rPr>
          <w:rFonts w:ascii="RN House Sans Regular" w:hAnsi="RN House Sans Regular" w:cs="Arial"/>
          <w:b/>
          <w:color w:val="000000"/>
          <w:sz w:val="22"/>
          <w:szCs w:val="22"/>
        </w:rPr>
        <w:t>The Companies Act 2006</w:t>
      </w:r>
    </w:p>
    <w:p w14:paraId="48FED86E" w14:textId="77777777" w:rsidR="00A30F20" w:rsidRPr="00CB008F" w:rsidRDefault="00A30F20" w:rsidP="00A30F20">
      <w:pPr>
        <w:jc w:val="center"/>
        <w:outlineLvl w:val="0"/>
        <w:rPr>
          <w:rFonts w:ascii="RN House Sans Regular" w:hAnsi="RN House Sans Regular" w:cs="Arial"/>
          <w:b/>
          <w:color w:val="000000"/>
          <w:sz w:val="22"/>
          <w:szCs w:val="22"/>
        </w:rPr>
      </w:pPr>
    </w:p>
    <w:p w14:paraId="73C1DE22" w14:textId="77777777" w:rsidR="00A30F20" w:rsidRPr="00CB008F" w:rsidRDefault="00A30F20" w:rsidP="00A30F20">
      <w:pPr>
        <w:jc w:val="center"/>
        <w:rPr>
          <w:rFonts w:ascii="RN House Sans Regular" w:hAnsi="RN House Sans Regular" w:cs="Arial"/>
          <w:b/>
          <w:color w:val="000000"/>
          <w:sz w:val="22"/>
          <w:szCs w:val="22"/>
        </w:rPr>
      </w:pPr>
      <w:r w:rsidRPr="00CB008F">
        <w:rPr>
          <w:rFonts w:ascii="RN House Sans Regular" w:hAnsi="RN House Sans Regular" w:cs="Arial"/>
          <w:b/>
          <w:color w:val="000000"/>
          <w:sz w:val="22"/>
          <w:szCs w:val="22"/>
        </w:rPr>
        <w:t>Public Company Limited by Shares</w:t>
      </w:r>
    </w:p>
    <w:p w14:paraId="6F73A6F3" w14:textId="77777777" w:rsidR="00A30F20" w:rsidRPr="00CB008F" w:rsidRDefault="00A30F20" w:rsidP="00A30F20">
      <w:pPr>
        <w:jc w:val="center"/>
        <w:rPr>
          <w:rFonts w:ascii="RN House Sans Regular" w:hAnsi="RN House Sans Regular" w:cs="Arial"/>
          <w:b/>
          <w:color w:val="000000"/>
          <w:sz w:val="22"/>
          <w:szCs w:val="22"/>
        </w:rPr>
      </w:pPr>
      <w:r w:rsidRPr="00CB008F">
        <w:rPr>
          <w:rFonts w:ascii="RN House Sans Regular" w:hAnsi="RN House Sans Regular" w:cs="Arial"/>
          <w:b/>
          <w:color w:val="000000"/>
          <w:sz w:val="22"/>
          <w:szCs w:val="22"/>
        </w:rPr>
        <w:t>_____________________________</w:t>
      </w:r>
    </w:p>
    <w:p w14:paraId="42D8A7FF" w14:textId="77777777" w:rsidR="00A30F20" w:rsidRPr="00CB008F" w:rsidRDefault="00A30F20" w:rsidP="00A30F20">
      <w:pPr>
        <w:jc w:val="center"/>
        <w:rPr>
          <w:rFonts w:ascii="RN House Sans Regular" w:hAnsi="RN House Sans Regular" w:cs="Arial"/>
          <w:b/>
          <w:color w:val="000000"/>
          <w:sz w:val="22"/>
          <w:szCs w:val="22"/>
        </w:rPr>
      </w:pPr>
    </w:p>
    <w:p w14:paraId="18751460" w14:textId="1CC86AB2" w:rsidR="00A30F20" w:rsidRDefault="00A30F20" w:rsidP="00A30F20">
      <w:pPr>
        <w:jc w:val="center"/>
        <w:outlineLvl w:val="0"/>
        <w:rPr>
          <w:rFonts w:ascii="RN House Sans Regular" w:hAnsi="RN House Sans Regular" w:cs="Arial"/>
          <w:b/>
          <w:color w:val="000000"/>
          <w:sz w:val="22"/>
          <w:szCs w:val="22"/>
        </w:rPr>
      </w:pPr>
      <w:r w:rsidRPr="00CB008F">
        <w:rPr>
          <w:rFonts w:ascii="RN House Sans Regular" w:hAnsi="RN House Sans Regular" w:cs="Arial"/>
          <w:b/>
          <w:color w:val="000000"/>
          <w:sz w:val="22"/>
          <w:szCs w:val="22"/>
        </w:rPr>
        <w:t>Resolutions</w:t>
      </w:r>
    </w:p>
    <w:p w14:paraId="4FB1DEB1" w14:textId="77777777" w:rsidR="00F0202B" w:rsidRPr="00CB008F" w:rsidRDefault="00F0202B" w:rsidP="00A30F20">
      <w:pPr>
        <w:jc w:val="center"/>
        <w:outlineLvl w:val="0"/>
        <w:rPr>
          <w:rFonts w:ascii="RN House Sans Regular" w:hAnsi="RN House Sans Regular" w:cs="Arial"/>
          <w:b/>
          <w:color w:val="000000"/>
          <w:sz w:val="22"/>
          <w:szCs w:val="22"/>
        </w:rPr>
      </w:pPr>
    </w:p>
    <w:p w14:paraId="0B6FA325" w14:textId="482696FC" w:rsidR="00A30F20" w:rsidRDefault="00F0202B" w:rsidP="00C66B69">
      <w:pPr>
        <w:jc w:val="center"/>
        <w:outlineLvl w:val="0"/>
        <w:rPr>
          <w:rFonts w:ascii="RN House Sans Regular" w:hAnsi="RN House Sans Regular" w:cs="Arial"/>
          <w:b/>
          <w:color w:val="000000"/>
          <w:sz w:val="22"/>
          <w:szCs w:val="22"/>
        </w:rPr>
      </w:pPr>
      <w:r w:rsidRPr="00CB008F">
        <w:rPr>
          <w:rFonts w:ascii="RN House Sans Regular" w:hAnsi="RN House Sans Regular" w:cs="Arial"/>
          <w:b/>
          <w:color w:val="000000"/>
          <w:sz w:val="22"/>
          <w:szCs w:val="22"/>
        </w:rPr>
        <w:t>O</w:t>
      </w:r>
      <w:r w:rsidR="00A30F20" w:rsidRPr="00CB008F">
        <w:rPr>
          <w:rFonts w:ascii="RN House Sans Regular" w:hAnsi="RN House Sans Regular" w:cs="Arial"/>
          <w:b/>
          <w:color w:val="000000"/>
          <w:sz w:val="22"/>
          <w:szCs w:val="22"/>
        </w:rPr>
        <w:t>f</w:t>
      </w:r>
    </w:p>
    <w:p w14:paraId="58A8A82B" w14:textId="77777777" w:rsidR="00F0202B" w:rsidRPr="00CB008F" w:rsidRDefault="00F0202B" w:rsidP="00C66B69">
      <w:pPr>
        <w:jc w:val="center"/>
        <w:outlineLvl w:val="0"/>
        <w:rPr>
          <w:rFonts w:ascii="RN House Sans Regular" w:hAnsi="RN House Sans Regular" w:cs="Arial"/>
          <w:b/>
          <w:color w:val="000000"/>
          <w:sz w:val="22"/>
          <w:szCs w:val="22"/>
        </w:rPr>
      </w:pPr>
    </w:p>
    <w:p w14:paraId="54D26AD4" w14:textId="28F9E579" w:rsidR="00A30F20" w:rsidRPr="00CB008F" w:rsidRDefault="00203E1F" w:rsidP="00A30F20">
      <w:pPr>
        <w:jc w:val="center"/>
        <w:outlineLvl w:val="0"/>
        <w:rPr>
          <w:rFonts w:ascii="RN House Sans Regular" w:hAnsi="RN House Sans Regular" w:cs="Arial"/>
          <w:b/>
          <w:color w:val="000000"/>
          <w:sz w:val="22"/>
          <w:szCs w:val="22"/>
        </w:rPr>
      </w:pPr>
      <w:r w:rsidRPr="00CB008F">
        <w:rPr>
          <w:rFonts w:ascii="RN House Sans Regular" w:hAnsi="RN House Sans Regular" w:cs="Arial"/>
          <w:b/>
          <w:color w:val="000000"/>
          <w:sz w:val="22"/>
          <w:szCs w:val="22"/>
        </w:rPr>
        <w:t>NatWest</w:t>
      </w:r>
      <w:r w:rsidR="00A30F20" w:rsidRPr="00CB008F">
        <w:rPr>
          <w:rFonts w:ascii="RN House Sans Regular" w:hAnsi="RN House Sans Regular" w:cs="Arial"/>
          <w:b/>
          <w:color w:val="000000"/>
          <w:sz w:val="22"/>
          <w:szCs w:val="22"/>
        </w:rPr>
        <w:t xml:space="preserve"> Group plc (the “Company”)</w:t>
      </w:r>
    </w:p>
    <w:p w14:paraId="27591D2F" w14:textId="77777777" w:rsidR="00A30F20" w:rsidRPr="00CB008F" w:rsidRDefault="00A30F20" w:rsidP="00A30F20">
      <w:pPr>
        <w:jc w:val="both"/>
        <w:rPr>
          <w:rFonts w:ascii="RN House Sans Regular" w:hAnsi="RN House Sans Regular" w:cs="Arial"/>
          <w:sz w:val="22"/>
          <w:szCs w:val="22"/>
        </w:rPr>
      </w:pPr>
    </w:p>
    <w:p w14:paraId="36FBC32E" w14:textId="77777777" w:rsidR="00A30F20" w:rsidRPr="00CB008F" w:rsidRDefault="00A30F20" w:rsidP="00A30F20">
      <w:pPr>
        <w:jc w:val="both"/>
        <w:rPr>
          <w:rFonts w:ascii="RN House Sans Regular" w:hAnsi="RN House Sans Regular" w:cs="Arial"/>
          <w:sz w:val="22"/>
          <w:szCs w:val="22"/>
        </w:rPr>
      </w:pPr>
    </w:p>
    <w:p w14:paraId="737B9DF0" w14:textId="5F280FA4" w:rsidR="00A30F20" w:rsidRDefault="00A30F20" w:rsidP="00CB008F">
      <w:pPr>
        <w:rPr>
          <w:rFonts w:ascii="RN House Sans Regular" w:hAnsi="RN House Sans Regular" w:cs="Arial"/>
          <w:sz w:val="22"/>
          <w:szCs w:val="22"/>
        </w:rPr>
      </w:pPr>
      <w:r w:rsidRPr="00CB008F">
        <w:rPr>
          <w:rFonts w:ascii="RN House Sans Regular" w:hAnsi="RN House Sans Regular" w:cs="Arial"/>
          <w:sz w:val="22"/>
          <w:szCs w:val="22"/>
        </w:rPr>
        <w:t xml:space="preserve">The following resolutions (numbered as in the Notice of Meeting) were passed at the General Meeting of </w:t>
      </w:r>
      <w:r w:rsidR="00203E1F" w:rsidRPr="00CB008F">
        <w:rPr>
          <w:rFonts w:ascii="RN House Sans Regular" w:hAnsi="RN House Sans Regular" w:cs="Arial"/>
          <w:sz w:val="22"/>
          <w:szCs w:val="22"/>
        </w:rPr>
        <w:t>NatWest Group</w:t>
      </w:r>
      <w:r w:rsidRPr="00CB008F">
        <w:rPr>
          <w:rFonts w:ascii="RN House Sans Regular" w:hAnsi="RN House Sans Regular" w:cs="Arial"/>
          <w:sz w:val="22"/>
          <w:szCs w:val="22"/>
        </w:rPr>
        <w:t xml:space="preserve"> plc held on </w:t>
      </w:r>
      <w:r w:rsidR="00067E02">
        <w:rPr>
          <w:rFonts w:ascii="RN House Sans Regular" w:hAnsi="RN House Sans Regular" w:cs="Arial"/>
          <w:sz w:val="22"/>
          <w:szCs w:val="22"/>
        </w:rPr>
        <w:t xml:space="preserve">25 August </w:t>
      </w:r>
      <w:r w:rsidRPr="00CB008F">
        <w:rPr>
          <w:rFonts w:ascii="RN House Sans Regular" w:hAnsi="RN House Sans Regular" w:cs="Arial"/>
          <w:sz w:val="22"/>
          <w:szCs w:val="22"/>
        </w:rPr>
        <w:t>202</w:t>
      </w:r>
      <w:r w:rsidR="007F7F2E">
        <w:rPr>
          <w:rFonts w:ascii="RN House Sans Regular" w:hAnsi="RN House Sans Regular" w:cs="Arial"/>
          <w:sz w:val="22"/>
          <w:szCs w:val="22"/>
        </w:rPr>
        <w:t>2</w:t>
      </w:r>
      <w:r w:rsidR="00CB008F">
        <w:rPr>
          <w:rFonts w:ascii="RN House Sans Regular" w:hAnsi="RN House Sans Regular" w:cs="Arial"/>
          <w:sz w:val="22"/>
          <w:szCs w:val="22"/>
        </w:rPr>
        <w:t xml:space="preserve"> </w:t>
      </w:r>
      <w:r w:rsidR="005D7744" w:rsidRPr="00CB008F">
        <w:rPr>
          <w:rFonts w:ascii="RN House Sans Regular" w:hAnsi="RN House Sans Regular" w:cs="Arial"/>
          <w:sz w:val="22"/>
          <w:szCs w:val="22"/>
        </w:rPr>
        <w:t>at 2.00 p.m. at</w:t>
      </w:r>
      <w:r w:rsidRPr="00CB008F">
        <w:rPr>
          <w:rFonts w:ascii="RN House Sans Regular" w:hAnsi="RN House Sans Regular" w:cs="Arial"/>
          <w:sz w:val="22"/>
          <w:szCs w:val="22"/>
        </w:rPr>
        <w:t xml:space="preserve"> Gogarburn, Edinburgh, EH12 1HQ.</w:t>
      </w:r>
    </w:p>
    <w:p w14:paraId="5E9E0981" w14:textId="6FDF8BE7" w:rsidR="00067E02" w:rsidRDefault="00067E02" w:rsidP="00CB008F">
      <w:pPr>
        <w:rPr>
          <w:rFonts w:ascii="RN House Sans Regular" w:hAnsi="RN House Sans Regular" w:cs="Arial"/>
          <w:sz w:val="22"/>
          <w:szCs w:val="22"/>
        </w:rPr>
      </w:pPr>
    </w:p>
    <w:p w14:paraId="6E03E835" w14:textId="5F2BE951" w:rsidR="001140FB" w:rsidRPr="001140FB" w:rsidRDefault="001140FB" w:rsidP="001140FB">
      <w:pPr>
        <w:autoSpaceDE w:val="0"/>
        <w:autoSpaceDN w:val="0"/>
        <w:adjustRightInd w:val="0"/>
        <w:rPr>
          <w:rFonts w:ascii="RN House Sans Regular" w:eastAsiaTheme="minorHAnsi" w:hAnsi="RN House Sans Regular" w:cs="Arial-BoldMT"/>
          <w:b/>
          <w:bCs/>
          <w:sz w:val="22"/>
          <w:szCs w:val="22"/>
          <w:lang w:eastAsia="en-US"/>
        </w:rPr>
      </w:pPr>
      <w:r w:rsidRPr="001140FB">
        <w:rPr>
          <w:rFonts w:ascii="RN House Sans Regular" w:eastAsiaTheme="minorHAnsi" w:hAnsi="RN House Sans Regular" w:cs="Arial-BoldMT"/>
          <w:b/>
          <w:bCs/>
          <w:sz w:val="22"/>
          <w:szCs w:val="22"/>
          <w:lang w:eastAsia="en-US"/>
        </w:rPr>
        <w:t>Resolution 1</w:t>
      </w:r>
      <w:r w:rsidR="007374F4">
        <w:rPr>
          <w:rFonts w:ascii="RN House Sans Regular" w:eastAsiaTheme="minorHAnsi" w:hAnsi="RN House Sans Regular" w:cs="Arial-BoldMT"/>
          <w:b/>
          <w:bCs/>
          <w:sz w:val="22"/>
          <w:szCs w:val="22"/>
          <w:lang w:eastAsia="en-US"/>
        </w:rPr>
        <w:br/>
      </w:r>
    </w:p>
    <w:p w14:paraId="26F031AA" w14:textId="21A0812F"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BoldMT"/>
          <w:b/>
          <w:bCs/>
          <w:sz w:val="22"/>
          <w:szCs w:val="22"/>
          <w:lang w:eastAsia="en-US"/>
        </w:rPr>
        <w:t>That</w:t>
      </w:r>
      <w:r w:rsidRPr="001140FB">
        <w:rPr>
          <w:rFonts w:ascii="RN House Sans Regular" w:eastAsiaTheme="minorHAnsi" w:hAnsi="RN House Sans Regular" w:cs="ArialMT"/>
          <w:sz w:val="22"/>
          <w:szCs w:val="22"/>
          <w:lang w:eastAsia="en-US"/>
        </w:rPr>
        <w:t>, subject to and conditional upon:</w:t>
      </w:r>
      <w:r w:rsidR="007374F4">
        <w:rPr>
          <w:rFonts w:ascii="RN House Sans Regular" w:eastAsiaTheme="minorHAnsi" w:hAnsi="RN House Sans Regular" w:cs="ArialMT"/>
          <w:sz w:val="22"/>
          <w:szCs w:val="22"/>
          <w:lang w:eastAsia="en-US"/>
        </w:rPr>
        <w:br/>
      </w:r>
    </w:p>
    <w:p w14:paraId="67AE1CB3" w14:textId="132A04E8"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 xml:space="preserve">(i) the passing of resolution 2 and the </w:t>
      </w:r>
      <w:r w:rsidRPr="001140FB">
        <w:rPr>
          <w:rFonts w:ascii="RN House Sans Regular" w:eastAsiaTheme="minorHAnsi" w:hAnsi="RN House Sans Regular" w:cs="Arial-BoldMT"/>
          <w:b/>
          <w:bCs/>
          <w:sz w:val="22"/>
          <w:szCs w:val="22"/>
          <w:lang w:eastAsia="en-US"/>
        </w:rPr>
        <w:t>Class Meeting Resolution</w:t>
      </w:r>
      <w:r w:rsidRPr="001140FB">
        <w:rPr>
          <w:rFonts w:ascii="RN House Sans Regular" w:eastAsiaTheme="minorHAnsi" w:hAnsi="RN House Sans Regular" w:cs="ArialMT"/>
          <w:sz w:val="22"/>
          <w:szCs w:val="22"/>
          <w:lang w:eastAsia="en-US"/>
        </w:rPr>
        <w:t>; and</w:t>
      </w:r>
      <w:r w:rsidR="003943F8">
        <w:rPr>
          <w:rFonts w:ascii="RN House Sans Regular" w:eastAsiaTheme="minorHAnsi" w:hAnsi="RN House Sans Regular" w:cs="ArialMT"/>
          <w:sz w:val="22"/>
          <w:szCs w:val="22"/>
          <w:lang w:eastAsia="en-US"/>
        </w:rPr>
        <w:br/>
      </w:r>
    </w:p>
    <w:p w14:paraId="2B236785" w14:textId="7BAFC87B" w:rsidR="00067E02"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(ii) admission of the New Ordinary Shares (as defined in resolution 2) to the premium listing segment</w:t>
      </w:r>
      <w:r>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of the Official List and to trading on the London Stock Exchange’s main market for listed</w:t>
      </w:r>
      <w:r>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securities becoming effective at 8.00 a.m. on 30 August 2022 (or such later time and/or date as</w:t>
      </w:r>
      <w:r>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the Directors may in their absolute discretion determine) (“</w:t>
      </w:r>
      <w:r w:rsidRPr="001140FB">
        <w:rPr>
          <w:rFonts w:ascii="RN House Sans Regular" w:eastAsiaTheme="minorHAnsi" w:hAnsi="RN House Sans Regular" w:cs="Arial-BoldMT"/>
          <w:b/>
          <w:bCs/>
          <w:sz w:val="22"/>
          <w:szCs w:val="22"/>
          <w:lang w:eastAsia="en-US"/>
        </w:rPr>
        <w:t>Admission</w:t>
      </w:r>
      <w:r w:rsidRPr="001140FB">
        <w:rPr>
          <w:rFonts w:ascii="RN House Sans Regular" w:eastAsiaTheme="minorHAnsi" w:hAnsi="RN House Sans Regular" w:cs="ArialMT"/>
          <w:sz w:val="22"/>
          <w:szCs w:val="22"/>
          <w:lang w:eastAsia="en-US"/>
        </w:rPr>
        <w:t>”),</w:t>
      </w:r>
      <w:r w:rsidR="007374F4">
        <w:rPr>
          <w:rFonts w:ascii="RN House Sans Regular" w:eastAsiaTheme="minorHAnsi" w:hAnsi="RN House Sans Regular" w:cs="ArialMT"/>
          <w:sz w:val="22"/>
          <w:szCs w:val="22"/>
          <w:lang w:eastAsia="en-US"/>
        </w:rPr>
        <w:br/>
      </w:r>
      <w:r w:rsidR="007374F4">
        <w:rPr>
          <w:rFonts w:ascii="RN House Sans Regular" w:eastAsiaTheme="minorHAnsi" w:hAnsi="RN House Sans Regular" w:cs="ArialMT"/>
          <w:sz w:val="22"/>
          <w:szCs w:val="22"/>
          <w:lang w:eastAsia="en-US"/>
        </w:rPr>
        <w:br/>
      </w:r>
      <w:r w:rsidRPr="001140FB">
        <w:rPr>
          <w:rFonts w:ascii="RN House Sans Regular" w:eastAsiaTheme="minorHAnsi" w:hAnsi="RN House Sans Regular" w:cs="ArialMT"/>
          <w:sz w:val="22"/>
          <w:szCs w:val="22"/>
          <w:lang w:eastAsia="en-US"/>
        </w:rPr>
        <w:t>a dividend of £0.168 per Existing Ordinary Share (as defined in resolution 2) be, and is declared to be, paid to each Ordinary Shareholder on the register of members of the Company (the “</w:t>
      </w:r>
      <w:r w:rsidRPr="001140FB">
        <w:rPr>
          <w:rFonts w:ascii="RN House Sans Regular" w:eastAsiaTheme="minorHAnsi" w:hAnsi="RN House Sans Regular" w:cs="Arial-BoldMT"/>
          <w:b/>
          <w:bCs/>
          <w:sz w:val="22"/>
          <w:szCs w:val="22"/>
          <w:lang w:eastAsia="en-US"/>
        </w:rPr>
        <w:t>Register</w:t>
      </w:r>
      <w:r w:rsidRPr="001140FB">
        <w:rPr>
          <w:rFonts w:ascii="RN House Sans Regular" w:eastAsiaTheme="minorHAnsi" w:hAnsi="RN House Sans Regular" w:cs="ArialMT"/>
          <w:sz w:val="22"/>
          <w:szCs w:val="22"/>
          <w:lang w:eastAsia="en-US"/>
        </w:rPr>
        <w:t>”) as at 6.00 p.m. on 26 August 2022.</w:t>
      </w:r>
    </w:p>
    <w:p w14:paraId="21AB176A" w14:textId="3BADF362" w:rsidR="00B87566" w:rsidRDefault="00B87566" w:rsidP="001140FB">
      <w:pPr>
        <w:autoSpaceDE w:val="0"/>
        <w:autoSpaceDN w:val="0"/>
        <w:adjustRightInd w:val="0"/>
        <w:rPr>
          <w:rFonts w:ascii="RN House Sans Regular" w:eastAsiaTheme="minorHAnsi" w:hAnsi="RN House Sans Regular" w:cs="ArialMT"/>
          <w:sz w:val="22"/>
          <w:szCs w:val="22"/>
          <w:lang w:eastAsia="en-US"/>
        </w:rPr>
      </w:pPr>
    </w:p>
    <w:p w14:paraId="1B5EC115" w14:textId="41E9C3C6" w:rsidR="00B87566" w:rsidRPr="00035E83" w:rsidRDefault="00B87566" w:rsidP="00035E83">
      <w:pPr>
        <w:rPr>
          <w:rFonts w:ascii="RN House Sans Regular" w:hAnsi="RN House Sans Regular"/>
          <w:b/>
          <w:bCs/>
          <w:sz w:val="22"/>
          <w:szCs w:val="22"/>
          <w:lang w:eastAsia="en-US"/>
        </w:rPr>
      </w:pPr>
      <w:r w:rsidRPr="00035E83">
        <w:rPr>
          <w:rFonts w:ascii="RN House Sans Regular" w:hAnsi="RN House Sans Regular"/>
          <w:b/>
          <w:bCs/>
          <w:sz w:val="22"/>
          <w:szCs w:val="22"/>
          <w:lang w:eastAsia="en-US"/>
        </w:rPr>
        <w:t xml:space="preserve">Resolution </w:t>
      </w:r>
      <w:r w:rsidR="00EC289B">
        <w:rPr>
          <w:rFonts w:ascii="RN House Sans Regular" w:hAnsi="RN House Sans Regular"/>
          <w:b/>
          <w:bCs/>
          <w:sz w:val="22"/>
          <w:szCs w:val="22"/>
          <w:lang w:eastAsia="en-US"/>
        </w:rPr>
        <w:t>2a</w:t>
      </w:r>
      <w:r w:rsidR="00EC289B">
        <w:rPr>
          <w:rFonts w:ascii="RN House Sans Regular" w:hAnsi="RN House Sans Regular"/>
          <w:b/>
          <w:bCs/>
          <w:sz w:val="22"/>
          <w:szCs w:val="22"/>
          <w:lang w:eastAsia="en-US"/>
        </w:rPr>
        <w:br/>
      </w:r>
    </w:p>
    <w:p w14:paraId="7D7745A3" w14:textId="2A4DF40E" w:rsidR="00B87566" w:rsidRPr="00035E83" w:rsidRDefault="00035E83" w:rsidP="00035E83">
      <w:pPr>
        <w:rPr>
          <w:rFonts w:ascii="RN House Sans Regular" w:hAnsi="RN House Sans Regular" w:cs="Arial"/>
          <w:sz w:val="22"/>
          <w:szCs w:val="22"/>
        </w:rPr>
      </w:pPr>
      <w:r w:rsidRPr="00035E83">
        <w:rPr>
          <w:rFonts w:ascii="RN House Sans Regular" w:hAnsi="RN House Sans Regular"/>
          <w:sz w:val="22"/>
          <w:szCs w:val="22"/>
        </w:rPr>
        <w:t xml:space="preserve">An amending resolution was passed at the General Meeting </w:t>
      </w:r>
      <w:r w:rsidR="007666F9">
        <w:rPr>
          <w:rFonts w:ascii="RN House Sans Regular" w:hAnsi="RN House Sans Regular"/>
          <w:sz w:val="22"/>
          <w:szCs w:val="22"/>
        </w:rPr>
        <w:t xml:space="preserve">as an ordinary resolution </w:t>
      </w:r>
      <w:r w:rsidRPr="00035E83">
        <w:rPr>
          <w:rFonts w:ascii="RN House Sans Regular" w:hAnsi="RN House Sans Regular"/>
          <w:sz w:val="22"/>
          <w:szCs w:val="22"/>
        </w:rPr>
        <w:t xml:space="preserve">to replace the incorrect reference to “all 10,406,139,601 existing ordinary shares of £1 each in the capital of the Company” in the second line of Resolution 2 in the Notice of General Meeting with “every 14 existing ordinary shares of £1 each in the capital of the Company”. This amendment was necessary to clarify that it is every 14 existing ordinary shares </w:t>
      </w:r>
      <w:r w:rsidR="008757E9">
        <w:rPr>
          <w:rFonts w:ascii="RN House Sans Regular" w:hAnsi="RN House Sans Regular"/>
          <w:sz w:val="22"/>
          <w:szCs w:val="22"/>
        </w:rPr>
        <w:t xml:space="preserve">(including treasury shares) </w:t>
      </w:r>
      <w:r w:rsidRPr="00035E83">
        <w:rPr>
          <w:rFonts w:ascii="RN House Sans Regular" w:hAnsi="RN House Sans Regular"/>
          <w:sz w:val="22"/>
          <w:szCs w:val="22"/>
        </w:rPr>
        <w:t>that are being consolidated into one intermediate ordinary share in the capital of the Company before being divided into 13 new ordinary shares in order to effect the 13 for 14 share consolidation</w:t>
      </w:r>
      <w:r w:rsidR="003E6C35" w:rsidRPr="00035E83">
        <w:rPr>
          <w:rFonts w:ascii="RN House Sans Regular" w:eastAsiaTheme="minorEastAsia" w:hAnsi="RN House Sans Regular" w:cstheme="minorBidi"/>
          <w:kern w:val="24"/>
          <w:sz w:val="22"/>
          <w:szCs w:val="22"/>
        </w:rPr>
        <w:t>.</w:t>
      </w:r>
      <w:r w:rsidR="00B87566" w:rsidRPr="00035E83">
        <w:rPr>
          <w:rFonts w:ascii="RN House Sans Regular" w:hAnsi="RN House Sans Regular"/>
          <w:sz w:val="22"/>
          <w:szCs w:val="22"/>
          <w:lang w:eastAsia="en-US"/>
        </w:rPr>
        <w:t xml:space="preserve">                 </w:t>
      </w:r>
    </w:p>
    <w:p w14:paraId="52A689E8" w14:textId="56B413DD" w:rsidR="001140FB" w:rsidRPr="001140FB" w:rsidRDefault="00035E83" w:rsidP="001140FB">
      <w:pPr>
        <w:autoSpaceDE w:val="0"/>
        <w:autoSpaceDN w:val="0"/>
        <w:adjustRightInd w:val="0"/>
        <w:rPr>
          <w:rFonts w:ascii="RN House Sans Regular" w:eastAsiaTheme="minorHAnsi" w:hAnsi="RN House Sans Regular" w:cs="Arial-BoldMT"/>
          <w:b/>
          <w:bCs/>
          <w:sz w:val="22"/>
          <w:szCs w:val="22"/>
          <w:lang w:eastAsia="en-US"/>
        </w:rPr>
      </w:pPr>
      <w:r>
        <w:rPr>
          <w:rFonts w:ascii="RN House Sans Regular" w:eastAsiaTheme="minorHAnsi" w:hAnsi="RN House Sans Regular" w:cs="Arial-BoldMT"/>
          <w:b/>
          <w:bCs/>
          <w:sz w:val="22"/>
          <w:szCs w:val="22"/>
          <w:lang w:eastAsia="en-US"/>
        </w:rPr>
        <w:br/>
      </w:r>
      <w:r w:rsidR="001140FB" w:rsidRPr="001140FB">
        <w:rPr>
          <w:rFonts w:ascii="RN House Sans Regular" w:eastAsiaTheme="minorHAnsi" w:hAnsi="RN House Sans Regular" w:cs="Arial-BoldMT"/>
          <w:b/>
          <w:bCs/>
          <w:sz w:val="22"/>
          <w:szCs w:val="22"/>
          <w:lang w:eastAsia="en-US"/>
        </w:rPr>
        <w:t>Resolution 2</w:t>
      </w:r>
      <w:r w:rsidR="007374F4">
        <w:rPr>
          <w:rFonts w:ascii="RN House Sans Regular" w:eastAsiaTheme="minorHAnsi" w:hAnsi="RN House Sans Regular" w:cs="Arial-BoldMT"/>
          <w:b/>
          <w:bCs/>
          <w:sz w:val="22"/>
          <w:szCs w:val="22"/>
          <w:lang w:eastAsia="en-US"/>
        </w:rPr>
        <w:br/>
      </w:r>
    </w:p>
    <w:p w14:paraId="297F536F" w14:textId="30F2B096"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BoldMT"/>
          <w:b/>
          <w:bCs/>
          <w:sz w:val="22"/>
          <w:szCs w:val="22"/>
          <w:lang w:eastAsia="en-US"/>
        </w:rPr>
        <w:t>That</w:t>
      </w:r>
      <w:r w:rsidRPr="001140FB">
        <w:rPr>
          <w:rFonts w:ascii="RN House Sans Regular" w:eastAsiaTheme="minorHAnsi" w:hAnsi="RN House Sans Regular" w:cs="ArialMT"/>
          <w:sz w:val="22"/>
          <w:szCs w:val="22"/>
          <w:lang w:eastAsia="en-US"/>
        </w:rPr>
        <w:t>, subject to and conditional upon the passing of resolutions 1 and 8 and the Class Meeting</w:t>
      </w:r>
      <w:r>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Resolution and Admission, all 10,406,139,601 existing ordinary shares of £1.00 each in the capital of</w:t>
      </w:r>
      <w:r>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the Company (the “</w:t>
      </w:r>
      <w:r w:rsidRPr="001140FB">
        <w:rPr>
          <w:rFonts w:ascii="RN House Sans Regular" w:eastAsiaTheme="minorHAnsi" w:hAnsi="RN House Sans Regular" w:cs="Arial-BoldMT"/>
          <w:b/>
          <w:bCs/>
          <w:sz w:val="22"/>
          <w:szCs w:val="22"/>
          <w:lang w:eastAsia="en-US"/>
        </w:rPr>
        <w:t>Existing Ordinary Shares</w:t>
      </w:r>
      <w:r w:rsidRPr="001140FB">
        <w:rPr>
          <w:rFonts w:ascii="RN House Sans Regular" w:eastAsiaTheme="minorHAnsi" w:hAnsi="RN House Sans Regular" w:cs="ArialMT"/>
          <w:sz w:val="22"/>
          <w:szCs w:val="22"/>
          <w:lang w:eastAsia="en-US"/>
        </w:rPr>
        <w:t>” and each an “</w:t>
      </w:r>
      <w:r w:rsidRPr="001140FB">
        <w:rPr>
          <w:rFonts w:ascii="RN House Sans Regular" w:eastAsiaTheme="minorHAnsi" w:hAnsi="RN House Sans Regular" w:cs="Arial-BoldMT"/>
          <w:b/>
          <w:bCs/>
          <w:sz w:val="22"/>
          <w:szCs w:val="22"/>
          <w:lang w:eastAsia="en-US"/>
        </w:rPr>
        <w:t>Existing Ordinary Share</w:t>
      </w:r>
      <w:r w:rsidRPr="001140FB">
        <w:rPr>
          <w:rFonts w:ascii="RN House Sans Regular" w:eastAsiaTheme="minorHAnsi" w:hAnsi="RN House Sans Regular" w:cs="ArialMT"/>
          <w:sz w:val="22"/>
          <w:szCs w:val="22"/>
          <w:lang w:eastAsia="en-US"/>
        </w:rPr>
        <w:t>”) in issue and</w:t>
      </w:r>
      <w:r>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as shown in the Register as at 6.00 p.m. on 26 August 2022 (or such other time and/or date as the</w:t>
      </w:r>
      <w:r>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 xml:space="preserve">Directors may in their absolute </w:t>
      </w:r>
      <w:r w:rsidRPr="001140FB">
        <w:rPr>
          <w:rFonts w:ascii="RN House Sans Regular" w:eastAsiaTheme="minorHAnsi" w:hAnsi="RN House Sans Regular" w:cs="ArialMT"/>
          <w:sz w:val="22"/>
          <w:szCs w:val="22"/>
          <w:lang w:eastAsia="en-US"/>
        </w:rPr>
        <w:lastRenderedPageBreak/>
        <w:t>discretion determine) be and are consolidated into one ordinary share</w:t>
      </w:r>
      <w:r>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of £14.00 each in the capital of the Company (an “</w:t>
      </w:r>
      <w:r w:rsidRPr="001140FB">
        <w:rPr>
          <w:rFonts w:ascii="RN House Sans Regular" w:eastAsiaTheme="minorHAnsi" w:hAnsi="RN House Sans Regular" w:cs="Arial-BoldMT"/>
          <w:b/>
          <w:bCs/>
          <w:sz w:val="22"/>
          <w:szCs w:val="22"/>
          <w:lang w:eastAsia="en-US"/>
        </w:rPr>
        <w:t>Intermediate Ordinary Share</w:t>
      </w:r>
      <w:r w:rsidRPr="001140FB">
        <w:rPr>
          <w:rFonts w:ascii="RN House Sans Regular" w:eastAsiaTheme="minorHAnsi" w:hAnsi="RN House Sans Regular" w:cs="ArialMT"/>
          <w:sz w:val="22"/>
          <w:szCs w:val="22"/>
          <w:lang w:eastAsia="en-US"/>
        </w:rPr>
        <w:t>”), and, immediately</w:t>
      </w:r>
    </w:p>
    <w:p w14:paraId="68982D45" w14:textId="795B83EC"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following such consolidation, every one Intermediate Ordinary Share be divided into 13 new ordinary</w:t>
      </w:r>
      <w:r>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shares of £1.076923076923077 each in the capital of the Company (the “</w:t>
      </w:r>
      <w:r w:rsidRPr="001140FB">
        <w:rPr>
          <w:rFonts w:ascii="RN House Sans Regular" w:eastAsiaTheme="minorHAnsi" w:hAnsi="RN House Sans Regular" w:cs="Arial-BoldMT"/>
          <w:b/>
          <w:bCs/>
          <w:sz w:val="22"/>
          <w:szCs w:val="22"/>
          <w:lang w:eastAsia="en-US"/>
        </w:rPr>
        <w:t>New Ordinary Shares</w:t>
      </w:r>
      <w:r w:rsidRPr="001140FB">
        <w:rPr>
          <w:rFonts w:ascii="RN House Sans Regular" w:eastAsiaTheme="minorHAnsi" w:hAnsi="RN House Sans Regular" w:cs="ArialMT"/>
          <w:sz w:val="22"/>
          <w:szCs w:val="22"/>
          <w:lang w:eastAsia="en-US"/>
        </w:rPr>
        <w:t>”),</w:t>
      </w:r>
      <w:r>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provided that:</w:t>
      </w:r>
      <w:r>
        <w:rPr>
          <w:rFonts w:ascii="RN House Sans Regular" w:eastAsiaTheme="minorHAnsi" w:hAnsi="RN House Sans Regular" w:cs="ArialMT"/>
          <w:sz w:val="22"/>
          <w:szCs w:val="22"/>
          <w:lang w:eastAsia="en-US"/>
        </w:rPr>
        <w:br/>
      </w:r>
    </w:p>
    <w:p w14:paraId="12447331" w14:textId="2576EE06"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(i) the Intermediate Ordinary Shares and the New Ordinary Shares shall have the same rights and</w:t>
      </w:r>
      <w:r>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be subject to the same restrictions (save as to nominal value) as the Existing Ordinary Shares as</w:t>
      </w:r>
      <w:r>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set out in the Company’s articles of association (as amended pursuant to resolution 8); and</w:t>
      </w:r>
      <w:r w:rsidR="007374F4">
        <w:rPr>
          <w:rFonts w:ascii="RN House Sans Regular" w:eastAsiaTheme="minorHAnsi" w:hAnsi="RN House Sans Regular" w:cs="ArialMT"/>
          <w:sz w:val="22"/>
          <w:szCs w:val="22"/>
          <w:lang w:eastAsia="en-US"/>
        </w:rPr>
        <w:br/>
      </w:r>
    </w:p>
    <w:p w14:paraId="4FACF928" w14:textId="4E212C0B"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(ii) no Ordinary Shareholder shall be entitled to a fraction of a New Ordinary Share arising out of</w:t>
      </w:r>
      <w:r>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such consolidation and division, and the aggregate number of New Ordinary Shares to which an</w:t>
      </w:r>
      <w:r>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Ordinary Shareholder shall be entitled shall be rounded down to the nearest whole number of</w:t>
      </w:r>
      <w:r>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New Ordinary Shares. Any fraction of a New Ordinary Share to which an Ordinary Shareholder</w:t>
      </w:r>
      <w:r>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would otherwise have been entitled shall, so far as practicable, be aggregated into the maximum</w:t>
      </w:r>
      <w:r>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whole number of New Ordinary Shares resulting therefrom and the Directors be and are</w:t>
      </w:r>
      <w:r>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authorised and entitled to sell (or appoint any other person to sell) in the market such whole</w:t>
      </w:r>
      <w:r>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number of New Ordinary Shares so arising. For the purposes of implementing such sale:</w:t>
      </w:r>
      <w:r w:rsidR="00207839">
        <w:rPr>
          <w:rFonts w:ascii="RN House Sans Regular" w:eastAsiaTheme="minorHAnsi" w:hAnsi="RN House Sans Regular" w:cs="ArialMT"/>
          <w:sz w:val="22"/>
          <w:szCs w:val="22"/>
          <w:lang w:eastAsia="en-US"/>
        </w:rPr>
        <w:br/>
      </w:r>
    </w:p>
    <w:p w14:paraId="4FFDD06D" w14:textId="5E961220"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(a) any Director may appoint and authorise any person to execute and deliver an instrument (or</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instruments) or instruction (or instructions) of transfer and to do any and all acts and things</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and make any and all arrangements as such Director considers necessary, expedient or</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appropriate to effect the transfer, settlement and/or disposal of such fractional entitlements;</w:t>
      </w:r>
      <w:r w:rsidR="007374F4">
        <w:rPr>
          <w:rFonts w:ascii="RN House Sans Regular" w:eastAsiaTheme="minorHAnsi" w:hAnsi="RN House Sans Regular" w:cs="ArialMT"/>
          <w:sz w:val="22"/>
          <w:szCs w:val="22"/>
          <w:lang w:eastAsia="en-US"/>
        </w:rPr>
        <w:br/>
      </w:r>
    </w:p>
    <w:p w14:paraId="1EF70C60" w14:textId="0A6AA806"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(b) in respect of Ordinary Shareholders (excluding, for the avoidance of doubt, ADR Holders),</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the net proceeds of such sale (after the deduction of any expenses and/or commissions</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associated with such sale, including any VAT payable on the proceeds of sale) shall be paid</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in due proportion (rounded down to the nearest penny) to the relevant Ordinary Shareholders</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entitled to such fractions, save that where the proceeds that would otherwise be distributed</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from such sale (after the deduction of any expenses and/or commissions associated with</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such sale, including any VAT payable on the proceeds of such sale) are £5.00 or less in</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respect of any one Ordinary Shareholder’s holding, such proceeds shall be donated to</w:t>
      </w:r>
      <w:r w:rsidR="00207839">
        <w:rPr>
          <w:rFonts w:ascii="RN House Sans Regular" w:eastAsiaTheme="minorHAnsi" w:hAnsi="RN House Sans Regular" w:cs="ArialMT"/>
          <w:sz w:val="22"/>
          <w:szCs w:val="22"/>
          <w:lang w:eastAsia="en-US"/>
        </w:rPr>
        <w:t xml:space="preserve"> </w:t>
      </w:r>
      <w:proofErr w:type="spellStart"/>
      <w:r w:rsidRPr="001140FB">
        <w:rPr>
          <w:rFonts w:ascii="RN House Sans Regular" w:eastAsiaTheme="minorHAnsi" w:hAnsi="RN House Sans Regular" w:cs="ArialMT"/>
          <w:sz w:val="22"/>
          <w:szCs w:val="22"/>
          <w:lang w:eastAsia="en-US"/>
        </w:rPr>
        <w:t>ShareGift</w:t>
      </w:r>
      <w:proofErr w:type="spellEnd"/>
      <w:r w:rsidRPr="001140FB">
        <w:rPr>
          <w:rFonts w:ascii="RN House Sans Regular" w:eastAsiaTheme="minorHAnsi" w:hAnsi="RN House Sans Regular" w:cs="ArialMT"/>
          <w:sz w:val="22"/>
          <w:szCs w:val="22"/>
          <w:lang w:eastAsia="en-US"/>
        </w:rPr>
        <w:t xml:space="preserve">. Information on </w:t>
      </w:r>
      <w:proofErr w:type="spellStart"/>
      <w:r w:rsidRPr="001140FB">
        <w:rPr>
          <w:rFonts w:ascii="RN House Sans Regular" w:eastAsiaTheme="minorHAnsi" w:hAnsi="RN House Sans Regular" w:cs="ArialMT"/>
          <w:sz w:val="22"/>
          <w:szCs w:val="22"/>
          <w:lang w:eastAsia="en-US"/>
        </w:rPr>
        <w:t>ShareGift</w:t>
      </w:r>
      <w:proofErr w:type="spellEnd"/>
      <w:r w:rsidRPr="001140FB">
        <w:rPr>
          <w:rFonts w:ascii="RN House Sans Regular" w:eastAsiaTheme="minorHAnsi" w:hAnsi="RN House Sans Regular" w:cs="ArialMT"/>
          <w:sz w:val="22"/>
          <w:szCs w:val="22"/>
          <w:lang w:eastAsia="en-US"/>
        </w:rPr>
        <w:t xml:space="preserve"> can be found on its website </w:t>
      </w:r>
      <w:hyperlink r:id="rId8" w:history="1">
        <w:r w:rsidR="00207839" w:rsidRPr="00A84EE6">
          <w:rPr>
            <w:rStyle w:val="Hyperlink"/>
            <w:rFonts w:ascii="RN House Sans Regular" w:eastAsiaTheme="minorHAnsi" w:hAnsi="RN House Sans Regular" w:cs="ArialMT"/>
            <w:sz w:val="22"/>
            <w:szCs w:val="22"/>
            <w:lang w:eastAsia="en-US"/>
          </w:rPr>
          <w:t>https://www.sharegift.org/</w:t>
        </w:r>
      </w:hyperlink>
      <w:r w:rsidRPr="001140FB">
        <w:rPr>
          <w:rFonts w:ascii="RN House Sans Regular" w:eastAsiaTheme="minorHAnsi" w:hAnsi="RN House Sans Regular" w:cs="ArialMT"/>
          <w:sz w:val="22"/>
          <w:szCs w:val="22"/>
          <w:lang w:eastAsia="en-US"/>
        </w:rPr>
        <w:t>.</w:t>
      </w:r>
      <w:r w:rsidR="007374F4">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For the purposes of determining fractional entitlements, each portion of an Ordinary</w:t>
      </w:r>
      <w:r w:rsidR="007374F4">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Shareholder’s holding which is recorded in the Register by reference to a separate</w:t>
      </w:r>
      <w:r w:rsidR="007374F4">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designation as at 6.00 p.m. on 26 August 2022 (or such other time and/or date as the</w:t>
      </w:r>
      <w:r w:rsidR="007374F4">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Directors may in their absolute discretion determine), whether in certificated or uncertificated</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form, shall be treated as a separate holding;</w:t>
      </w:r>
      <w:r w:rsidR="007374F4">
        <w:rPr>
          <w:rFonts w:ascii="RN House Sans Regular" w:eastAsiaTheme="minorHAnsi" w:hAnsi="RN House Sans Regular" w:cs="ArialMT"/>
          <w:sz w:val="22"/>
          <w:szCs w:val="22"/>
          <w:lang w:eastAsia="en-US"/>
        </w:rPr>
        <w:br/>
      </w:r>
      <w:r w:rsidR="00207839">
        <w:rPr>
          <w:rFonts w:ascii="RN House Sans Regular" w:eastAsiaTheme="minorHAnsi" w:hAnsi="RN House Sans Regular" w:cs="ArialMT"/>
          <w:sz w:val="22"/>
          <w:szCs w:val="22"/>
          <w:lang w:eastAsia="en-US"/>
        </w:rPr>
        <w:br/>
      </w:r>
      <w:r w:rsidRPr="001140FB">
        <w:rPr>
          <w:rFonts w:ascii="RN House Sans Regular" w:eastAsiaTheme="minorHAnsi" w:hAnsi="RN House Sans Regular" w:cs="ArialMT"/>
          <w:sz w:val="22"/>
          <w:szCs w:val="22"/>
          <w:lang w:eastAsia="en-US"/>
        </w:rPr>
        <w:t>(c) in respect of ADR Holders, the net proceeds of such sale (after the deduction of any</w:t>
      </w:r>
    </w:p>
    <w:p w14:paraId="58DDC75B" w14:textId="78FB50A4"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expenses and/or commissions associated with such sale (including any related VAT)) shall,</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subject to the terms of the Deposit Agreement (as applicable), be paid in due proportion</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(rounded down to the nearest whole cent) amongst the relevant ADR Holders who would</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otherwise be entitled to such fractions; and</w:t>
      </w:r>
    </w:p>
    <w:p w14:paraId="53201E33" w14:textId="1967F9C1" w:rsidR="00067E02" w:rsidRDefault="001140FB" w:rsidP="00207839">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(d) in the absence of bad faith or wilful default, neither the Company nor any person appointed</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 xml:space="preserve">pursuant to sub-paragraph (i) of this resolution 2 shall have any liability for any </w:t>
      </w:r>
      <w:r w:rsidRPr="001140FB">
        <w:rPr>
          <w:rFonts w:ascii="RN House Sans Regular" w:eastAsiaTheme="minorHAnsi" w:hAnsi="RN House Sans Regular" w:cs="ArialMT"/>
          <w:sz w:val="22"/>
          <w:szCs w:val="22"/>
          <w:lang w:eastAsia="en-US"/>
        </w:rPr>
        <w:lastRenderedPageBreak/>
        <w:t>loss or</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damage arising as a result of the timing or terms of any sale pursuant to this resolution 2.</w:t>
      </w:r>
    </w:p>
    <w:p w14:paraId="44E526DF" w14:textId="77777777" w:rsidR="003E6C35" w:rsidRPr="001140FB" w:rsidRDefault="003E6C35" w:rsidP="00207839">
      <w:pPr>
        <w:autoSpaceDE w:val="0"/>
        <w:autoSpaceDN w:val="0"/>
        <w:adjustRightInd w:val="0"/>
        <w:rPr>
          <w:rFonts w:ascii="RN House Sans Regular" w:eastAsiaTheme="minorHAnsi" w:hAnsi="RN House Sans Regular" w:cs="ArialMT"/>
          <w:sz w:val="22"/>
          <w:szCs w:val="22"/>
          <w:lang w:eastAsia="en-US"/>
        </w:rPr>
      </w:pPr>
    </w:p>
    <w:p w14:paraId="4CAB0E9B" w14:textId="38BCA9F9" w:rsidR="001140FB" w:rsidRPr="001140FB" w:rsidRDefault="001140FB" w:rsidP="001140FB">
      <w:pPr>
        <w:autoSpaceDE w:val="0"/>
        <w:autoSpaceDN w:val="0"/>
        <w:adjustRightInd w:val="0"/>
        <w:rPr>
          <w:rFonts w:ascii="RN House Sans Regular" w:eastAsiaTheme="minorHAnsi" w:hAnsi="RN House Sans Regular" w:cs="Arial-BoldMT"/>
          <w:b/>
          <w:bCs/>
          <w:sz w:val="22"/>
          <w:szCs w:val="22"/>
          <w:lang w:eastAsia="en-US"/>
        </w:rPr>
      </w:pPr>
      <w:r w:rsidRPr="001140FB">
        <w:rPr>
          <w:rFonts w:ascii="RN House Sans Regular" w:eastAsiaTheme="minorHAnsi" w:hAnsi="RN House Sans Regular" w:cs="Arial-BoldMT"/>
          <w:b/>
          <w:bCs/>
          <w:sz w:val="22"/>
          <w:szCs w:val="22"/>
          <w:lang w:eastAsia="en-US"/>
        </w:rPr>
        <w:t>Resolution 3</w:t>
      </w:r>
      <w:r w:rsidR="007374F4">
        <w:rPr>
          <w:rFonts w:ascii="RN House Sans Regular" w:eastAsiaTheme="minorHAnsi" w:hAnsi="RN House Sans Regular" w:cs="Arial-BoldMT"/>
          <w:b/>
          <w:bCs/>
          <w:sz w:val="22"/>
          <w:szCs w:val="22"/>
          <w:lang w:eastAsia="en-US"/>
        </w:rPr>
        <w:br/>
      </w:r>
    </w:p>
    <w:p w14:paraId="4A5861AD" w14:textId="630AFC5A"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BoldMT"/>
          <w:b/>
          <w:bCs/>
          <w:sz w:val="22"/>
          <w:szCs w:val="22"/>
          <w:lang w:eastAsia="en-US"/>
        </w:rPr>
        <w:t xml:space="preserve">That, </w:t>
      </w:r>
      <w:r w:rsidRPr="001140FB">
        <w:rPr>
          <w:rFonts w:ascii="RN House Sans Regular" w:eastAsiaTheme="minorHAnsi" w:hAnsi="RN House Sans Regular" w:cs="ArialMT"/>
          <w:sz w:val="22"/>
          <w:szCs w:val="22"/>
          <w:lang w:eastAsia="en-US"/>
        </w:rPr>
        <w:t>subject to and conditional upon the passing of resolutions 1 and 2 and the Class Meeting</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Resolution and Admission, and in place of the equivalent authority given to the Directors at the last</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annual general meeting of the Company (but without prejudice to the continuing authority of the</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Directors to allot equity securities pursuant to an offer or agreement made by the Company before the</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expiry of the authority pursuant to which such offer or agreement was made), the Directors be and are</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generally and unconditionally authorised for the purpose of section 551 of the Companies Act 2006 to</w:t>
      </w:r>
    </w:p>
    <w:p w14:paraId="3BA807CF" w14:textId="38D18D59"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exercise all the powers of the Company to:</w:t>
      </w:r>
      <w:r w:rsidR="007374F4">
        <w:rPr>
          <w:rFonts w:ascii="RN House Sans Regular" w:eastAsiaTheme="minorHAnsi" w:hAnsi="RN House Sans Regular" w:cs="ArialMT"/>
          <w:sz w:val="22"/>
          <w:szCs w:val="22"/>
          <w:lang w:eastAsia="en-US"/>
        </w:rPr>
        <w:br/>
      </w:r>
    </w:p>
    <w:p w14:paraId="288966AF" w14:textId="5A286BA4"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(i) allot New Ordinary Shares in the Company or grant rights to subscribe for, or convert any security</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into, New Ordinary Shares in the Company up to an aggregate nominal amount of</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£3,468,713,201 (such amount to be reduced by any allotment or grant made under subparagraph</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(ii) below in excess of £3,468,713,201); and</w:t>
      </w:r>
      <w:r w:rsidR="007374F4">
        <w:rPr>
          <w:rFonts w:ascii="RN House Sans Regular" w:eastAsiaTheme="minorHAnsi" w:hAnsi="RN House Sans Regular" w:cs="ArialMT"/>
          <w:sz w:val="22"/>
          <w:szCs w:val="22"/>
          <w:lang w:eastAsia="en-US"/>
        </w:rPr>
        <w:br/>
      </w:r>
    </w:p>
    <w:p w14:paraId="5C10B41E" w14:textId="33DEA2CD" w:rsidR="00067E02" w:rsidRPr="001140FB" w:rsidRDefault="001140FB" w:rsidP="00207839">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(ii) allot New Ordinary Shares comprising equity securities (as defined in section 560 of the</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Companies Act 2006) up to a maximum nominal amount of £6,937,426,402 (such amount to be</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reduced by any New Ordinary Shares allotted or rights granted under sub-paragraph (i) above) in</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connection with an offer by way of a rights issue (that is, an offer to subscribe for further</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securities by means of the issue of a renounceable letter or other negotiable document which</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may be traded for a period before payment for the securities is due):</w:t>
      </w:r>
      <w:r w:rsidR="00207839">
        <w:rPr>
          <w:rFonts w:ascii="RN House Sans Regular" w:eastAsiaTheme="minorHAnsi" w:hAnsi="RN House Sans Regular" w:cs="ArialMT"/>
          <w:sz w:val="22"/>
          <w:szCs w:val="22"/>
          <w:lang w:eastAsia="en-US"/>
        </w:rPr>
        <w:t xml:space="preserve"> </w:t>
      </w:r>
      <w:r w:rsidR="007374F4">
        <w:rPr>
          <w:rFonts w:ascii="RN House Sans Regular" w:eastAsiaTheme="minorHAnsi" w:hAnsi="RN House Sans Regular" w:cs="ArialMT"/>
          <w:sz w:val="22"/>
          <w:szCs w:val="22"/>
          <w:lang w:eastAsia="en-US"/>
        </w:rPr>
        <w:br/>
      </w:r>
      <w:r w:rsidR="007374F4">
        <w:rPr>
          <w:rFonts w:ascii="RN House Sans Regular" w:eastAsiaTheme="minorHAnsi" w:hAnsi="RN House Sans Regular" w:cs="ArialMT"/>
          <w:sz w:val="22"/>
          <w:szCs w:val="22"/>
          <w:lang w:eastAsia="en-US"/>
        </w:rPr>
        <w:br/>
      </w:r>
      <w:r w:rsidRPr="001140FB">
        <w:rPr>
          <w:rFonts w:ascii="RN House Sans Regular" w:eastAsiaTheme="minorHAnsi" w:hAnsi="RN House Sans Regular" w:cs="ArialMT"/>
          <w:sz w:val="22"/>
          <w:szCs w:val="22"/>
          <w:lang w:eastAsia="en-US"/>
        </w:rPr>
        <w:t>(a) to holders of New Ordinary Shares in proportion (as nearly as may be practicable) to their</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existing holdings; and</w:t>
      </w:r>
      <w:r w:rsidR="00207839">
        <w:rPr>
          <w:rFonts w:ascii="RN House Sans Regular" w:eastAsiaTheme="minorHAnsi" w:hAnsi="RN House Sans Regular" w:cs="ArialMT"/>
          <w:sz w:val="22"/>
          <w:szCs w:val="22"/>
          <w:lang w:eastAsia="en-US"/>
        </w:rPr>
        <w:t xml:space="preserve"> </w:t>
      </w:r>
      <w:r w:rsidR="007374F4">
        <w:rPr>
          <w:rFonts w:ascii="RN House Sans Regular" w:eastAsiaTheme="minorHAnsi" w:hAnsi="RN House Sans Regular" w:cs="ArialMT"/>
          <w:sz w:val="22"/>
          <w:szCs w:val="22"/>
          <w:lang w:eastAsia="en-US"/>
        </w:rPr>
        <w:br/>
      </w:r>
      <w:r w:rsidR="007374F4">
        <w:rPr>
          <w:rFonts w:ascii="RN House Sans Regular" w:eastAsiaTheme="minorHAnsi" w:hAnsi="RN House Sans Regular" w:cs="ArialMT"/>
          <w:sz w:val="22"/>
          <w:szCs w:val="22"/>
          <w:lang w:eastAsia="en-US"/>
        </w:rPr>
        <w:br/>
      </w:r>
      <w:r w:rsidRPr="001140FB">
        <w:rPr>
          <w:rFonts w:ascii="RN House Sans Regular" w:eastAsiaTheme="minorHAnsi" w:hAnsi="RN House Sans Regular" w:cs="ArialMT"/>
          <w:sz w:val="22"/>
          <w:szCs w:val="22"/>
          <w:lang w:eastAsia="en-US"/>
        </w:rPr>
        <w:t>(b) to holders of other equity securities (as defined in section 560 of the Companies Act 2006) if</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this is required by the rights of those equity securities or, if the Directors consider it</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necessary, as permitted by the rights of those equity securities;</w:t>
      </w:r>
    </w:p>
    <w:p w14:paraId="70EDC1DD" w14:textId="77777777" w:rsidR="001140FB" w:rsidRPr="001140FB" w:rsidRDefault="001140FB" w:rsidP="001140FB">
      <w:pPr>
        <w:rPr>
          <w:rFonts w:ascii="RN House Sans Regular" w:hAnsi="RN House Sans Regular" w:cs="Arial"/>
          <w:sz w:val="22"/>
          <w:szCs w:val="22"/>
        </w:rPr>
      </w:pPr>
    </w:p>
    <w:p w14:paraId="2B269E97" w14:textId="6EC19227"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and so that the Directors may make such exclusions or other arrangements as they consider</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expedient in relation to treasury shares, fractional entitlements, record dates, securities</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 xml:space="preserve">represented by depositary receipts, </w:t>
      </w:r>
      <w:proofErr w:type="spellStart"/>
      <w:r w:rsidRPr="001140FB">
        <w:rPr>
          <w:rFonts w:ascii="RN House Sans Regular" w:eastAsiaTheme="minorHAnsi" w:hAnsi="RN House Sans Regular" w:cs="ArialMT"/>
          <w:sz w:val="22"/>
          <w:szCs w:val="22"/>
          <w:lang w:eastAsia="en-US"/>
        </w:rPr>
        <w:t>legal,</w:t>
      </w:r>
      <w:proofErr w:type="spellEnd"/>
      <w:r w:rsidRPr="001140FB">
        <w:rPr>
          <w:rFonts w:ascii="RN House Sans Regular" w:eastAsiaTheme="minorHAnsi" w:hAnsi="RN House Sans Regular" w:cs="ArialMT"/>
          <w:sz w:val="22"/>
          <w:szCs w:val="22"/>
          <w:lang w:eastAsia="en-US"/>
        </w:rPr>
        <w:t xml:space="preserve"> regulatory or practical problems in, or under the laws</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of, any territory or the requirements of any relevant regulatory body or stock exchange or any</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other matter.</w:t>
      </w:r>
      <w:r w:rsidR="00207839">
        <w:rPr>
          <w:rFonts w:ascii="RN House Sans Regular" w:eastAsiaTheme="minorHAnsi" w:hAnsi="RN House Sans Regular" w:cs="ArialMT"/>
          <w:sz w:val="22"/>
          <w:szCs w:val="22"/>
          <w:lang w:eastAsia="en-US"/>
        </w:rPr>
        <w:br/>
      </w:r>
    </w:p>
    <w:p w14:paraId="5C773194" w14:textId="4457ECCB"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This authority shall expire at the conclusion of the next annual general meeting of the Company, or at</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the close of business on 30 June 2023 (whichever is earlier), save that the Company may before such</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expiry (A) pursuant to the authority conferred by sub-paragraph (i) above, make any offer or</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agreement which would or might require New Ordinary Shares to be allotted, or rights to subscribe for,</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or convert securities into, New Ordinary Shares to be granted, after such expiry and the Directors may</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allot New Ordinary Shares or grant rights in pursuance of any such offer or agreement as if the</w:t>
      </w:r>
    </w:p>
    <w:p w14:paraId="151335D2" w14:textId="5676A81B"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authority so conferred had not expired, and (B) pursuant to the authority conferred by subparagraph</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(ii) above, make any offer or agreement which would or might require equity securities to</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be allotted after such expiry and the Directors may allot equity securities in pursuance of any such</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 xml:space="preserve">offer or agreement as if the authority so conferred </w:t>
      </w:r>
      <w:r w:rsidRPr="001140FB">
        <w:rPr>
          <w:rFonts w:ascii="RN House Sans Regular" w:eastAsiaTheme="minorHAnsi" w:hAnsi="RN House Sans Regular" w:cs="ArialMT"/>
          <w:sz w:val="22"/>
          <w:szCs w:val="22"/>
          <w:lang w:eastAsia="en-US"/>
        </w:rPr>
        <w:lastRenderedPageBreak/>
        <w:t>had not expired.</w:t>
      </w:r>
      <w:r w:rsidR="00207839">
        <w:rPr>
          <w:rFonts w:ascii="RN House Sans Regular" w:eastAsiaTheme="minorHAnsi" w:hAnsi="RN House Sans Regular" w:cs="ArialMT"/>
          <w:sz w:val="22"/>
          <w:szCs w:val="22"/>
          <w:lang w:eastAsia="en-US"/>
        </w:rPr>
        <w:br/>
      </w:r>
    </w:p>
    <w:p w14:paraId="6D95CFAF" w14:textId="251661BE" w:rsidR="00067E02" w:rsidRPr="001140FB" w:rsidRDefault="001140FB" w:rsidP="00207839">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This authority is in addition and without prejudice to any other subsisting unutilised authorities</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conferred upon the Directors under section 80 of the Companies Act 1985 or section 551 of the</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Companies Act 2006.</w:t>
      </w:r>
    </w:p>
    <w:p w14:paraId="51B04076" w14:textId="77777777" w:rsidR="00AB6A30" w:rsidRDefault="00AB6A30" w:rsidP="001140FB">
      <w:pPr>
        <w:autoSpaceDE w:val="0"/>
        <w:autoSpaceDN w:val="0"/>
        <w:adjustRightInd w:val="0"/>
        <w:rPr>
          <w:rFonts w:ascii="RN House Sans Regular" w:eastAsiaTheme="minorHAnsi" w:hAnsi="RN House Sans Regular" w:cs="Arial-BoldMT"/>
          <w:b/>
          <w:bCs/>
          <w:sz w:val="22"/>
          <w:szCs w:val="22"/>
          <w:lang w:eastAsia="en-US"/>
        </w:rPr>
      </w:pPr>
    </w:p>
    <w:p w14:paraId="176F29C1" w14:textId="40445A2F" w:rsidR="001140FB" w:rsidRPr="001140FB" w:rsidRDefault="00AB6A30" w:rsidP="001140FB">
      <w:pPr>
        <w:autoSpaceDE w:val="0"/>
        <w:autoSpaceDN w:val="0"/>
        <w:adjustRightInd w:val="0"/>
        <w:rPr>
          <w:rFonts w:ascii="RN House Sans Regular" w:eastAsiaTheme="minorHAnsi" w:hAnsi="RN House Sans Regular" w:cs="Arial-BoldMT"/>
          <w:b/>
          <w:bCs/>
          <w:sz w:val="22"/>
          <w:szCs w:val="22"/>
          <w:lang w:eastAsia="en-US"/>
        </w:rPr>
      </w:pPr>
      <w:r>
        <w:rPr>
          <w:rFonts w:ascii="RN House Sans Regular" w:eastAsiaTheme="minorHAnsi" w:hAnsi="RN House Sans Regular" w:cs="Arial-BoldMT"/>
          <w:b/>
          <w:bCs/>
          <w:sz w:val="22"/>
          <w:szCs w:val="22"/>
          <w:lang w:eastAsia="en-US"/>
        </w:rPr>
        <w:t xml:space="preserve">Special </w:t>
      </w:r>
      <w:r w:rsidR="001140FB" w:rsidRPr="001140FB">
        <w:rPr>
          <w:rFonts w:ascii="RN House Sans Regular" w:eastAsiaTheme="minorHAnsi" w:hAnsi="RN House Sans Regular" w:cs="Arial-BoldMT"/>
          <w:b/>
          <w:bCs/>
          <w:sz w:val="22"/>
          <w:szCs w:val="22"/>
          <w:lang w:eastAsia="en-US"/>
        </w:rPr>
        <w:t>Resolution 4</w:t>
      </w:r>
      <w:r w:rsidR="007374F4">
        <w:rPr>
          <w:rFonts w:ascii="RN House Sans Regular" w:eastAsiaTheme="minorHAnsi" w:hAnsi="RN House Sans Regular" w:cs="Arial-BoldMT"/>
          <w:b/>
          <w:bCs/>
          <w:sz w:val="22"/>
          <w:szCs w:val="22"/>
          <w:lang w:eastAsia="en-US"/>
        </w:rPr>
        <w:br/>
      </w:r>
    </w:p>
    <w:p w14:paraId="3776DCC4" w14:textId="5883099A"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BoldMT"/>
          <w:b/>
          <w:bCs/>
          <w:sz w:val="22"/>
          <w:szCs w:val="22"/>
          <w:lang w:eastAsia="en-US"/>
        </w:rPr>
        <w:t>That</w:t>
      </w:r>
      <w:r w:rsidRPr="001140FB">
        <w:rPr>
          <w:rFonts w:ascii="RN House Sans Regular" w:eastAsiaTheme="minorHAnsi" w:hAnsi="RN House Sans Regular" w:cs="ArialMT"/>
          <w:sz w:val="22"/>
          <w:szCs w:val="22"/>
          <w:lang w:eastAsia="en-US"/>
        </w:rPr>
        <w:t>, subject to and conditional upon the passing of resolutions 1, 2 and 3 and the Class Meeting</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Resolution and Admission and, in place of the equivalent authority given to the Directors at the last</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annual general meeting of the Company (but without prejudice to the continuing authority of the</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Directors to disapply pre-emption rights in connection with an offer or agreement made by the</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Company before the expiry of the authority pursuant to which such offer or agreement was made), the</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Directors be and are generally and unconditionally empowered pursuant to section 570 and section</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573 of the Companies Act 2006 to allot equity securities (as defined in section 560 of the Companies</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Act 2006) for cash, either pursuant to the authority conferred by resolution 3 or by way of a sale of</w:t>
      </w:r>
    </w:p>
    <w:p w14:paraId="2F38018E" w14:textId="0DE07F0E"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treasury shares, as if section 561 of the Companies Act 2006 did not apply to any such allotment,</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provided that this power shall be limited to:</w:t>
      </w:r>
      <w:r w:rsidR="00207839">
        <w:rPr>
          <w:rFonts w:ascii="RN House Sans Regular" w:eastAsiaTheme="minorHAnsi" w:hAnsi="RN House Sans Regular" w:cs="ArialMT"/>
          <w:sz w:val="22"/>
          <w:szCs w:val="22"/>
          <w:lang w:eastAsia="en-US"/>
        </w:rPr>
        <w:br/>
      </w:r>
    </w:p>
    <w:p w14:paraId="6D24B40A" w14:textId="4622C996"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(i) the allotment (otherwise than pursuant to sub-paragraph (ii) below) of equity securities pursuant</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to the authority granted under resolution sub-paragraph (i) of resolution 3, and/or by virtue of</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section 560(3) of the Companies Act 2006, up to a maximum aggregate nominal amount of</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£520,306,980; and</w:t>
      </w:r>
      <w:r w:rsidR="003943F8">
        <w:rPr>
          <w:rFonts w:ascii="RN House Sans Regular" w:eastAsiaTheme="minorHAnsi" w:hAnsi="RN House Sans Regular" w:cs="ArialMT"/>
          <w:sz w:val="22"/>
          <w:szCs w:val="22"/>
          <w:lang w:eastAsia="en-US"/>
        </w:rPr>
        <w:br/>
      </w:r>
    </w:p>
    <w:p w14:paraId="1D2F2051" w14:textId="6E5BD804"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(ii) the allotment of equity securities in connection with an offer or issue of equity securities (but in</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the case of the authority granted under sub-paragraph (ii) of resolution 3, by way of a rights issue</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as described in that resolution only) to or in favour of (a) holders of New Ordinary Shares in</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proportion (as nearly as may be practicable) to their existing holdings, and (b) holders of other</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equity securities if this is required by the rights of those securities or, if the Directors consider it</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necessary, as permitted by the rights of those securities, but subject to such exclusions or other</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arrangements as the Directors may deem necessary or expedient in relation to fractional</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 xml:space="preserve">entitlements, treasury shares, record dates, securities represented by depositary receipts, </w:t>
      </w:r>
      <w:proofErr w:type="spellStart"/>
      <w:r w:rsidRPr="001140FB">
        <w:rPr>
          <w:rFonts w:ascii="RN House Sans Regular" w:eastAsiaTheme="minorHAnsi" w:hAnsi="RN House Sans Regular" w:cs="ArialMT"/>
          <w:sz w:val="22"/>
          <w:szCs w:val="22"/>
          <w:lang w:eastAsia="en-US"/>
        </w:rPr>
        <w:t>legal,</w:t>
      </w:r>
      <w:proofErr w:type="spellEnd"/>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regulatory or practical problems arising in, or under the laws of, any territory or the requirements</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of any relevant regulatory body or any stock exchange or any other matter.</w:t>
      </w:r>
      <w:r w:rsidR="00207839">
        <w:rPr>
          <w:rFonts w:ascii="RN House Sans Regular" w:eastAsiaTheme="minorHAnsi" w:hAnsi="RN House Sans Regular" w:cs="ArialMT"/>
          <w:sz w:val="22"/>
          <w:szCs w:val="22"/>
          <w:lang w:eastAsia="en-US"/>
        </w:rPr>
        <w:br/>
      </w:r>
    </w:p>
    <w:p w14:paraId="095F2030" w14:textId="1C506693"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This authority shall expire at the conclusion of the next annual general meeting of the Company or, if</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earlier, at the close of business on 30 June 2023, unless previously renewed, varied or revoked by the</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Company in general meeting, save that the Company may before such expiry make any offer or enter</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into any agreement which would or might require equity securities to be allotted, or treasury shares</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sold, after such expiry and the Directors may allot equity securities or sell treasury shares in</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pursuance of any such offer or agreement as if this authority conferred had not expired. Compliance</w:t>
      </w:r>
    </w:p>
    <w:p w14:paraId="600FD1B3" w14:textId="13FAF7B9" w:rsidR="001140FB" w:rsidRPr="001140FB" w:rsidRDefault="001140FB" w:rsidP="00207839">
      <w:pPr>
        <w:autoSpaceDE w:val="0"/>
        <w:autoSpaceDN w:val="0"/>
        <w:adjustRightInd w:val="0"/>
        <w:rPr>
          <w:rFonts w:ascii="RN House Sans Regular" w:hAnsi="RN House Sans Regular" w:cs="Arial"/>
          <w:sz w:val="22"/>
          <w:szCs w:val="22"/>
        </w:rPr>
      </w:pPr>
      <w:r w:rsidRPr="001140FB">
        <w:rPr>
          <w:rFonts w:ascii="RN House Sans Regular" w:eastAsiaTheme="minorHAnsi" w:hAnsi="RN House Sans Regular" w:cs="ArialMT"/>
          <w:sz w:val="22"/>
          <w:szCs w:val="22"/>
          <w:lang w:eastAsia="en-US"/>
        </w:rPr>
        <w:t>with the limit in sub-paragraph (ii) of resolution 3 shall be calculated, in the case of equity securities</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which are rights to subscribe for, or to convert securities into, ordinary shares (as defined in section</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560 of the Companies Act 2006), by reference to the aggregate nominal amount of such shares which</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may be allotted pursuant to such rights.</w:t>
      </w:r>
    </w:p>
    <w:p w14:paraId="5D2B2474" w14:textId="5B226495" w:rsidR="00067E02" w:rsidRPr="001140FB" w:rsidRDefault="00067E02" w:rsidP="00CB008F">
      <w:pPr>
        <w:rPr>
          <w:rFonts w:ascii="RN House Sans Regular" w:hAnsi="RN House Sans Regular" w:cs="Arial"/>
          <w:sz w:val="22"/>
          <w:szCs w:val="22"/>
        </w:rPr>
      </w:pPr>
    </w:p>
    <w:p w14:paraId="7B9665D3" w14:textId="048EA484" w:rsidR="001140FB" w:rsidRPr="001140FB" w:rsidRDefault="00AB6A30" w:rsidP="001140FB">
      <w:pPr>
        <w:autoSpaceDE w:val="0"/>
        <w:autoSpaceDN w:val="0"/>
        <w:adjustRightInd w:val="0"/>
        <w:rPr>
          <w:rFonts w:ascii="RN House Sans Regular" w:eastAsiaTheme="minorHAnsi" w:hAnsi="RN House Sans Regular" w:cs="ArialMT"/>
          <w:sz w:val="22"/>
          <w:szCs w:val="22"/>
          <w:lang w:eastAsia="en-US"/>
        </w:rPr>
      </w:pPr>
      <w:r>
        <w:rPr>
          <w:rFonts w:ascii="RN House Sans Regular" w:eastAsiaTheme="minorHAnsi" w:hAnsi="RN House Sans Regular" w:cs="Arial-BoldMT"/>
          <w:b/>
          <w:bCs/>
          <w:sz w:val="22"/>
          <w:szCs w:val="22"/>
          <w:lang w:eastAsia="en-US"/>
        </w:rPr>
        <w:t xml:space="preserve">Special </w:t>
      </w:r>
      <w:r w:rsidR="001140FB" w:rsidRPr="001140FB">
        <w:rPr>
          <w:rFonts w:ascii="RN House Sans Regular" w:eastAsiaTheme="minorHAnsi" w:hAnsi="RN House Sans Regular" w:cs="Arial-BoldMT"/>
          <w:b/>
          <w:bCs/>
          <w:sz w:val="22"/>
          <w:szCs w:val="22"/>
          <w:lang w:eastAsia="en-US"/>
        </w:rPr>
        <w:t>Resolution 5</w:t>
      </w:r>
      <w:r w:rsidR="003943F8">
        <w:rPr>
          <w:rFonts w:ascii="RN House Sans Regular" w:eastAsiaTheme="minorHAnsi" w:hAnsi="RN House Sans Regular" w:cs="Arial-BoldMT"/>
          <w:b/>
          <w:bCs/>
          <w:sz w:val="22"/>
          <w:szCs w:val="22"/>
          <w:lang w:eastAsia="en-US"/>
        </w:rPr>
        <w:br/>
      </w:r>
      <w:r w:rsidR="001140FB" w:rsidRPr="001140FB">
        <w:rPr>
          <w:rFonts w:ascii="RN House Sans Regular" w:eastAsiaTheme="minorHAnsi" w:hAnsi="RN House Sans Regular" w:cs="Arial-BoldMT"/>
          <w:b/>
          <w:bCs/>
          <w:sz w:val="22"/>
          <w:szCs w:val="22"/>
          <w:lang w:eastAsia="en-US"/>
        </w:rPr>
        <w:t>That</w:t>
      </w:r>
      <w:r w:rsidR="001140FB" w:rsidRPr="001140FB">
        <w:rPr>
          <w:rFonts w:ascii="RN House Sans Regular" w:eastAsiaTheme="minorHAnsi" w:hAnsi="RN House Sans Regular" w:cs="ArialMT"/>
          <w:sz w:val="22"/>
          <w:szCs w:val="22"/>
          <w:lang w:eastAsia="en-US"/>
        </w:rPr>
        <w:t xml:space="preserve">, subject to and conditional upon the passing of resolutions 1, 2 and 3 and the Class </w:t>
      </w:r>
      <w:r w:rsidR="001140FB" w:rsidRPr="001140FB">
        <w:rPr>
          <w:rFonts w:ascii="RN House Sans Regular" w:eastAsiaTheme="minorHAnsi" w:hAnsi="RN House Sans Regular" w:cs="ArialMT"/>
          <w:sz w:val="22"/>
          <w:szCs w:val="22"/>
          <w:lang w:eastAsia="en-US"/>
        </w:rPr>
        <w:lastRenderedPageBreak/>
        <w:t>Meeting</w:t>
      </w:r>
      <w:r w:rsidR="00207839">
        <w:rPr>
          <w:rFonts w:ascii="RN House Sans Regular" w:eastAsiaTheme="minorHAnsi" w:hAnsi="RN House Sans Regular" w:cs="ArialMT"/>
          <w:sz w:val="22"/>
          <w:szCs w:val="22"/>
          <w:lang w:eastAsia="en-US"/>
        </w:rPr>
        <w:t xml:space="preserve"> </w:t>
      </w:r>
      <w:r w:rsidR="001140FB" w:rsidRPr="001140FB">
        <w:rPr>
          <w:rFonts w:ascii="RN House Sans Regular" w:eastAsiaTheme="minorHAnsi" w:hAnsi="RN House Sans Regular" w:cs="ArialMT"/>
          <w:sz w:val="22"/>
          <w:szCs w:val="22"/>
          <w:lang w:eastAsia="en-US"/>
        </w:rPr>
        <w:t>Resolution and Admission and in addition to any authority granted under resolution 4, and in place of</w:t>
      </w:r>
      <w:r w:rsidR="00207839">
        <w:rPr>
          <w:rFonts w:ascii="RN House Sans Regular" w:eastAsiaTheme="minorHAnsi" w:hAnsi="RN House Sans Regular" w:cs="ArialMT"/>
          <w:sz w:val="22"/>
          <w:szCs w:val="22"/>
          <w:lang w:eastAsia="en-US"/>
        </w:rPr>
        <w:t xml:space="preserve"> </w:t>
      </w:r>
      <w:r w:rsidR="001140FB" w:rsidRPr="001140FB">
        <w:rPr>
          <w:rFonts w:ascii="RN House Sans Regular" w:eastAsiaTheme="minorHAnsi" w:hAnsi="RN House Sans Regular" w:cs="ArialMT"/>
          <w:sz w:val="22"/>
          <w:szCs w:val="22"/>
          <w:lang w:eastAsia="en-US"/>
        </w:rPr>
        <w:t>the equivalent authority given to the Directors at the last annual general meeting of the Company (but</w:t>
      </w:r>
      <w:r w:rsidR="00207839">
        <w:rPr>
          <w:rFonts w:ascii="RN House Sans Regular" w:eastAsiaTheme="minorHAnsi" w:hAnsi="RN House Sans Regular" w:cs="ArialMT"/>
          <w:sz w:val="22"/>
          <w:szCs w:val="22"/>
          <w:lang w:eastAsia="en-US"/>
        </w:rPr>
        <w:t xml:space="preserve"> </w:t>
      </w:r>
      <w:r w:rsidR="001140FB" w:rsidRPr="001140FB">
        <w:rPr>
          <w:rFonts w:ascii="RN House Sans Regular" w:eastAsiaTheme="minorHAnsi" w:hAnsi="RN House Sans Regular" w:cs="ArialMT"/>
          <w:sz w:val="22"/>
          <w:szCs w:val="22"/>
          <w:lang w:eastAsia="en-US"/>
        </w:rPr>
        <w:t>without prejudice to the continuing authority of the Directors to disapply pre-emption rights in</w:t>
      </w:r>
      <w:r w:rsidR="00207839">
        <w:rPr>
          <w:rFonts w:ascii="RN House Sans Regular" w:eastAsiaTheme="minorHAnsi" w:hAnsi="RN House Sans Regular" w:cs="ArialMT"/>
          <w:sz w:val="22"/>
          <w:szCs w:val="22"/>
          <w:lang w:eastAsia="en-US"/>
        </w:rPr>
        <w:t xml:space="preserve"> </w:t>
      </w:r>
      <w:r w:rsidR="001140FB" w:rsidRPr="001140FB">
        <w:rPr>
          <w:rFonts w:ascii="RN House Sans Regular" w:eastAsiaTheme="minorHAnsi" w:hAnsi="RN House Sans Regular" w:cs="ArialMT"/>
          <w:sz w:val="22"/>
          <w:szCs w:val="22"/>
          <w:lang w:eastAsia="en-US"/>
        </w:rPr>
        <w:t>connection with an offer or agreement made by the Company before the expiry of the authority</w:t>
      </w:r>
      <w:r w:rsidR="00207839">
        <w:rPr>
          <w:rFonts w:ascii="RN House Sans Regular" w:eastAsiaTheme="minorHAnsi" w:hAnsi="RN House Sans Regular" w:cs="ArialMT"/>
          <w:sz w:val="22"/>
          <w:szCs w:val="22"/>
          <w:lang w:eastAsia="en-US"/>
        </w:rPr>
        <w:t xml:space="preserve"> </w:t>
      </w:r>
      <w:r w:rsidR="001140FB" w:rsidRPr="001140FB">
        <w:rPr>
          <w:rFonts w:ascii="RN House Sans Regular" w:eastAsiaTheme="minorHAnsi" w:hAnsi="RN House Sans Regular" w:cs="ArialMT"/>
          <w:sz w:val="22"/>
          <w:szCs w:val="22"/>
          <w:lang w:eastAsia="en-US"/>
        </w:rPr>
        <w:t>pursuant to which such offer or agreement was made), the Directors be and are generally and</w:t>
      </w:r>
      <w:r w:rsidR="00207839">
        <w:rPr>
          <w:rFonts w:ascii="RN House Sans Regular" w:eastAsiaTheme="minorHAnsi" w:hAnsi="RN House Sans Regular" w:cs="ArialMT"/>
          <w:sz w:val="22"/>
          <w:szCs w:val="22"/>
          <w:lang w:eastAsia="en-US"/>
        </w:rPr>
        <w:t xml:space="preserve"> </w:t>
      </w:r>
      <w:r w:rsidR="001140FB" w:rsidRPr="001140FB">
        <w:rPr>
          <w:rFonts w:ascii="RN House Sans Regular" w:eastAsiaTheme="minorHAnsi" w:hAnsi="RN House Sans Regular" w:cs="ArialMT"/>
          <w:sz w:val="22"/>
          <w:szCs w:val="22"/>
          <w:lang w:eastAsia="en-US"/>
        </w:rPr>
        <w:t>unconditionally empowered pursuant to section 570 and section 573 of the Companies Act 2006 to</w:t>
      </w:r>
      <w:r w:rsidR="00207839">
        <w:rPr>
          <w:rFonts w:ascii="RN House Sans Regular" w:eastAsiaTheme="minorHAnsi" w:hAnsi="RN House Sans Regular" w:cs="ArialMT"/>
          <w:sz w:val="22"/>
          <w:szCs w:val="22"/>
          <w:lang w:eastAsia="en-US"/>
        </w:rPr>
        <w:t xml:space="preserve"> </w:t>
      </w:r>
      <w:r w:rsidR="001140FB" w:rsidRPr="001140FB">
        <w:rPr>
          <w:rFonts w:ascii="RN House Sans Regular" w:eastAsiaTheme="minorHAnsi" w:hAnsi="RN House Sans Regular" w:cs="ArialMT"/>
          <w:sz w:val="22"/>
          <w:szCs w:val="22"/>
          <w:lang w:eastAsia="en-US"/>
        </w:rPr>
        <w:t>allot equity securities (as defined in section 560 of the Companies Act 2006) for cash, either pursuant</w:t>
      </w:r>
      <w:r w:rsidR="00207839">
        <w:rPr>
          <w:rFonts w:ascii="RN House Sans Regular" w:eastAsiaTheme="minorHAnsi" w:hAnsi="RN House Sans Regular" w:cs="ArialMT"/>
          <w:sz w:val="22"/>
          <w:szCs w:val="22"/>
          <w:lang w:eastAsia="en-US"/>
        </w:rPr>
        <w:t xml:space="preserve"> </w:t>
      </w:r>
      <w:r w:rsidR="001140FB" w:rsidRPr="001140FB">
        <w:rPr>
          <w:rFonts w:ascii="RN House Sans Regular" w:eastAsiaTheme="minorHAnsi" w:hAnsi="RN House Sans Regular" w:cs="ArialMT"/>
          <w:sz w:val="22"/>
          <w:szCs w:val="22"/>
          <w:lang w:eastAsia="en-US"/>
        </w:rPr>
        <w:t>to the authority conferred by resolution 3 or by way of a sale of treasury shares, as if section 561 of</w:t>
      </w:r>
      <w:r w:rsidR="00207839">
        <w:rPr>
          <w:rFonts w:ascii="RN House Sans Regular" w:eastAsiaTheme="minorHAnsi" w:hAnsi="RN House Sans Regular" w:cs="ArialMT"/>
          <w:sz w:val="22"/>
          <w:szCs w:val="22"/>
          <w:lang w:eastAsia="en-US"/>
        </w:rPr>
        <w:t xml:space="preserve"> </w:t>
      </w:r>
      <w:r w:rsidR="001140FB" w:rsidRPr="001140FB">
        <w:rPr>
          <w:rFonts w:ascii="RN House Sans Regular" w:eastAsiaTheme="minorHAnsi" w:hAnsi="RN House Sans Regular" w:cs="ArialMT"/>
          <w:sz w:val="22"/>
          <w:szCs w:val="22"/>
          <w:lang w:eastAsia="en-US"/>
        </w:rPr>
        <w:t>the Companies Act 2006 did not apply to any such allotment, provided that this authority shall be:</w:t>
      </w:r>
      <w:r w:rsidR="00207839">
        <w:rPr>
          <w:rFonts w:ascii="RN House Sans Regular" w:eastAsiaTheme="minorHAnsi" w:hAnsi="RN House Sans Regular" w:cs="ArialMT"/>
          <w:sz w:val="22"/>
          <w:szCs w:val="22"/>
          <w:lang w:eastAsia="en-US"/>
        </w:rPr>
        <w:br/>
      </w:r>
    </w:p>
    <w:p w14:paraId="083DC222" w14:textId="6AA9143B"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(i) limited to the allotment of equity securities, or sale of treasury shares, up to a maximum</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aggregate nominal amount of £520,306,980; and</w:t>
      </w:r>
      <w:r w:rsidR="003943F8">
        <w:rPr>
          <w:rFonts w:ascii="RN House Sans Regular" w:eastAsiaTheme="minorHAnsi" w:hAnsi="RN House Sans Regular" w:cs="ArialMT"/>
          <w:sz w:val="22"/>
          <w:szCs w:val="22"/>
          <w:lang w:eastAsia="en-US"/>
        </w:rPr>
        <w:br/>
      </w:r>
    </w:p>
    <w:p w14:paraId="75941FA2" w14:textId="7145B0BC" w:rsid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(ii) used only for the purposes of financing (or refinancing, if the authority is to be used within six</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months after the original transaction) a transaction which the Directors determine to be an</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acquisition or other capital investment of a kind contemplated by the Statement of Principles on</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Disapplying Pre-Emption Rights most recently published by the Pre-Emption Group as at the date</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of the 2022 AGM.</w:t>
      </w:r>
    </w:p>
    <w:p w14:paraId="199A1E73" w14:textId="77777777" w:rsidR="00207839" w:rsidRPr="001140FB" w:rsidRDefault="00207839" w:rsidP="001140FB">
      <w:pPr>
        <w:autoSpaceDE w:val="0"/>
        <w:autoSpaceDN w:val="0"/>
        <w:adjustRightInd w:val="0"/>
        <w:rPr>
          <w:rFonts w:ascii="RN House Sans Regular" w:eastAsiaTheme="minorHAnsi" w:hAnsi="RN House Sans Regular" w:cs="ArialMT"/>
          <w:sz w:val="22"/>
          <w:szCs w:val="22"/>
          <w:lang w:eastAsia="en-US"/>
        </w:rPr>
      </w:pPr>
    </w:p>
    <w:p w14:paraId="51799E4A" w14:textId="43A014D0" w:rsidR="00067E02" w:rsidRPr="001140FB" w:rsidRDefault="001140FB" w:rsidP="00207839">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This authority shall expire at the conclusion of the next annual general meeting of the Company or, if</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earlier, at the close of business on 30 June 2023, but in each case, prior to its expiry, the Company</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may make offers, and enter into agreements, which would, or might, require equity securities to be</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allotted after it expires, and the Directors may allot equity securities in pursuance of such offer or</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agreement as if this authority had not expired.</w:t>
      </w:r>
    </w:p>
    <w:p w14:paraId="65A34FB8" w14:textId="45363304" w:rsidR="001140FB" w:rsidRPr="001140FB" w:rsidRDefault="001140FB" w:rsidP="001140FB">
      <w:pPr>
        <w:rPr>
          <w:rFonts w:ascii="RN House Sans Regular" w:eastAsiaTheme="minorHAnsi" w:hAnsi="RN House Sans Regular" w:cs="ArialMT"/>
          <w:sz w:val="22"/>
          <w:szCs w:val="22"/>
          <w:lang w:eastAsia="en-US"/>
        </w:rPr>
      </w:pPr>
    </w:p>
    <w:p w14:paraId="2D3E7D89" w14:textId="13BEE470" w:rsidR="001140FB" w:rsidRPr="001140FB" w:rsidRDefault="00AB6A30" w:rsidP="001140FB">
      <w:pPr>
        <w:autoSpaceDE w:val="0"/>
        <w:autoSpaceDN w:val="0"/>
        <w:adjustRightInd w:val="0"/>
        <w:rPr>
          <w:rFonts w:ascii="RN House Sans Regular" w:eastAsiaTheme="minorHAnsi" w:hAnsi="RN House Sans Regular" w:cs="Arial-BoldMT"/>
          <w:b/>
          <w:bCs/>
          <w:sz w:val="22"/>
          <w:szCs w:val="22"/>
          <w:lang w:eastAsia="en-US"/>
        </w:rPr>
      </w:pPr>
      <w:r>
        <w:rPr>
          <w:rFonts w:ascii="RN House Sans Regular" w:eastAsiaTheme="minorHAnsi" w:hAnsi="RN House Sans Regular" w:cs="Arial-BoldMT"/>
          <w:b/>
          <w:bCs/>
          <w:sz w:val="22"/>
          <w:szCs w:val="22"/>
          <w:lang w:eastAsia="en-US"/>
        </w:rPr>
        <w:t xml:space="preserve">Special </w:t>
      </w:r>
      <w:r w:rsidR="001140FB" w:rsidRPr="001140FB">
        <w:rPr>
          <w:rFonts w:ascii="RN House Sans Regular" w:eastAsiaTheme="minorHAnsi" w:hAnsi="RN House Sans Regular" w:cs="Arial-BoldMT"/>
          <w:b/>
          <w:bCs/>
          <w:sz w:val="22"/>
          <w:szCs w:val="22"/>
          <w:lang w:eastAsia="en-US"/>
        </w:rPr>
        <w:t>Resolution 6</w:t>
      </w:r>
      <w:r w:rsidR="003943F8">
        <w:rPr>
          <w:rFonts w:ascii="RN House Sans Regular" w:eastAsiaTheme="minorHAnsi" w:hAnsi="RN House Sans Regular" w:cs="Arial-BoldMT"/>
          <w:b/>
          <w:bCs/>
          <w:sz w:val="22"/>
          <w:szCs w:val="22"/>
          <w:lang w:eastAsia="en-US"/>
        </w:rPr>
        <w:br/>
      </w:r>
    </w:p>
    <w:p w14:paraId="51E67FA1" w14:textId="03433BEE"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BoldMT"/>
          <w:b/>
          <w:bCs/>
          <w:sz w:val="22"/>
          <w:szCs w:val="22"/>
          <w:lang w:eastAsia="en-US"/>
        </w:rPr>
        <w:t>That</w:t>
      </w:r>
      <w:r w:rsidRPr="001140FB">
        <w:rPr>
          <w:rFonts w:ascii="RN House Sans Regular" w:eastAsiaTheme="minorHAnsi" w:hAnsi="RN House Sans Regular" w:cs="ArialMT"/>
          <w:sz w:val="22"/>
          <w:szCs w:val="22"/>
          <w:lang w:eastAsia="en-US"/>
        </w:rPr>
        <w:t>, subject to and conditional upon the passing of resolutions 1 and 2 and the Class Meeting</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Resolution and Admission, and in place of the similar authority given to the Directors at the last annual</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general meeting of the Company (but without prejudice to the continuing authority of the Directors to</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make market purchases of Ordinary Shares pursuant to an offer or agreement made by the Company</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before the expiry of the authority pursuant to which such offer or agreement was made), the Company</w:t>
      </w:r>
    </w:p>
    <w:p w14:paraId="4CFC4E8E" w14:textId="1190203C"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is generally and unconditionally authorised for the purposes of section 701 of the Companies Act 2006</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to make market purchases (within the meaning of section 693 of the Companies Act 2006) of New</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Ordinary Shares (as defined in resolution 2), provided that:</w:t>
      </w:r>
      <w:r w:rsidR="00207839">
        <w:rPr>
          <w:rFonts w:ascii="RN House Sans Regular" w:eastAsiaTheme="minorHAnsi" w:hAnsi="RN House Sans Regular" w:cs="ArialMT"/>
          <w:sz w:val="22"/>
          <w:szCs w:val="22"/>
          <w:lang w:eastAsia="en-US"/>
        </w:rPr>
        <w:br/>
      </w:r>
    </w:p>
    <w:p w14:paraId="1C19CF16" w14:textId="2D9FF81B"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(i) the maximum number of New Ordinary Shares to be purchased is 966,284,391 (representing</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10 per cent. of the total issued Ordinary Share capital, excluding treasury shares, as at 5 August</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2022 (being the latest practicable date));</w:t>
      </w:r>
      <w:r w:rsidR="003943F8">
        <w:rPr>
          <w:rFonts w:ascii="RN House Sans Regular" w:eastAsiaTheme="minorHAnsi" w:hAnsi="RN House Sans Regular" w:cs="ArialMT"/>
          <w:sz w:val="22"/>
          <w:szCs w:val="22"/>
          <w:lang w:eastAsia="en-US"/>
        </w:rPr>
        <w:br/>
      </w:r>
    </w:p>
    <w:p w14:paraId="62FB07EE" w14:textId="6CFDE990"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(ii) the minimum price which may be paid for a New Ordinary Share is £0.01 per share, which</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amount shall be exclusive of expenses; and</w:t>
      </w:r>
      <w:r w:rsidR="003943F8">
        <w:rPr>
          <w:rFonts w:ascii="RN House Sans Regular" w:eastAsiaTheme="minorHAnsi" w:hAnsi="RN House Sans Regular" w:cs="ArialMT"/>
          <w:sz w:val="22"/>
          <w:szCs w:val="22"/>
          <w:lang w:eastAsia="en-US"/>
        </w:rPr>
        <w:br/>
      </w:r>
    </w:p>
    <w:p w14:paraId="69B766A3" w14:textId="4F74A21F"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(iii) the maximum price (exclusive of expenses) which may be paid for a New Ordinary Share is, in</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respect of a New Ordinary Share contracted to be purchased on any day, the higher of: (i) an</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amount equal to 105 per cent. of the average of the midmarket quotations for a New Ordinary</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 xml:space="preserve">Share of the Company as derived from The Daily Official </w:t>
      </w:r>
      <w:r w:rsidRPr="001140FB">
        <w:rPr>
          <w:rFonts w:ascii="RN House Sans Regular" w:eastAsiaTheme="minorHAnsi" w:hAnsi="RN House Sans Regular" w:cs="ArialMT"/>
          <w:sz w:val="22"/>
          <w:szCs w:val="22"/>
          <w:lang w:eastAsia="en-US"/>
        </w:rPr>
        <w:lastRenderedPageBreak/>
        <w:t>List of The London Stock Exchange for</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the five business days in England immediately preceding the day on which the New Ordinary</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Share is contracted to be purchased; (ii) the price of the last independent trade on the trading</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venue where the purchase is carried out; and (iii) the highest current independent purchase bid</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on that venue;</w:t>
      </w:r>
      <w:r w:rsidR="00207839">
        <w:rPr>
          <w:rFonts w:ascii="RN House Sans Regular" w:eastAsiaTheme="minorHAnsi" w:hAnsi="RN House Sans Regular" w:cs="ArialMT"/>
          <w:sz w:val="22"/>
          <w:szCs w:val="22"/>
          <w:lang w:eastAsia="en-US"/>
        </w:rPr>
        <w:br/>
      </w:r>
    </w:p>
    <w:p w14:paraId="27300B44" w14:textId="4C5CCAB8" w:rsidR="00067E02" w:rsidRPr="001140FB" w:rsidRDefault="001140FB" w:rsidP="00207839">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This authority shall expire at the conclusion of the next annual general meeting of the Company or, if</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earlier, at the close of business on 30 June 2023, but in each case, prior to its expiry, the Company</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may conclude a contract to purchase New Ordinary Shares under the authority conferred prior to the</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expiry of such authority which will or may be executed wholly or partly after such expiry, and may</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make a purchase of New Ordinary Shares in pursuance of any such contract as if the authority</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conferred had not expired.</w:t>
      </w:r>
    </w:p>
    <w:p w14:paraId="379D0866" w14:textId="1E57FE3C" w:rsidR="001140FB" w:rsidRPr="001140FB" w:rsidRDefault="001140FB" w:rsidP="001140FB">
      <w:pPr>
        <w:rPr>
          <w:rFonts w:ascii="RN House Sans Regular" w:eastAsiaTheme="minorHAnsi" w:hAnsi="RN House Sans Regular" w:cs="ArialMT"/>
          <w:sz w:val="22"/>
          <w:szCs w:val="22"/>
          <w:lang w:eastAsia="en-US"/>
        </w:rPr>
      </w:pPr>
    </w:p>
    <w:p w14:paraId="185651EF" w14:textId="2762B3C6" w:rsidR="001140FB" w:rsidRPr="001140FB" w:rsidRDefault="00AB6A30" w:rsidP="001140FB">
      <w:pPr>
        <w:autoSpaceDE w:val="0"/>
        <w:autoSpaceDN w:val="0"/>
        <w:adjustRightInd w:val="0"/>
        <w:rPr>
          <w:rFonts w:ascii="RN House Sans Regular" w:eastAsiaTheme="minorHAnsi" w:hAnsi="RN House Sans Regular" w:cs="Arial-BoldMT"/>
          <w:b/>
          <w:bCs/>
          <w:sz w:val="22"/>
          <w:szCs w:val="22"/>
          <w:lang w:eastAsia="en-US"/>
        </w:rPr>
      </w:pPr>
      <w:r>
        <w:rPr>
          <w:rFonts w:ascii="RN House Sans Regular" w:eastAsiaTheme="minorHAnsi" w:hAnsi="RN House Sans Regular" w:cs="Arial-BoldMT"/>
          <w:b/>
          <w:bCs/>
          <w:sz w:val="22"/>
          <w:szCs w:val="22"/>
          <w:lang w:eastAsia="en-US"/>
        </w:rPr>
        <w:t xml:space="preserve">Special </w:t>
      </w:r>
      <w:r w:rsidR="001140FB" w:rsidRPr="001140FB">
        <w:rPr>
          <w:rFonts w:ascii="RN House Sans Regular" w:eastAsiaTheme="minorHAnsi" w:hAnsi="RN House Sans Regular" w:cs="Arial-BoldMT"/>
          <w:b/>
          <w:bCs/>
          <w:sz w:val="22"/>
          <w:szCs w:val="22"/>
          <w:lang w:eastAsia="en-US"/>
        </w:rPr>
        <w:t>Resolution 7</w:t>
      </w:r>
      <w:r w:rsidR="003943F8">
        <w:rPr>
          <w:rFonts w:ascii="RN House Sans Regular" w:eastAsiaTheme="minorHAnsi" w:hAnsi="RN House Sans Regular" w:cs="Arial-BoldMT"/>
          <w:b/>
          <w:bCs/>
          <w:sz w:val="22"/>
          <w:szCs w:val="22"/>
          <w:lang w:eastAsia="en-US"/>
        </w:rPr>
        <w:br/>
      </w:r>
    </w:p>
    <w:p w14:paraId="45E4D3B8" w14:textId="3D8ACF83"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BoldMT"/>
          <w:b/>
          <w:bCs/>
          <w:sz w:val="22"/>
          <w:szCs w:val="22"/>
          <w:lang w:eastAsia="en-US"/>
        </w:rPr>
        <w:t xml:space="preserve">That, </w:t>
      </w:r>
      <w:r w:rsidRPr="001140FB">
        <w:rPr>
          <w:rFonts w:ascii="RN House Sans Regular" w:eastAsiaTheme="minorHAnsi" w:hAnsi="RN House Sans Regular" w:cs="ArialMT"/>
          <w:sz w:val="22"/>
          <w:szCs w:val="22"/>
          <w:lang w:eastAsia="en-US"/>
        </w:rPr>
        <w:t>subject to and conditional upon the passing of resolutions 1 and 2 and the Class Meeting</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Resolution and Admission, the following amendments to the contract between the Company and HM</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Treasury dated 7 February 2019 (a copy of which was produced to the General Meeting on</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6 February 2019 and made available at the Company’s registered office prior to such date) (the</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w:t>
      </w:r>
      <w:r w:rsidRPr="001140FB">
        <w:rPr>
          <w:rFonts w:ascii="RN House Sans Regular" w:eastAsiaTheme="minorHAnsi" w:hAnsi="RN House Sans Regular" w:cs="Arial-BoldMT"/>
          <w:b/>
          <w:bCs/>
          <w:sz w:val="22"/>
          <w:szCs w:val="22"/>
          <w:lang w:eastAsia="en-US"/>
        </w:rPr>
        <w:t>Directed Buyback Contract</w:t>
      </w:r>
      <w:r w:rsidRPr="001140FB">
        <w:rPr>
          <w:rFonts w:ascii="RN House Sans Regular" w:eastAsiaTheme="minorHAnsi" w:hAnsi="RN House Sans Regular" w:cs="ArialMT"/>
          <w:sz w:val="22"/>
          <w:szCs w:val="22"/>
          <w:lang w:eastAsia="en-US"/>
        </w:rPr>
        <w:t>”), which was originally approved by special resolution passed at the</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general meeting of the Company on 6 February 2019 and then renewed at the annual general</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meetings of the Company on 29 April 2020, 28 April 2021 and 28 April 2022, be approved and the</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Directors be authorised to seek the approval of HM Treasury (and to make such modifications as may</w:t>
      </w:r>
    </w:p>
    <w:p w14:paraId="0F39C119" w14:textId="78A767A9"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be necessary to obtain such approval) and to adopt the Directed Buyback Contract as so modified</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and do all acts and things necessary to operate the Directed Buyback Contract as amended (</w:t>
      </w:r>
      <w:proofErr w:type="spellStart"/>
      <w:r w:rsidRPr="001140FB">
        <w:rPr>
          <w:rFonts w:ascii="RN House Sans Regular" w:eastAsiaTheme="minorHAnsi" w:hAnsi="RN House Sans Regular" w:cs="ArialMT"/>
          <w:sz w:val="22"/>
          <w:szCs w:val="22"/>
          <w:lang w:eastAsia="en-US"/>
        </w:rPr>
        <w:t>the“</w:t>
      </w:r>
      <w:r w:rsidRPr="001140FB">
        <w:rPr>
          <w:rFonts w:ascii="RN House Sans Regular" w:eastAsiaTheme="minorHAnsi" w:hAnsi="RN House Sans Regular" w:cs="Arial-BoldMT"/>
          <w:b/>
          <w:bCs/>
          <w:sz w:val="22"/>
          <w:szCs w:val="22"/>
          <w:lang w:eastAsia="en-US"/>
        </w:rPr>
        <w:t>Amended</w:t>
      </w:r>
      <w:proofErr w:type="spellEnd"/>
      <w:r w:rsidRPr="001140FB">
        <w:rPr>
          <w:rFonts w:ascii="RN House Sans Regular" w:eastAsiaTheme="minorHAnsi" w:hAnsi="RN House Sans Regular" w:cs="Arial-BoldMT"/>
          <w:b/>
          <w:bCs/>
          <w:sz w:val="22"/>
          <w:szCs w:val="22"/>
          <w:lang w:eastAsia="en-US"/>
        </w:rPr>
        <w:t xml:space="preserve"> Directed Buyback Contract</w:t>
      </w:r>
      <w:r w:rsidRPr="001140FB">
        <w:rPr>
          <w:rFonts w:ascii="RN House Sans Regular" w:eastAsiaTheme="minorHAnsi" w:hAnsi="RN House Sans Regular" w:cs="ArialMT"/>
          <w:sz w:val="22"/>
          <w:szCs w:val="22"/>
          <w:lang w:eastAsia="en-US"/>
        </w:rPr>
        <w:t>”):</w:t>
      </w:r>
      <w:r w:rsidR="003943F8">
        <w:rPr>
          <w:rFonts w:ascii="RN House Sans Regular" w:eastAsiaTheme="minorHAnsi" w:hAnsi="RN House Sans Regular" w:cs="ArialMT"/>
          <w:sz w:val="22"/>
          <w:szCs w:val="22"/>
          <w:lang w:eastAsia="en-US"/>
        </w:rPr>
        <w:br/>
      </w:r>
    </w:p>
    <w:p w14:paraId="78A389B2" w14:textId="4940A93E"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(i) to amend the definition of “</w:t>
      </w:r>
      <w:r w:rsidRPr="001140FB">
        <w:rPr>
          <w:rFonts w:ascii="RN House Sans Regular" w:eastAsiaTheme="minorHAnsi" w:hAnsi="RN House Sans Regular" w:cs="Arial-ItalicMT"/>
          <w:i/>
          <w:iCs/>
          <w:sz w:val="22"/>
          <w:szCs w:val="22"/>
          <w:lang w:eastAsia="en-US"/>
        </w:rPr>
        <w:t>Approved Price Range</w:t>
      </w:r>
      <w:r w:rsidRPr="001140FB">
        <w:rPr>
          <w:rFonts w:ascii="RN House Sans Regular" w:eastAsiaTheme="minorHAnsi" w:hAnsi="RN House Sans Regular" w:cs="ArialMT"/>
          <w:sz w:val="22"/>
          <w:szCs w:val="22"/>
          <w:lang w:eastAsia="en-US"/>
        </w:rPr>
        <w:t>” so that the words “</w:t>
      </w:r>
      <w:r w:rsidRPr="001140FB">
        <w:rPr>
          <w:rFonts w:ascii="RN House Sans Regular" w:eastAsiaTheme="minorHAnsi" w:hAnsi="RN House Sans Regular" w:cs="Arial-ItalicMT"/>
          <w:i/>
          <w:iCs/>
          <w:sz w:val="22"/>
          <w:szCs w:val="22"/>
          <w:lang w:eastAsia="en-US"/>
        </w:rPr>
        <w:t>(being £1.00 at the date of</w:t>
      </w:r>
      <w:r w:rsidR="00207839">
        <w:rPr>
          <w:rFonts w:ascii="RN House Sans Regular" w:eastAsiaTheme="minorHAnsi" w:hAnsi="RN House Sans Regular" w:cs="Arial-ItalicMT"/>
          <w:i/>
          <w:iCs/>
          <w:sz w:val="22"/>
          <w:szCs w:val="22"/>
          <w:lang w:eastAsia="en-US"/>
        </w:rPr>
        <w:t xml:space="preserve"> </w:t>
      </w:r>
      <w:r w:rsidRPr="001140FB">
        <w:rPr>
          <w:rFonts w:ascii="RN House Sans Regular" w:eastAsiaTheme="minorHAnsi" w:hAnsi="RN House Sans Regular" w:cs="Arial-ItalicMT"/>
          <w:i/>
          <w:iCs/>
          <w:sz w:val="22"/>
          <w:szCs w:val="22"/>
          <w:lang w:eastAsia="en-US"/>
        </w:rPr>
        <w:t>this Deed)</w:t>
      </w:r>
      <w:r w:rsidRPr="001140FB">
        <w:rPr>
          <w:rFonts w:ascii="RN House Sans Regular" w:eastAsiaTheme="minorHAnsi" w:hAnsi="RN House Sans Regular" w:cs="ArialMT"/>
          <w:sz w:val="22"/>
          <w:szCs w:val="22"/>
          <w:lang w:eastAsia="en-US"/>
        </w:rPr>
        <w:t>” are deleted; and</w:t>
      </w:r>
      <w:r w:rsidR="003943F8">
        <w:rPr>
          <w:rFonts w:ascii="RN House Sans Regular" w:eastAsiaTheme="minorHAnsi" w:hAnsi="RN House Sans Regular" w:cs="ArialMT"/>
          <w:sz w:val="22"/>
          <w:szCs w:val="22"/>
          <w:lang w:eastAsia="en-US"/>
        </w:rPr>
        <w:br/>
      </w:r>
    </w:p>
    <w:p w14:paraId="053B5F8A" w14:textId="756C37A9" w:rsidR="001140FB" w:rsidRP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(ii) to amend the definition of “</w:t>
      </w:r>
      <w:r w:rsidRPr="001140FB">
        <w:rPr>
          <w:rFonts w:ascii="RN House Sans Regular" w:eastAsiaTheme="minorHAnsi" w:hAnsi="RN House Sans Regular" w:cs="Arial-ItalicMT"/>
          <w:i/>
          <w:iCs/>
          <w:sz w:val="22"/>
          <w:szCs w:val="22"/>
          <w:lang w:eastAsia="en-US"/>
        </w:rPr>
        <w:t>Ordinary Share</w:t>
      </w:r>
      <w:r w:rsidRPr="001140FB">
        <w:rPr>
          <w:rFonts w:ascii="RN House Sans Regular" w:eastAsiaTheme="minorHAnsi" w:hAnsi="RN House Sans Regular" w:cs="ArialMT"/>
          <w:sz w:val="22"/>
          <w:szCs w:val="22"/>
          <w:lang w:eastAsia="en-US"/>
        </w:rPr>
        <w:t>” from “</w:t>
      </w:r>
      <w:r w:rsidRPr="001140FB">
        <w:rPr>
          <w:rFonts w:ascii="RN House Sans Regular" w:eastAsiaTheme="minorHAnsi" w:hAnsi="RN House Sans Regular" w:cs="Arial-ItalicMT"/>
          <w:i/>
          <w:iCs/>
          <w:sz w:val="22"/>
          <w:szCs w:val="22"/>
          <w:lang w:eastAsia="en-US"/>
        </w:rPr>
        <w:t>an ordinary share of £1.00 in the capital of the</w:t>
      </w:r>
      <w:r w:rsidR="00207839">
        <w:rPr>
          <w:rFonts w:ascii="RN House Sans Regular" w:eastAsiaTheme="minorHAnsi" w:hAnsi="RN House Sans Regular" w:cs="Arial-ItalicMT"/>
          <w:i/>
          <w:iCs/>
          <w:sz w:val="22"/>
          <w:szCs w:val="22"/>
          <w:lang w:eastAsia="en-US"/>
        </w:rPr>
        <w:t xml:space="preserve"> </w:t>
      </w:r>
      <w:r w:rsidRPr="001140FB">
        <w:rPr>
          <w:rFonts w:ascii="RN House Sans Regular" w:eastAsiaTheme="minorHAnsi" w:hAnsi="RN House Sans Regular" w:cs="Arial-ItalicMT"/>
          <w:i/>
          <w:iCs/>
          <w:sz w:val="22"/>
          <w:szCs w:val="22"/>
          <w:lang w:eastAsia="en-US"/>
        </w:rPr>
        <w:t>Company</w:t>
      </w:r>
      <w:r w:rsidRPr="001140FB">
        <w:rPr>
          <w:rFonts w:ascii="RN House Sans Regular" w:eastAsiaTheme="minorHAnsi" w:hAnsi="RN House Sans Regular" w:cs="ArialMT"/>
          <w:sz w:val="22"/>
          <w:szCs w:val="22"/>
          <w:lang w:eastAsia="en-US"/>
        </w:rPr>
        <w:t>” to “</w:t>
      </w:r>
      <w:r w:rsidRPr="001140FB">
        <w:rPr>
          <w:rFonts w:ascii="RN House Sans Regular" w:eastAsiaTheme="minorHAnsi" w:hAnsi="RN House Sans Regular" w:cs="Arial-ItalicMT"/>
          <w:i/>
          <w:iCs/>
          <w:sz w:val="22"/>
          <w:szCs w:val="22"/>
          <w:lang w:eastAsia="en-US"/>
        </w:rPr>
        <w:t>an ordinary share in the capital of the Company</w:t>
      </w:r>
      <w:r w:rsidRPr="001140FB">
        <w:rPr>
          <w:rFonts w:ascii="RN House Sans Regular" w:eastAsiaTheme="minorHAnsi" w:hAnsi="RN House Sans Regular" w:cs="ArialMT"/>
          <w:sz w:val="22"/>
          <w:szCs w:val="22"/>
          <w:lang w:eastAsia="en-US"/>
        </w:rPr>
        <w:t>”.</w:t>
      </w:r>
      <w:r w:rsidR="00207839">
        <w:rPr>
          <w:rFonts w:ascii="RN House Sans Regular" w:eastAsiaTheme="minorHAnsi" w:hAnsi="RN House Sans Regular" w:cs="ArialMT"/>
          <w:sz w:val="22"/>
          <w:szCs w:val="22"/>
          <w:lang w:eastAsia="en-US"/>
        </w:rPr>
        <w:br/>
      </w:r>
    </w:p>
    <w:p w14:paraId="6B49A845" w14:textId="19765058" w:rsidR="001140FB" w:rsidRDefault="001140FB" w:rsidP="001140FB">
      <w:pPr>
        <w:autoSpaceDE w:val="0"/>
        <w:autoSpaceDN w:val="0"/>
        <w:adjustRightInd w:val="0"/>
        <w:rPr>
          <w:rFonts w:ascii="RN House Sans Regular" w:eastAsiaTheme="minorHAnsi" w:hAnsi="RN House Sans Regular" w:cs="ArialMT"/>
          <w:sz w:val="22"/>
          <w:szCs w:val="22"/>
          <w:lang w:eastAsia="en-US"/>
        </w:rPr>
      </w:pPr>
      <w:r w:rsidRPr="001140FB">
        <w:rPr>
          <w:rFonts w:ascii="RN House Sans Regular" w:eastAsiaTheme="minorHAnsi" w:hAnsi="RN House Sans Regular" w:cs="ArialMT"/>
          <w:sz w:val="22"/>
          <w:szCs w:val="22"/>
          <w:lang w:eastAsia="en-US"/>
        </w:rPr>
        <w:t>This authority to amend the Directed Buyback Contract shall expire at the conclusion of the next</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annual general meeting of the Company, or at the close of business on 30 June 2023 (whichever is</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earlier).</w:t>
      </w:r>
    </w:p>
    <w:p w14:paraId="6AF4EC40" w14:textId="77777777" w:rsidR="00207839" w:rsidRPr="001140FB" w:rsidRDefault="00207839" w:rsidP="001140FB">
      <w:pPr>
        <w:autoSpaceDE w:val="0"/>
        <w:autoSpaceDN w:val="0"/>
        <w:adjustRightInd w:val="0"/>
        <w:rPr>
          <w:rFonts w:ascii="RN House Sans Regular" w:eastAsiaTheme="minorHAnsi" w:hAnsi="RN House Sans Regular" w:cs="ArialMT"/>
          <w:sz w:val="22"/>
          <w:szCs w:val="22"/>
          <w:lang w:eastAsia="en-US"/>
        </w:rPr>
      </w:pPr>
    </w:p>
    <w:p w14:paraId="03C95F93" w14:textId="09351042" w:rsidR="001140FB" w:rsidRPr="001140FB" w:rsidRDefault="00AB6A30" w:rsidP="001140FB">
      <w:pPr>
        <w:autoSpaceDE w:val="0"/>
        <w:autoSpaceDN w:val="0"/>
        <w:adjustRightInd w:val="0"/>
        <w:rPr>
          <w:rFonts w:ascii="RN House Sans Regular" w:eastAsiaTheme="minorHAnsi" w:hAnsi="RN House Sans Regular" w:cs="Arial-BoldMT"/>
          <w:b/>
          <w:bCs/>
          <w:sz w:val="22"/>
          <w:szCs w:val="22"/>
          <w:lang w:eastAsia="en-US"/>
        </w:rPr>
      </w:pPr>
      <w:r>
        <w:rPr>
          <w:rFonts w:ascii="RN House Sans Regular" w:eastAsiaTheme="minorHAnsi" w:hAnsi="RN House Sans Regular" w:cs="Arial-BoldMT"/>
          <w:b/>
          <w:bCs/>
          <w:sz w:val="22"/>
          <w:szCs w:val="22"/>
          <w:lang w:eastAsia="en-US"/>
        </w:rPr>
        <w:t xml:space="preserve">Special </w:t>
      </w:r>
      <w:r w:rsidR="001140FB" w:rsidRPr="001140FB">
        <w:rPr>
          <w:rFonts w:ascii="RN House Sans Regular" w:eastAsiaTheme="minorHAnsi" w:hAnsi="RN House Sans Regular" w:cs="Arial-BoldMT"/>
          <w:b/>
          <w:bCs/>
          <w:sz w:val="22"/>
          <w:szCs w:val="22"/>
          <w:lang w:eastAsia="en-US"/>
        </w:rPr>
        <w:t>Resolution 8</w:t>
      </w:r>
      <w:r w:rsidR="003943F8">
        <w:rPr>
          <w:rFonts w:ascii="RN House Sans Regular" w:eastAsiaTheme="minorHAnsi" w:hAnsi="RN House Sans Regular" w:cs="Arial-BoldMT"/>
          <w:b/>
          <w:bCs/>
          <w:sz w:val="22"/>
          <w:szCs w:val="22"/>
          <w:lang w:eastAsia="en-US"/>
        </w:rPr>
        <w:br/>
      </w:r>
    </w:p>
    <w:p w14:paraId="4C5033A6" w14:textId="79A17351" w:rsidR="00067E02" w:rsidRPr="001140FB" w:rsidRDefault="001140FB" w:rsidP="00207839">
      <w:pPr>
        <w:autoSpaceDE w:val="0"/>
        <w:autoSpaceDN w:val="0"/>
        <w:adjustRightInd w:val="0"/>
        <w:rPr>
          <w:rFonts w:ascii="RN House Sans Regular" w:hAnsi="RN House Sans Regular" w:cs="Arial"/>
          <w:sz w:val="22"/>
          <w:szCs w:val="22"/>
        </w:rPr>
      </w:pPr>
      <w:r w:rsidRPr="001140FB">
        <w:rPr>
          <w:rFonts w:ascii="RN House Sans Regular" w:eastAsiaTheme="minorHAnsi" w:hAnsi="RN House Sans Regular" w:cs="Arial-BoldMT"/>
          <w:b/>
          <w:bCs/>
          <w:sz w:val="22"/>
          <w:szCs w:val="22"/>
          <w:lang w:eastAsia="en-US"/>
        </w:rPr>
        <w:t xml:space="preserve">That, </w:t>
      </w:r>
      <w:r w:rsidRPr="001140FB">
        <w:rPr>
          <w:rFonts w:ascii="RN House Sans Regular" w:eastAsiaTheme="minorHAnsi" w:hAnsi="RN House Sans Regular" w:cs="ArialMT"/>
          <w:sz w:val="22"/>
          <w:szCs w:val="22"/>
          <w:lang w:eastAsia="en-US"/>
        </w:rPr>
        <w:t>subject to and conditional upon the passing of resolutions 1 and 2 and the Class Meeting</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Resolution and Admission, the articles of association of the Company produced to the meeting and</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signed/initialled by the Chairman of the meeting for the purposes of identification be adopted as the</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new articles of association of the Company (the “</w:t>
      </w:r>
      <w:r w:rsidRPr="001140FB">
        <w:rPr>
          <w:rFonts w:ascii="RN House Sans Regular" w:eastAsiaTheme="minorHAnsi" w:hAnsi="RN House Sans Regular" w:cs="Arial-BoldMT"/>
          <w:b/>
          <w:bCs/>
          <w:sz w:val="22"/>
          <w:szCs w:val="22"/>
          <w:lang w:eastAsia="en-US"/>
        </w:rPr>
        <w:t>New Articles</w:t>
      </w:r>
      <w:r w:rsidRPr="001140FB">
        <w:rPr>
          <w:rFonts w:ascii="RN House Sans Regular" w:eastAsiaTheme="minorHAnsi" w:hAnsi="RN House Sans Regular" w:cs="ArialMT"/>
          <w:sz w:val="22"/>
          <w:szCs w:val="22"/>
          <w:lang w:eastAsia="en-US"/>
        </w:rPr>
        <w:t>”) in substitution for, and to the</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exclusion of, the current articles of association which were approved by special resolution passed at</w:t>
      </w:r>
      <w:r w:rsidR="00207839">
        <w:rPr>
          <w:rFonts w:ascii="RN House Sans Regular" w:eastAsiaTheme="minorHAnsi" w:hAnsi="RN House Sans Regular" w:cs="ArialMT"/>
          <w:sz w:val="22"/>
          <w:szCs w:val="22"/>
          <w:lang w:eastAsia="en-US"/>
        </w:rPr>
        <w:t xml:space="preserve"> </w:t>
      </w:r>
      <w:r w:rsidRPr="001140FB">
        <w:rPr>
          <w:rFonts w:ascii="RN House Sans Regular" w:eastAsiaTheme="minorHAnsi" w:hAnsi="RN House Sans Regular" w:cs="ArialMT"/>
          <w:sz w:val="22"/>
          <w:szCs w:val="22"/>
          <w:lang w:eastAsia="en-US"/>
        </w:rPr>
        <w:t>the general meeting of the Company on 28 April 2022 (the “</w:t>
      </w:r>
      <w:r w:rsidRPr="001140FB">
        <w:rPr>
          <w:rFonts w:ascii="RN House Sans Regular" w:eastAsiaTheme="minorHAnsi" w:hAnsi="RN House Sans Regular" w:cs="Arial-BoldMT"/>
          <w:b/>
          <w:bCs/>
          <w:sz w:val="22"/>
          <w:szCs w:val="22"/>
          <w:lang w:eastAsia="en-US"/>
        </w:rPr>
        <w:t>Articles</w:t>
      </w:r>
      <w:r w:rsidRPr="001140FB">
        <w:rPr>
          <w:rFonts w:ascii="RN House Sans Regular" w:eastAsiaTheme="minorHAnsi" w:hAnsi="RN House Sans Regular" w:cs="ArialMT"/>
          <w:sz w:val="22"/>
          <w:szCs w:val="22"/>
          <w:lang w:eastAsia="en-US"/>
        </w:rPr>
        <w:t>”).</w:t>
      </w:r>
    </w:p>
    <w:p w14:paraId="68670568" w14:textId="77777777" w:rsidR="00A30F20" w:rsidRPr="001140FB" w:rsidRDefault="00A30F20" w:rsidP="00730EA1">
      <w:pPr>
        <w:jc w:val="both"/>
        <w:rPr>
          <w:rFonts w:ascii="RN House Sans Regular" w:hAnsi="RN House Sans Regular" w:cs="Arial"/>
          <w:sz w:val="22"/>
          <w:szCs w:val="22"/>
        </w:rPr>
      </w:pPr>
    </w:p>
    <w:sectPr w:rsidR="00A30F20" w:rsidRPr="001140F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84418" w14:textId="77777777" w:rsidR="003A101A" w:rsidRDefault="003A101A" w:rsidP="003A101A">
      <w:r>
        <w:separator/>
      </w:r>
    </w:p>
  </w:endnote>
  <w:endnote w:type="continuationSeparator" w:id="0">
    <w:p w14:paraId="3A0446A3" w14:textId="77777777" w:rsidR="003A101A" w:rsidRDefault="003A101A" w:rsidP="003A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N House Sans Regular">
    <w:panose1 w:val="020B0504020203020204"/>
    <w:charset w:val="00"/>
    <w:family w:val="swiss"/>
    <w:pitch w:val="variable"/>
    <w:sig w:usb0="A0000003" w:usb1="00000002" w:usb2="00000000" w:usb3="00000000" w:csb0="00000101" w:csb1="00000000"/>
  </w:font>
  <w:font w:name="Arial">
    <w:panose1 w:val="020B0604020202020204"/>
    <w:charset w:val="00"/>
    <w:family w:val="swiss"/>
    <w:pitch w:val="variable"/>
    <w:sig w:usb0="E0002EFF" w:usb1="C0007843"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163177"/>
      <w:docPartObj>
        <w:docPartGallery w:val="Page Numbers (Bottom of Page)"/>
        <w:docPartUnique/>
      </w:docPartObj>
    </w:sdtPr>
    <w:sdtEndPr>
      <w:rPr>
        <w:rFonts w:ascii="Arial" w:hAnsi="Arial" w:cs="Arial"/>
        <w:noProof/>
        <w:sz w:val="20"/>
        <w:szCs w:val="20"/>
      </w:rPr>
    </w:sdtEndPr>
    <w:sdtContent>
      <w:p w14:paraId="6BCA647F" w14:textId="77777777" w:rsidR="003A101A" w:rsidRPr="003A101A" w:rsidRDefault="003A101A">
        <w:pPr>
          <w:pStyle w:val="Footer"/>
          <w:jc w:val="center"/>
          <w:rPr>
            <w:rFonts w:ascii="Arial" w:hAnsi="Arial" w:cs="Arial"/>
            <w:sz w:val="20"/>
            <w:szCs w:val="20"/>
          </w:rPr>
        </w:pPr>
        <w:r w:rsidRPr="003A101A">
          <w:rPr>
            <w:rFonts w:ascii="Arial" w:hAnsi="Arial" w:cs="Arial"/>
            <w:sz w:val="20"/>
            <w:szCs w:val="20"/>
          </w:rPr>
          <w:fldChar w:fldCharType="begin"/>
        </w:r>
        <w:r w:rsidRPr="003A101A">
          <w:rPr>
            <w:rFonts w:ascii="Arial" w:hAnsi="Arial" w:cs="Arial"/>
            <w:sz w:val="20"/>
            <w:szCs w:val="20"/>
          </w:rPr>
          <w:instrText xml:space="preserve"> PAGE   \* MERGEFORMAT </w:instrText>
        </w:r>
        <w:r w:rsidRPr="003A101A">
          <w:rPr>
            <w:rFonts w:ascii="Arial" w:hAnsi="Arial" w:cs="Arial"/>
            <w:sz w:val="20"/>
            <w:szCs w:val="20"/>
          </w:rPr>
          <w:fldChar w:fldCharType="separate"/>
        </w:r>
        <w:r w:rsidR="003C2DF0">
          <w:rPr>
            <w:rFonts w:ascii="Arial" w:hAnsi="Arial" w:cs="Arial"/>
            <w:noProof/>
            <w:sz w:val="20"/>
            <w:szCs w:val="20"/>
          </w:rPr>
          <w:t>4</w:t>
        </w:r>
        <w:r w:rsidRPr="003A101A">
          <w:rPr>
            <w:rFonts w:ascii="Arial" w:hAnsi="Arial" w:cs="Arial"/>
            <w:noProof/>
            <w:sz w:val="20"/>
            <w:szCs w:val="20"/>
          </w:rPr>
          <w:fldChar w:fldCharType="end"/>
        </w:r>
      </w:p>
    </w:sdtContent>
  </w:sdt>
  <w:p w14:paraId="4E7E3BBF" w14:textId="77777777" w:rsidR="003A101A" w:rsidRDefault="003A1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EF9BB" w14:textId="77777777" w:rsidR="003A101A" w:rsidRDefault="003A101A" w:rsidP="003A101A">
      <w:r>
        <w:separator/>
      </w:r>
    </w:p>
  </w:footnote>
  <w:footnote w:type="continuationSeparator" w:id="0">
    <w:p w14:paraId="08FFB700" w14:textId="77777777" w:rsidR="003A101A" w:rsidRDefault="003A101A" w:rsidP="003A1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9F57" w14:textId="77777777" w:rsidR="006C5544" w:rsidRPr="00CB008F" w:rsidRDefault="006C5544" w:rsidP="009E6D7E">
    <w:pPr>
      <w:jc w:val="right"/>
      <w:outlineLvl w:val="0"/>
      <w:rPr>
        <w:rFonts w:ascii="RN House Sans Regular" w:hAnsi="RN House Sans Regular" w:cs="Arial"/>
        <w:color w:val="000000"/>
        <w:sz w:val="22"/>
        <w:szCs w:val="22"/>
      </w:rPr>
    </w:pPr>
    <w:r w:rsidRPr="00CB008F">
      <w:rPr>
        <w:rFonts w:ascii="RN House Sans Regular" w:hAnsi="RN House Sans Regular" w:cs="Arial"/>
        <w:color w:val="000000"/>
        <w:sz w:val="22"/>
        <w:szCs w:val="22"/>
      </w:rPr>
      <w:t>Registered Number SC045551</w:t>
    </w:r>
  </w:p>
  <w:p w14:paraId="7A2DC05E" w14:textId="77777777" w:rsidR="006C5544" w:rsidRDefault="006C5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0A4"/>
    <w:multiLevelType w:val="hybridMultilevel"/>
    <w:tmpl w:val="CCE05C3C"/>
    <w:lvl w:ilvl="0" w:tplc="FFFFFFFF">
      <w:start w:val="1"/>
      <w:numFmt w:val="lowerLetter"/>
      <w:lvlText w:val="(%1)"/>
      <w:lvlJc w:val="left"/>
      <w:pPr>
        <w:tabs>
          <w:tab w:val="num" w:pos="855"/>
        </w:tabs>
        <w:ind w:left="855" w:hanging="360"/>
      </w:pPr>
      <w:rPr>
        <w:rFonts w:hint="default"/>
      </w:rPr>
    </w:lvl>
    <w:lvl w:ilvl="1" w:tplc="FFFFFFFF" w:tentative="1">
      <w:start w:val="1"/>
      <w:numFmt w:val="lowerLetter"/>
      <w:lvlText w:val="%2."/>
      <w:lvlJc w:val="left"/>
      <w:pPr>
        <w:tabs>
          <w:tab w:val="num" w:pos="1575"/>
        </w:tabs>
        <w:ind w:left="1575" w:hanging="360"/>
      </w:pPr>
    </w:lvl>
    <w:lvl w:ilvl="2" w:tplc="FFFFFFFF" w:tentative="1">
      <w:start w:val="1"/>
      <w:numFmt w:val="lowerRoman"/>
      <w:lvlText w:val="%3."/>
      <w:lvlJc w:val="right"/>
      <w:pPr>
        <w:tabs>
          <w:tab w:val="num" w:pos="2295"/>
        </w:tabs>
        <w:ind w:left="2295" w:hanging="180"/>
      </w:pPr>
    </w:lvl>
    <w:lvl w:ilvl="3" w:tplc="FFFFFFFF" w:tentative="1">
      <w:start w:val="1"/>
      <w:numFmt w:val="decimal"/>
      <w:lvlText w:val="%4."/>
      <w:lvlJc w:val="left"/>
      <w:pPr>
        <w:tabs>
          <w:tab w:val="num" w:pos="3015"/>
        </w:tabs>
        <w:ind w:left="3015" w:hanging="360"/>
      </w:pPr>
    </w:lvl>
    <w:lvl w:ilvl="4" w:tplc="FFFFFFFF" w:tentative="1">
      <w:start w:val="1"/>
      <w:numFmt w:val="lowerLetter"/>
      <w:lvlText w:val="%5."/>
      <w:lvlJc w:val="left"/>
      <w:pPr>
        <w:tabs>
          <w:tab w:val="num" w:pos="3735"/>
        </w:tabs>
        <w:ind w:left="3735" w:hanging="360"/>
      </w:pPr>
    </w:lvl>
    <w:lvl w:ilvl="5" w:tplc="FFFFFFFF" w:tentative="1">
      <w:start w:val="1"/>
      <w:numFmt w:val="lowerRoman"/>
      <w:lvlText w:val="%6."/>
      <w:lvlJc w:val="right"/>
      <w:pPr>
        <w:tabs>
          <w:tab w:val="num" w:pos="4455"/>
        </w:tabs>
        <w:ind w:left="4455" w:hanging="180"/>
      </w:pPr>
    </w:lvl>
    <w:lvl w:ilvl="6" w:tplc="FFFFFFFF" w:tentative="1">
      <w:start w:val="1"/>
      <w:numFmt w:val="decimal"/>
      <w:lvlText w:val="%7."/>
      <w:lvlJc w:val="left"/>
      <w:pPr>
        <w:tabs>
          <w:tab w:val="num" w:pos="5175"/>
        </w:tabs>
        <w:ind w:left="5175" w:hanging="360"/>
      </w:pPr>
    </w:lvl>
    <w:lvl w:ilvl="7" w:tplc="FFFFFFFF" w:tentative="1">
      <w:start w:val="1"/>
      <w:numFmt w:val="lowerLetter"/>
      <w:lvlText w:val="%8."/>
      <w:lvlJc w:val="left"/>
      <w:pPr>
        <w:tabs>
          <w:tab w:val="num" w:pos="5895"/>
        </w:tabs>
        <w:ind w:left="5895" w:hanging="360"/>
      </w:pPr>
    </w:lvl>
    <w:lvl w:ilvl="8" w:tplc="FFFFFFFF" w:tentative="1">
      <w:start w:val="1"/>
      <w:numFmt w:val="lowerRoman"/>
      <w:lvlText w:val="%9."/>
      <w:lvlJc w:val="right"/>
      <w:pPr>
        <w:tabs>
          <w:tab w:val="num" w:pos="6615"/>
        </w:tabs>
        <w:ind w:left="6615" w:hanging="180"/>
      </w:pPr>
    </w:lvl>
  </w:abstractNum>
  <w:abstractNum w:abstractNumId="1" w15:restartNumberingAfterBreak="0">
    <w:nsid w:val="0E076167"/>
    <w:multiLevelType w:val="hybridMultilevel"/>
    <w:tmpl w:val="F2868EA8"/>
    <w:lvl w:ilvl="0" w:tplc="E8B4C0B4">
      <w:start w:val="1"/>
      <w:numFmt w:val="lowerRoman"/>
      <w:lvlText w:val="(%1)"/>
      <w:lvlJc w:val="left"/>
      <w:pPr>
        <w:ind w:left="1080" w:hanging="720"/>
      </w:pPr>
      <w:rPr>
        <w:rFonts w:hint="default"/>
      </w:rPr>
    </w:lvl>
    <w:lvl w:ilvl="1" w:tplc="3D6229C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6C0E60"/>
    <w:multiLevelType w:val="hybridMultilevel"/>
    <w:tmpl w:val="8536105E"/>
    <w:lvl w:ilvl="0" w:tplc="FFFFFFFF">
      <w:start w:val="1"/>
      <w:numFmt w:val="lowerRoman"/>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2697305B"/>
    <w:multiLevelType w:val="hybridMultilevel"/>
    <w:tmpl w:val="176CD4E2"/>
    <w:lvl w:ilvl="0" w:tplc="3E40A532">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44787CB3"/>
    <w:multiLevelType w:val="hybridMultilevel"/>
    <w:tmpl w:val="959023D4"/>
    <w:lvl w:ilvl="0" w:tplc="9AE4A53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83442A4"/>
    <w:multiLevelType w:val="hybridMultilevel"/>
    <w:tmpl w:val="C24A14E4"/>
    <w:lvl w:ilvl="0" w:tplc="28165F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B2074C"/>
    <w:multiLevelType w:val="hybridMultilevel"/>
    <w:tmpl w:val="717E5426"/>
    <w:lvl w:ilvl="0" w:tplc="9E361F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711CE2"/>
    <w:multiLevelType w:val="hybridMultilevel"/>
    <w:tmpl w:val="8FC04AA8"/>
    <w:lvl w:ilvl="0" w:tplc="08BC7D54">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9C12FF"/>
    <w:multiLevelType w:val="hybridMultilevel"/>
    <w:tmpl w:val="C694B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E862E7"/>
    <w:multiLevelType w:val="hybridMultilevel"/>
    <w:tmpl w:val="C22A52EA"/>
    <w:lvl w:ilvl="0" w:tplc="6378734C">
      <w:start w:val="1"/>
      <w:numFmt w:val="lowerRoman"/>
      <w:lvlText w:val="(%1)"/>
      <w:lvlJc w:val="left"/>
      <w:pPr>
        <w:tabs>
          <w:tab w:val="num" w:pos="1620"/>
        </w:tabs>
        <w:ind w:left="1620" w:hanging="72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10" w15:restartNumberingAfterBreak="0">
    <w:nsid w:val="6C6643B9"/>
    <w:multiLevelType w:val="hybridMultilevel"/>
    <w:tmpl w:val="8536105E"/>
    <w:lvl w:ilvl="0" w:tplc="0D8C220E">
      <w:start w:val="1"/>
      <w:numFmt w:val="lowerRoman"/>
      <w:lvlText w:val="(%1)"/>
      <w:lvlJc w:val="left"/>
      <w:pPr>
        <w:tabs>
          <w:tab w:val="num" w:pos="1440"/>
        </w:tabs>
        <w:ind w:left="1440" w:hanging="720"/>
      </w:pPr>
      <w:rPr>
        <w:rFonts w:hint="default"/>
      </w:rPr>
    </w:lvl>
    <w:lvl w:ilvl="1" w:tplc="E8325FEC" w:tentative="1">
      <w:start w:val="1"/>
      <w:numFmt w:val="lowerLetter"/>
      <w:lvlText w:val="%2."/>
      <w:lvlJc w:val="left"/>
      <w:pPr>
        <w:tabs>
          <w:tab w:val="num" w:pos="1800"/>
        </w:tabs>
        <w:ind w:left="1800" w:hanging="360"/>
      </w:pPr>
    </w:lvl>
    <w:lvl w:ilvl="2" w:tplc="4464FCD4" w:tentative="1">
      <w:start w:val="1"/>
      <w:numFmt w:val="lowerRoman"/>
      <w:lvlText w:val="%3."/>
      <w:lvlJc w:val="right"/>
      <w:pPr>
        <w:tabs>
          <w:tab w:val="num" w:pos="2520"/>
        </w:tabs>
        <w:ind w:left="2520" w:hanging="180"/>
      </w:pPr>
    </w:lvl>
    <w:lvl w:ilvl="3" w:tplc="138663B4" w:tentative="1">
      <w:start w:val="1"/>
      <w:numFmt w:val="decimal"/>
      <w:lvlText w:val="%4."/>
      <w:lvlJc w:val="left"/>
      <w:pPr>
        <w:tabs>
          <w:tab w:val="num" w:pos="3240"/>
        </w:tabs>
        <w:ind w:left="3240" w:hanging="360"/>
      </w:pPr>
    </w:lvl>
    <w:lvl w:ilvl="4" w:tplc="5888BF9C" w:tentative="1">
      <w:start w:val="1"/>
      <w:numFmt w:val="lowerLetter"/>
      <w:lvlText w:val="%5."/>
      <w:lvlJc w:val="left"/>
      <w:pPr>
        <w:tabs>
          <w:tab w:val="num" w:pos="3960"/>
        </w:tabs>
        <w:ind w:left="3960" w:hanging="360"/>
      </w:pPr>
    </w:lvl>
    <w:lvl w:ilvl="5" w:tplc="659CA66C" w:tentative="1">
      <w:start w:val="1"/>
      <w:numFmt w:val="lowerRoman"/>
      <w:lvlText w:val="%6."/>
      <w:lvlJc w:val="right"/>
      <w:pPr>
        <w:tabs>
          <w:tab w:val="num" w:pos="4680"/>
        </w:tabs>
        <w:ind w:left="4680" w:hanging="180"/>
      </w:pPr>
    </w:lvl>
    <w:lvl w:ilvl="6" w:tplc="0F081E82" w:tentative="1">
      <w:start w:val="1"/>
      <w:numFmt w:val="decimal"/>
      <w:lvlText w:val="%7."/>
      <w:lvlJc w:val="left"/>
      <w:pPr>
        <w:tabs>
          <w:tab w:val="num" w:pos="5400"/>
        </w:tabs>
        <w:ind w:left="5400" w:hanging="360"/>
      </w:pPr>
    </w:lvl>
    <w:lvl w:ilvl="7" w:tplc="BC84C51C" w:tentative="1">
      <w:start w:val="1"/>
      <w:numFmt w:val="lowerLetter"/>
      <w:lvlText w:val="%8."/>
      <w:lvlJc w:val="left"/>
      <w:pPr>
        <w:tabs>
          <w:tab w:val="num" w:pos="6120"/>
        </w:tabs>
        <w:ind w:left="6120" w:hanging="360"/>
      </w:pPr>
    </w:lvl>
    <w:lvl w:ilvl="8" w:tplc="57C8F69A" w:tentative="1">
      <w:start w:val="1"/>
      <w:numFmt w:val="lowerRoman"/>
      <w:lvlText w:val="%9."/>
      <w:lvlJc w:val="right"/>
      <w:pPr>
        <w:tabs>
          <w:tab w:val="num" w:pos="6840"/>
        </w:tabs>
        <w:ind w:left="6840" w:hanging="180"/>
      </w:pPr>
    </w:lvl>
  </w:abstractNum>
  <w:abstractNum w:abstractNumId="11" w15:restartNumberingAfterBreak="0">
    <w:nsid w:val="75FB64A6"/>
    <w:multiLevelType w:val="hybridMultilevel"/>
    <w:tmpl w:val="01CA2316"/>
    <w:lvl w:ilvl="0" w:tplc="39D4DC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724ED1"/>
    <w:multiLevelType w:val="hybridMultilevel"/>
    <w:tmpl w:val="ED30FCB6"/>
    <w:lvl w:ilvl="0" w:tplc="E8B4C0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9"/>
  </w:num>
  <w:num w:numId="4">
    <w:abstractNumId w:val="2"/>
  </w:num>
  <w:num w:numId="5">
    <w:abstractNumId w:val="0"/>
  </w:num>
  <w:num w:numId="6">
    <w:abstractNumId w:val="10"/>
  </w:num>
  <w:num w:numId="7">
    <w:abstractNumId w:val="8"/>
  </w:num>
  <w:num w:numId="8">
    <w:abstractNumId w:val="11"/>
  </w:num>
  <w:num w:numId="9">
    <w:abstractNumId w:val="6"/>
  </w:num>
  <w:num w:numId="10">
    <w:abstractNumId w:val="5"/>
  </w:num>
  <w:num w:numId="11">
    <w:abstractNumId w:val="7"/>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F20"/>
    <w:rsid w:val="00025790"/>
    <w:rsid w:val="00035E83"/>
    <w:rsid w:val="00067E02"/>
    <w:rsid w:val="0008026B"/>
    <w:rsid w:val="000B6801"/>
    <w:rsid w:val="000C42B7"/>
    <w:rsid w:val="001140FB"/>
    <w:rsid w:val="00203E1F"/>
    <w:rsid w:val="00205F27"/>
    <w:rsid w:val="00207839"/>
    <w:rsid w:val="00263D3D"/>
    <w:rsid w:val="00341E60"/>
    <w:rsid w:val="003943F8"/>
    <w:rsid w:val="003A101A"/>
    <w:rsid w:val="003C2DF0"/>
    <w:rsid w:val="003E6C35"/>
    <w:rsid w:val="00403E6A"/>
    <w:rsid w:val="005D1B78"/>
    <w:rsid w:val="005D7744"/>
    <w:rsid w:val="006001C0"/>
    <w:rsid w:val="00634186"/>
    <w:rsid w:val="006928E9"/>
    <w:rsid w:val="006C5544"/>
    <w:rsid w:val="006D5FCF"/>
    <w:rsid w:val="007069DF"/>
    <w:rsid w:val="00710E8E"/>
    <w:rsid w:val="00713478"/>
    <w:rsid w:val="00730EA1"/>
    <w:rsid w:val="007374F4"/>
    <w:rsid w:val="00762191"/>
    <w:rsid w:val="007666F9"/>
    <w:rsid w:val="007A23CA"/>
    <w:rsid w:val="007F5516"/>
    <w:rsid w:val="007F7F2E"/>
    <w:rsid w:val="00835E32"/>
    <w:rsid w:val="008757E9"/>
    <w:rsid w:val="00995914"/>
    <w:rsid w:val="009E6D7E"/>
    <w:rsid w:val="00A039FD"/>
    <w:rsid w:val="00A04FF7"/>
    <w:rsid w:val="00A30F20"/>
    <w:rsid w:val="00AB6A30"/>
    <w:rsid w:val="00B73519"/>
    <w:rsid w:val="00B87566"/>
    <w:rsid w:val="00B92908"/>
    <w:rsid w:val="00B9555E"/>
    <w:rsid w:val="00C667EB"/>
    <w:rsid w:val="00C66B69"/>
    <w:rsid w:val="00CB008F"/>
    <w:rsid w:val="00D330B5"/>
    <w:rsid w:val="00E20EDC"/>
    <w:rsid w:val="00E5481F"/>
    <w:rsid w:val="00E832A5"/>
    <w:rsid w:val="00E95CC1"/>
    <w:rsid w:val="00EC289B"/>
    <w:rsid w:val="00EC3A6D"/>
    <w:rsid w:val="00F0202B"/>
    <w:rsid w:val="00F45507"/>
    <w:rsid w:val="00FA2260"/>
    <w:rsid w:val="00FB5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BD4A"/>
  <w15:docId w15:val="{CF22356C-2DDC-46A7-AEE3-90704DC1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F20"/>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30F20"/>
    <w:rPr>
      <w:rFonts w:ascii="Tahoma" w:hAnsi="Tahoma" w:cs="Tahoma"/>
      <w:sz w:val="16"/>
      <w:szCs w:val="16"/>
    </w:rPr>
  </w:style>
  <w:style w:type="character" w:customStyle="1" w:styleId="BalloonTextChar">
    <w:name w:val="Balloon Text Char"/>
    <w:basedOn w:val="DefaultParagraphFont"/>
    <w:link w:val="BalloonText"/>
    <w:semiHidden/>
    <w:rsid w:val="00A30F20"/>
    <w:rPr>
      <w:rFonts w:ascii="Tahoma" w:eastAsia="MS Mincho" w:hAnsi="Tahoma" w:cs="Tahoma"/>
      <w:sz w:val="16"/>
      <w:szCs w:val="16"/>
      <w:lang w:eastAsia="ja-JP"/>
    </w:rPr>
  </w:style>
  <w:style w:type="paragraph" w:styleId="ListParagraph">
    <w:name w:val="List Paragraph"/>
    <w:basedOn w:val="Normal"/>
    <w:uiPriority w:val="34"/>
    <w:qFormat/>
    <w:rsid w:val="00730EA1"/>
    <w:pPr>
      <w:ind w:left="720"/>
      <w:contextualSpacing/>
    </w:pPr>
  </w:style>
  <w:style w:type="paragraph" w:styleId="Header">
    <w:name w:val="header"/>
    <w:basedOn w:val="Normal"/>
    <w:link w:val="HeaderChar"/>
    <w:uiPriority w:val="99"/>
    <w:unhideWhenUsed/>
    <w:rsid w:val="003A101A"/>
    <w:pPr>
      <w:tabs>
        <w:tab w:val="center" w:pos="4513"/>
        <w:tab w:val="right" w:pos="9026"/>
      </w:tabs>
    </w:pPr>
  </w:style>
  <w:style w:type="character" w:customStyle="1" w:styleId="HeaderChar">
    <w:name w:val="Header Char"/>
    <w:basedOn w:val="DefaultParagraphFont"/>
    <w:link w:val="Header"/>
    <w:uiPriority w:val="99"/>
    <w:rsid w:val="003A101A"/>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3A101A"/>
    <w:pPr>
      <w:tabs>
        <w:tab w:val="center" w:pos="4513"/>
        <w:tab w:val="right" w:pos="9026"/>
      </w:tabs>
    </w:pPr>
  </w:style>
  <w:style w:type="character" w:customStyle="1" w:styleId="FooterChar">
    <w:name w:val="Footer Char"/>
    <w:basedOn w:val="DefaultParagraphFont"/>
    <w:link w:val="Footer"/>
    <w:uiPriority w:val="99"/>
    <w:rsid w:val="003A101A"/>
    <w:rPr>
      <w:rFonts w:ascii="Times New Roman" w:eastAsia="MS Mincho" w:hAnsi="Times New Roman" w:cs="Times New Roman"/>
      <w:sz w:val="24"/>
      <w:szCs w:val="24"/>
      <w:lang w:eastAsia="ja-JP"/>
    </w:rPr>
  </w:style>
  <w:style w:type="character" w:styleId="Hyperlink">
    <w:name w:val="Hyperlink"/>
    <w:basedOn w:val="DefaultParagraphFont"/>
    <w:uiPriority w:val="99"/>
    <w:unhideWhenUsed/>
    <w:rsid w:val="00207839"/>
    <w:rPr>
      <w:color w:val="0000FF" w:themeColor="hyperlink"/>
      <w:u w:val="single"/>
    </w:rPr>
  </w:style>
  <w:style w:type="character" w:styleId="UnresolvedMention">
    <w:name w:val="Unresolved Mention"/>
    <w:basedOn w:val="DefaultParagraphFont"/>
    <w:uiPriority w:val="99"/>
    <w:semiHidden/>
    <w:unhideWhenUsed/>
    <w:rsid w:val="00207839"/>
    <w:rPr>
      <w:color w:val="605E5C"/>
      <w:shd w:val="clear" w:color="auto" w:fill="E1DFDD"/>
    </w:rPr>
  </w:style>
  <w:style w:type="paragraph" w:styleId="NormalWeb">
    <w:name w:val="Normal (Web)"/>
    <w:basedOn w:val="Normal"/>
    <w:uiPriority w:val="99"/>
    <w:unhideWhenUsed/>
    <w:rsid w:val="003E6C35"/>
    <w:pPr>
      <w:spacing w:before="100" w:beforeAutospacing="1" w:after="100" w:afterAutospacing="1"/>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32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haregif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95107-F879-4FAF-A517-EF4CE6520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6</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birreee</dc:creator>
  <cp:lastModifiedBy>Addison, Yvonne (Legal, Governance &amp; Regulatory Affairs)</cp:lastModifiedBy>
  <cp:revision>35</cp:revision>
  <cp:lastPrinted>2020-04-29T12:00:00Z</cp:lastPrinted>
  <dcterms:created xsi:type="dcterms:W3CDTF">2020-04-17T14:00:00Z</dcterms:created>
  <dcterms:modified xsi:type="dcterms:W3CDTF">2022-08-25T17:44:00Z</dcterms:modified>
</cp:coreProperties>
</file>