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B031" w14:textId="00C3BFC6" w:rsidR="00D813E4" w:rsidRDefault="00D813E4" w:rsidP="00D813E4">
      <w:pPr>
        <w:spacing w:before="10"/>
        <w:jc w:val="center"/>
        <w:rPr>
          <w:rFonts w:ascii="Times New Roman" w:eastAsia="Times New Roman" w:hAnsi="Times New Roman" w:cs="Times New Roman"/>
          <w:sz w:val="6"/>
          <w:szCs w:val="6"/>
        </w:rPr>
      </w:pPr>
      <w:r>
        <w:rPr>
          <w:b/>
          <w:noProof/>
          <w:lang w:eastAsia="zh-CN" w:bidi="he-IL"/>
        </w:rPr>
        <w:drawing>
          <wp:inline distT="0" distB="0" distL="0" distR="0" wp14:anchorId="59BAA4A2" wp14:editId="19FFAE05">
            <wp:extent cx="80962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1066800"/>
                    </a:xfrm>
                    <a:prstGeom prst="rect">
                      <a:avLst/>
                    </a:prstGeom>
                    <a:noFill/>
                    <a:ln>
                      <a:noFill/>
                    </a:ln>
                  </pic:spPr>
                </pic:pic>
              </a:graphicData>
            </a:graphic>
          </wp:inline>
        </w:drawing>
      </w:r>
      <w:r>
        <w:rPr>
          <w:rFonts w:ascii="Times New Roman" w:eastAsia="Times New Roman" w:hAnsi="Times New Roman" w:cs="Times New Roman"/>
          <w:sz w:val="6"/>
          <w:szCs w:val="6"/>
        </w:rPr>
        <w:t>,</w:t>
      </w:r>
    </w:p>
    <w:p w14:paraId="145643BC" w14:textId="77777777" w:rsidR="00D813E4" w:rsidRDefault="00D813E4" w:rsidP="00D813E4">
      <w:pPr>
        <w:spacing w:line="200" w:lineRule="atLeast"/>
        <w:ind w:left="9181"/>
        <w:rPr>
          <w:rFonts w:ascii="Times New Roman" w:eastAsia="Times New Roman" w:hAnsi="Times New Roman" w:cs="Times New Roman"/>
          <w:sz w:val="20"/>
          <w:szCs w:val="20"/>
          <w:lang w:val="en-US"/>
        </w:rPr>
      </w:pPr>
    </w:p>
    <w:p w14:paraId="4C714768" w14:textId="77777777" w:rsidR="00D813E4" w:rsidRDefault="00D813E4" w:rsidP="00D813E4">
      <w:pPr>
        <w:spacing w:before="6"/>
        <w:rPr>
          <w:rFonts w:ascii="Arial" w:eastAsia="Arial" w:hAnsi="Arial" w:cs="Arial"/>
          <w:sz w:val="14"/>
          <w:szCs w:val="14"/>
        </w:rPr>
      </w:pPr>
    </w:p>
    <w:p w14:paraId="30CD3EE4" w14:textId="0B1ED321" w:rsidR="00D813E4" w:rsidRDefault="00D813E4" w:rsidP="00D813E4">
      <w:pPr>
        <w:pStyle w:val="BodyText"/>
        <w:spacing w:before="71"/>
        <w:ind w:left="0" w:right="380"/>
        <w:jc w:val="right"/>
      </w:pPr>
      <w:r>
        <w:rPr>
          <w:noProof/>
          <w:lang w:eastAsia="zh-TW"/>
        </w:rPr>
        <w:t>August 1</w:t>
      </w:r>
      <w:r w:rsidR="00DF2A0D">
        <w:rPr>
          <w:noProof/>
          <w:lang w:eastAsia="zh-TW"/>
        </w:rPr>
        <w:t>2</w:t>
      </w:r>
      <w:r>
        <w:t>,</w:t>
      </w:r>
      <w:r>
        <w:rPr>
          <w:spacing w:val="-8"/>
        </w:rPr>
        <w:t xml:space="preserve"> </w:t>
      </w:r>
      <w:r>
        <w:t>2022</w:t>
      </w:r>
    </w:p>
    <w:p w14:paraId="4CF29010" w14:textId="77777777" w:rsidR="00D813E4" w:rsidRDefault="00D813E4" w:rsidP="00D813E4">
      <w:pPr>
        <w:spacing w:line="300" w:lineRule="exact"/>
        <w:rPr>
          <w:rFonts w:ascii="Arial" w:hAnsi="Arial" w:cs="Arial"/>
          <w:b/>
          <w:bCs/>
          <w:caps/>
          <w:sz w:val="28"/>
          <w:szCs w:val="28"/>
        </w:rPr>
      </w:pPr>
    </w:p>
    <w:p w14:paraId="108D8A7C" w14:textId="096AC46B" w:rsidR="00D813E4" w:rsidRDefault="00D813E4" w:rsidP="00D813E4">
      <w:pPr>
        <w:ind w:left="90" w:right="284"/>
        <w:rPr>
          <w:rFonts w:ascii="Arial" w:hAnsi="Arial" w:cs="Arial"/>
          <w:b/>
          <w:bCs/>
          <w:caps/>
          <w:sz w:val="28"/>
          <w:szCs w:val="28"/>
        </w:rPr>
      </w:pPr>
      <w:r w:rsidRPr="007C1B85">
        <w:rPr>
          <w:rFonts w:ascii="Arial"/>
          <w:b/>
          <w:spacing w:val="-1"/>
          <w:sz w:val="28"/>
        </w:rPr>
        <w:t xml:space="preserve">NATWEST GROUP PLC AND NATWEST MARKETS N.V. </w:t>
      </w:r>
      <w:r w:rsidRPr="007C1B85">
        <w:rPr>
          <w:rFonts w:ascii="Arial"/>
          <w:b/>
          <w:spacing w:val="-1"/>
          <w:sz w:val="28"/>
        </w:rPr>
        <w:t>–</w:t>
      </w:r>
      <w:r w:rsidRPr="007C1B85">
        <w:rPr>
          <w:rFonts w:ascii="Arial"/>
          <w:b/>
          <w:spacing w:val="-1"/>
          <w:sz w:val="28"/>
        </w:rPr>
        <w:t xml:space="preserve"> </w:t>
      </w:r>
      <w:r w:rsidR="000D3AEB">
        <w:rPr>
          <w:rFonts w:ascii="Arial"/>
          <w:b/>
          <w:spacing w:val="-1"/>
          <w:sz w:val="28"/>
        </w:rPr>
        <w:t>CONFIRMATION OF</w:t>
      </w:r>
      <w:r w:rsidR="00A07F0B">
        <w:rPr>
          <w:rFonts w:ascii="Arial"/>
          <w:b/>
          <w:spacing w:val="-1"/>
          <w:sz w:val="28"/>
        </w:rPr>
        <w:t xml:space="preserve"> THE </w:t>
      </w:r>
      <w:r w:rsidRPr="007C1B85">
        <w:rPr>
          <w:rFonts w:ascii="Arial"/>
          <w:b/>
          <w:spacing w:val="-1"/>
          <w:sz w:val="28"/>
        </w:rPr>
        <w:t xml:space="preserve">FINANCIAL IMPACT OF SEPARATE </w:t>
      </w:r>
      <w:r w:rsidRPr="007C1B85">
        <w:rPr>
          <w:rFonts w:ascii="Arial"/>
          <w:b/>
          <w:spacing w:val="-12"/>
          <w:sz w:val="28"/>
        </w:rPr>
        <w:t xml:space="preserve">CASH </w:t>
      </w:r>
      <w:r w:rsidRPr="007C1B85">
        <w:rPr>
          <w:rFonts w:ascii="Arial"/>
          <w:b/>
          <w:spacing w:val="-1"/>
          <w:sz w:val="28"/>
        </w:rPr>
        <w:t>TENDER</w:t>
      </w:r>
      <w:r w:rsidRPr="007C1B85">
        <w:rPr>
          <w:rFonts w:ascii="Arial"/>
          <w:b/>
          <w:spacing w:val="-11"/>
          <w:sz w:val="28"/>
        </w:rPr>
        <w:t xml:space="preserve"> </w:t>
      </w:r>
      <w:r w:rsidRPr="007C1B85">
        <w:rPr>
          <w:rFonts w:ascii="Arial"/>
          <w:b/>
          <w:spacing w:val="-1"/>
          <w:sz w:val="28"/>
        </w:rPr>
        <w:t>OFFERS</w:t>
      </w:r>
      <w:r w:rsidRPr="007C1B85">
        <w:rPr>
          <w:rFonts w:ascii="Arial"/>
          <w:b/>
          <w:spacing w:val="-12"/>
          <w:sz w:val="28"/>
        </w:rPr>
        <w:t xml:space="preserve"> </w:t>
      </w:r>
      <w:r w:rsidRPr="007C1B85">
        <w:rPr>
          <w:rFonts w:ascii="Arial"/>
          <w:b/>
          <w:spacing w:val="-1"/>
          <w:sz w:val="28"/>
        </w:rPr>
        <w:t>FOR</w:t>
      </w:r>
      <w:r w:rsidRPr="007C1B85">
        <w:rPr>
          <w:rFonts w:ascii="Arial"/>
          <w:b/>
          <w:spacing w:val="-11"/>
          <w:sz w:val="28"/>
        </w:rPr>
        <w:t xml:space="preserve"> CERTAIN OF THEIR RESPECTIVE OUTSTANDING </w:t>
      </w:r>
      <w:r w:rsidRPr="007C1B85">
        <w:rPr>
          <w:rFonts w:ascii="Arial"/>
          <w:b/>
          <w:spacing w:val="-1"/>
          <w:sz w:val="28"/>
        </w:rPr>
        <w:t>NOTES</w:t>
      </w:r>
      <w:r w:rsidRPr="007C1B85">
        <w:rPr>
          <w:rFonts w:ascii="Arial" w:hAnsi="Arial" w:cs="Arial"/>
          <w:b/>
          <w:bCs/>
          <w:caps/>
          <w:sz w:val="28"/>
          <w:szCs w:val="28"/>
        </w:rPr>
        <w:t xml:space="preserve"> </w:t>
      </w:r>
    </w:p>
    <w:p w14:paraId="21067444" w14:textId="77777777" w:rsidR="00D813E4" w:rsidRDefault="00D813E4" w:rsidP="00D813E4">
      <w:pPr>
        <w:spacing w:line="300" w:lineRule="exact"/>
        <w:rPr>
          <w:rFonts w:ascii="Arial" w:hAnsi="Arial" w:cs="Arial"/>
          <w:b/>
          <w:bCs/>
          <w:caps/>
          <w:color w:val="00714E"/>
          <w:sz w:val="28"/>
          <w:szCs w:val="28"/>
        </w:rPr>
      </w:pPr>
    </w:p>
    <w:p w14:paraId="15993C92" w14:textId="77777777" w:rsidR="00086258" w:rsidRDefault="00086258" w:rsidP="00311378">
      <w:pPr>
        <w:jc w:val="both"/>
        <w:rPr>
          <w:rFonts w:ascii="Arial" w:hAnsi="Arial" w:cs="Arial"/>
        </w:rPr>
      </w:pPr>
    </w:p>
    <w:p w14:paraId="1FFBD508" w14:textId="748C90AF" w:rsidR="00DC361F" w:rsidRPr="00DC361F" w:rsidRDefault="00DC361F" w:rsidP="00DC361F">
      <w:pPr>
        <w:jc w:val="both"/>
        <w:rPr>
          <w:rFonts w:ascii="Arial" w:hAnsi="Arial" w:cs="Arial"/>
          <w:color w:val="000000"/>
        </w:rPr>
      </w:pPr>
      <w:r w:rsidRPr="00DC361F">
        <w:rPr>
          <w:rFonts w:ascii="Arial" w:hAnsi="Arial" w:cs="Arial"/>
          <w:color w:val="000000"/>
        </w:rPr>
        <w:t>The table below sets out the expected reduction in post-tax profits in the relevant reporting period of NatWest Group plc (on a consolidated and a solo legal entity basis) and NatWest Markets N.V. (“</w:t>
      </w:r>
      <w:r w:rsidRPr="00DC361F">
        <w:rPr>
          <w:rFonts w:ascii="Arial" w:hAnsi="Arial" w:cs="Arial"/>
          <w:b/>
          <w:bCs/>
          <w:color w:val="000000"/>
        </w:rPr>
        <w:t>NWM N.V.</w:t>
      </w:r>
      <w:r w:rsidRPr="00DC361F">
        <w:rPr>
          <w:rFonts w:ascii="Arial" w:hAnsi="Arial" w:cs="Arial"/>
          <w:color w:val="000000"/>
        </w:rPr>
        <w:t>”) following the repurchase of their respective U.S. dollar denominated notes. This follows our announcement released on 10 August 2022 at 6:18 pm under RNS No. 6282V.</w:t>
      </w:r>
    </w:p>
    <w:p w14:paraId="1B284703" w14:textId="77777777" w:rsidR="00DC361F" w:rsidRPr="00DC361F" w:rsidRDefault="00DC361F" w:rsidP="00DC361F">
      <w:pPr>
        <w:pStyle w:val="xmsonormal"/>
        <w:jc w:val="both"/>
        <w:rPr>
          <w:rFonts w:ascii="Arial" w:hAnsi="Arial" w:cs="Arial"/>
        </w:rPr>
      </w:pPr>
    </w:p>
    <w:tbl>
      <w:tblPr>
        <w:tblW w:w="9072" w:type="dxa"/>
        <w:tblInd w:w="-3" w:type="dxa"/>
        <w:tblCellMar>
          <w:left w:w="0" w:type="dxa"/>
          <w:right w:w="0" w:type="dxa"/>
        </w:tblCellMar>
        <w:tblLook w:val="04A0" w:firstRow="1" w:lastRow="0" w:firstColumn="1" w:lastColumn="0" w:noHBand="0" w:noVBand="1"/>
      </w:tblPr>
      <w:tblGrid>
        <w:gridCol w:w="2268"/>
        <w:gridCol w:w="2268"/>
        <w:gridCol w:w="2268"/>
        <w:gridCol w:w="2268"/>
      </w:tblGrid>
      <w:tr w:rsidR="00DC361F" w:rsidRPr="00DC361F" w14:paraId="12AEB434" w14:textId="77777777" w:rsidTr="00DC361F">
        <w:trPr>
          <w:trHeight w:val="300"/>
        </w:trPr>
        <w:tc>
          <w:tcPr>
            <w:tcW w:w="22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38ECEB" w14:textId="77777777" w:rsidR="00DC361F" w:rsidRPr="00DC361F" w:rsidRDefault="00DC361F">
            <w:pPr>
              <w:rPr>
                <w:rFonts w:ascii="Arial" w:hAnsi="Arial" w:cs="Arial"/>
                <w:color w:val="000000"/>
              </w:rPr>
            </w:pPr>
            <w:r w:rsidRPr="00DC361F">
              <w:rPr>
                <w:rFonts w:ascii="Arial" w:hAnsi="Arial" w:cs="Arial"/>
                <w:color w:val="000000"/>
              </w:rPr>
              <w:t> </w:t>
            </w:r>
          </w:p>
        </w:tc>
        <w:tc>
          <w:tcPr>
            <w:tcW w:w="22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9E5E15D" w14:textId="77777777" w:rsidR="00DC361F" w:rsidRPr="00DC361F" w:rsidRDefault="00DC361F">
            <w:pPr>
              <w:jc w:val="center"/>
              <w:rPr>
                <w:rFonts w:ascii="Arial" w:hAnsi="Arial" w:cs="Arial"/>
                <w:b/>
                <w:bCs/>
                <w:color w:val="000000"/>
              </w:rPr>
            </w:pPr>
            <w:r w:rsidRPr="00DC361F">
              <w:rPr>
                <w:rFonts w:ascii="Arial" w:hAnsi="Arial" w:cs="Arial"/>
                <w:b/>
                <w:bCs/>
                <w:color w:val="000000"/>
              </w:rPr>
              <w:t xml:space="preserve">NatWest Group </w:t>
            </w:r>
            <w:r w:rsidRPr="00DC361F">
              <w:rPr>
                <w:rFonts w:ascii="Arial" w:hAnsi="Arial" w:cs="Arial"/>
                <w:b/>
                <w:bCs/>
              </w:rPr>
              <w:t>plc (</w:t>
            </w:r>
            <w:r w:rsidRPr="00DC361F">
              <w:rPr>
                <w:rFonts w:ascii="Arial" w:hAnsi="Arial" w:cs="Arial"/>
                <w:b/>
                <w:bCs/>
                <w:color w:val="000000"/>
              </w:rPr>
              <w:t>consolidated</w:t>
            </w:r>
            <w:r w:rsidRPr="00DC361F">
              <w:rPr>
                <w:rFonts w:ascii="Arial" w:hAnsi="Arial" w:cs="Arial"/>
                <w:b/>
                <w:bCs/>
              </w:rPr>
              <w:t>)</w:t>
            </w:r>
          </w:p>
        </w:tc>
        <w:tc>
          <w:tcPr>
            <w:tcW w:w="22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3039F80" w14:textId="77777777" w:rsidR="00DC361F" w:rsidRPr="00DC361F" w:rsidRDefault="00DC361F">
            <w:pPr>
              <w:jc w:val="center"/>
              <w:rPr>
                <w:rFonts w:ascii="Arial" w:hAnsi="Arial" w:cs="Arial"/>
                <w:b/>
                <w:bCs/>
                <w:color w:val="000000"/>
              </w:rPr>
            </w:pPr>
            <w:r w:rsidRPr="00DC361F">
              <w:rPr>
                <w:rFonts w:ascii="Arial" w:hAnsi="Arial" w:cs="Arial"/>
                <w:b/>
                <w:bCs/>
                <w:color w:val="000000"/>
              </w:rPr>
              <w:t xml:space="preserve">NatWest Group </w:t>
            </w:r>
            <w:r w:rsidRPr="00DC361F">
              <w:rPr>
                <w:rFonts w:ascii="Arial" w:hAnsi="Arial" w:cs="Arial"/>
                <w:b/>
                <w:bCs/>
              </w:rPr>
              <w:t>plc (</w:t>
            </w:r>
            <w:r w:rsidRPr="00DC361F">
              <w:rPr>
                <w:rFonts w:ascii="Arial" w:hAnsi="Arial" w:cs="Arial"/>
                <w:b/>
                <w:bCs/>
                <w:color w:val="000000"/>
              </w:rPr>
              <w:t>solo</w:t>
            </w:r>
            <w:r w:rsidRPr="00DC361F">
              <w:rPr>
                <w:rFonts w:ascii="Arial" w:hAnsi="Arial" w:cs="Arial"/>
                <w:b/>
                <w:bCs/>
              </w:rPr>
              <w:t>)</w:t>
            </w:r>
          </w:p>
        </w:tc>
        <w:tc>
          <w:tcPr>
            <w:tcW w:w="22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379D712" w14:textId="77777777" w:rsidR="00DC361F" w:rsidRDefault="00DC361F">
            <w:pPr>
              <w:jc w:val="center"/>
              <w:rPr>
                <w:rFonts w:ascii="Arial" w:hAnsi="Arial" w:cs="Arial"/>
                <w:b/>
                <w:bCs/>
                <w:color w:val="000000"/>
              </w:rPr>
            </w:pPr>
            <w:r w:rsidRPr="00DC361F">
              <w:rPr>
                <w:rFonts w:ascii="Arial" w:hAnsi="Arial" w:cs="Arial"/>
                <w:b/>
                <w:bCs/>
                <w:color w:val="000000"/>
              </w:rPr>
              <w:t>NWM N.V.</w:t>
            </w:r>
          </w:p>
          <w:p w14:paraId="2D0ACEDD" w14:textId="5909AE8A" w:rsidR="00DC361F" w:rsidRPr="00DC361F" w:rsidRDefault="00DC361F">
            <w:pPr>
              <w:jc w:val="center"/>
              <w:rPr>
                <w:rFonts w:ascii="Arial" w:hAnsi="Arial" w:cs="Arial"/>
                <w:b/>
                <w:bCs/>
                <w:color w:val="000000"/>
              </w:rPr>
            </w:pPr>
          </w:p>
        </w:tc>
      </w:tr>
      <w:tr w:rsidR="00DC361F" w:rsidRPr="00DC361F" w14:paraId="681F9ABE" w14:textId="77777777" w:rsidTr="00DC361F">
        <w:trPr>
          <w:trHeight w:val="300"/>
        </w:trPr>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43E00B" w14:textId="0DA6F4CA" w:rsidR="00DC361F" w:rsidRPr="000F1241" w:rsidRDefault="00DC361F">
            <w:pPr>
              <w:rPr>
                <w:rFonts w:ascii="Arial" w:hAnsi="Arial" w:cs="Arial"/>
                <w:b/>
                <w:bCs/>
                <w:vertAlign w:val="superscript"/>
              </w:rPr>
            </w:pPr>
            <w:r w:rsidRPr="000F1241">
              <w:rPr>
                <w:rFonts w:ascii="Arial" w:hAnsi="Arial" w:cs="Arial"/>
                <w:b/>
                <w:bCs/>
                <w:color w:val="000000"/>
              </w:rPr>
              <w:t>Impact - Post tax gain / (loss)</w:t>
            </w:r>
            <w:r w:rsidRPr="000F1241">
              <w:rPr>
                <w:rFonts w:ascii="Arial" w:hAnsi="Arial" w:cs="Arial"/>
                <w:b/>
                <w:bCs/>
                <w:vertAlign w:val="superscript"/>
              </w:rPr>
              <w:t xml:space="preserve">1  </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89D980" w14:textId="77777777" w:rsidR="00DC361F" w:rsidRDefault="00DC361F">
            <w:pPr>
              <w:jc w:val="center"/>
              <w:rPr>
                <w:rFonts w:ascii="Arial" w:hAnsi="Arial" w:cs="Arial"/>
                <w:vertAlign w:val="superscript"/>
              </w:rPr>
            </w:pPr>
            <w:r w:rsidRPr="00DC361F">
              <w:rPr>
                <w:rFonts w:ascii="Arial" w:hAnsi="Arial" w:cs="Arial"/>
                <w:color w:val="000000"/>
              </w:rPr>
              <w:t>£(124m)</w:t>
            </w:r>
            <w:r w:rsidRPr="00DC361F">
              <w:rPr>
                <w:rFonts w:ascii="Arial" w:hAnsi="Arial" w:cs="Arial"/>
                <w:vertAlign w:val="superscript"/>
              </w:rPr>
              <w:t>2</w:t>
            </w:r>
          </w:p>
          <w:p w14:paraId="6DF6E5D4" w14:textId="4169B03C" w:rsidR="00DC361F" w:rsidRPr="00DC361F" w:rsidRDefault="00DC361F" w:rsidP="00DC361F">
            <w:pPr>
              <w:rPr>
                <w:rFonts w:ascii="Arial" w:hAnsi="Arial" w:cs="Arial"/>
                <w:color w:val="000000"/>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6AEC3D" w14:textId="77777777" w:rsidR="00DC361F" w:rsidRDefault="00DC361F">
            <w:pPr>
              <w:jc w:val="center"/>
              <w:rPr>
                <w:rFonts w:ascii="Arial" w:hAnsi="Arial" w:cs="Arial"/>
                <w:color w:val="000000"/>
              </w:rPr>
            </w:pPr>
            <w:r w:rsidRPr="00DC361F">
              <w:rPr>
                <w:rFonts w:ascii="Arial" w:hAnsi="Arial" w:cs="Arial"/>
                <w:color w:val="000000"/>
              </w:rPr>
              <w:t>£(55m)</w:t>
            </w:r>
          </w:p>
          <w:p w14:paraId="33DBDC12" w14:textId="07F58F98" w:rsidR="00DC361F" w:rsidRPr="00DC361F" w:rsidRDefault="00DC361F" w:rsidP="00DC361F">
            <w:pPr>
              <w:rPr>
                <w:rFonts w:ascii="Arial" w:hAnsi="Arial" w:cs="Arial"/>
                <w:color w:val="000000"/>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908AE8" w14:textId="77777777" w:rsidR="00DC361F" w:rsidRDefault="00DC361F">
            <w:pPr>
              <w:jc w:val="center"/>
              <w:rPr>
                <w:rFonts w:ascii="Arial" w:hAnsi="Arial" w:cs="Arial"/>
                <w:vertAlign w:val="superscript"/>
              </w:rPr>
            </w:pPr>
            <w:r w:rsidRPr="00DC361F">
              <w:rPr>
                <w:rFonts w:ascii="Arial" w:hAnsi="Arial" w:cs="Arial"/>
                <w:color w:val="000000"/>
              </w:rPr>
              <w:t>€(83m)</w:t>
            </w:r>
            <w:r w:rsidRPr="00DC361F">
              <w:rPr>
                <w:rFonts w:ascii="Arial" w:hAnsi="Arial" w:cs="Arial"/>
                <w:vertAlign w:val="superscript"/>
              </w:rPr>
              <w:t>3</w:t>
            </w:r>
          </w:p>
          <w:p w14:paraId="1496614E" w14:textId="162DDDCB" w:rsidR="00DC361F" w:rsidRPr="00DC361F" w:rsidRDefault="00DC361F" w:rsidP="00DC361F">
            <w:pPr>
              <w:rPr>
                <w:rFonts w:ascii="Arial" w:hAnsi="Arial" w:cs="Arial"/>
                <w:color w:val="000000"/>
              </w:rPr>
            </w:pPr>
          </w:p>
        </w:tc>
      </w:tr>
    </w:tbl>
    <w:p w14:paraId="1F8047B6" w14:textId="77777777" w:rsidR="00DC361F" w:rsidRPr="00DC361F" w:rsidRDefault="00DC361F" w:rsidP="00DC361F">
      <w:pPr>
        <w:pStyle w:val="xmsonormal"/>
        <w:jc w:val="both"/>
        <w:rPr>
          <w:rFonts w:ascii="Arial" w:hAnsi="Arial" w:cs="Arial"/>
        </w:rPr>
      </w:pPr>
    </w:p>
    <w:p w14:paraId="174BDF0C" w14:textId="5B8BDF2E" w:rsidR="00DC361F" w:rsidRPr="00DC361F" w:rsidRDefault="00DC361F" w:rsidP="00DC361F">
      <w:pPr>
        <w:pStyle w:val="xmsonormal"/>
        <w:numPr>
          <w:ilvl w:val="0"/>
          <w:numId w:val="1"/>
        </w:numPr>
        <w:jc w:val="both"/>
        <w:rPr>
          <w:rFonts w:ascii="Arial" w:eastAsia="Times New Roman" w:hAnsi="Arial" w:cs="Arial"/>
          <w:sz w:val="20"/>
          <w:szCs w:val="20"/>
        </w:rPr>
      </w:pPr>
      <w:r w:rsidRPr="00DC361F">
        <w:rPr>
          <w:rFonts w:ascii="Arial" w:eastAsia="Times New Roman" w:hAnsi="Arial" w:cs="Arial"/>
          <w:sz w:val="20"/>
          <w:szCs w:val="20"/>
          <w:lang w:eastAsia="en-US"/>
        </w:rPr>
        <w:t>Determined using the applicable f</w:t>
      </w:r>
      <w:r w:rsidRPr="00DC361F">
        <w:rPr>
          <w:rFonts w:ascii="Arial" w:eastAsia="Times New Roman" w:hAnsi="Arial" w:cs="Arial"/>
          <w:sz w:val="20"/>
          <w:szCs w:val="20"/>
        </w:rPr>
        <w:t xml:space="preserve">oreign exchange rates </w:t>
      </w:r>
      <w:r w:rsidR="006B4AD5">
        <w:rPr>
          <w:rFonts w:ascii="Arial" w:eastAsia="Times New Roman" w:hAnsi="Arial" w:cs="Arial"/>
          <w:sz w:val="20"/>
          <w:szCs w:val="20"/>
        </w:rPr>
        <w:t>on</w:t>
      </w:r>
      <w:r w:rsidRPr="00DC361F">
        <w:rPr>
          <w:rFonts w:ascii="Arial" w:eastAsia="Times New Roman" w:hAnsi="Arial" w:cs="Arial"/>
          <w:sz w:val="20"/>
          <w:szCs w:val="20"/>
        </w:rPr>
        <w:t xml:space="preserve"> August 10, 2022. </w:t>
      </w:r>
    </w:p>
    <w:p w14:paraId="54B87F3D" w14:textId="77777777" w:rsidR="00DC361F" w:rsidRPr="00DC361F" w:rsidRDefault="00DC361F" w:rsidP="00DC361F">
      <w:pPr>
        <w:pStyle w:val="xmsonormal"/>
        <w:ind w:left="360"/>
        <w:jc w:val="both"/>
        <w:rPr>
          <w:rFonts w:ascii="Arial" w:hAnsi="Arial" w:cs="Arial"/>
          <w:sz w:val="20"/>
          <w:szCs w:val="20"/>
        </w:rPr>
      </w:pPr>
    </w:p>
    <w:p w14:paraId="44F6239F" w14:textId="77777777" w:rsidR="00DC361F" w:rsidRPr="00DC361F" w:rsidRDefault="00DC361F" w:rsidP="00DC361F">
      <w:pPr>
        <w:pStyle w:val="xmsonormal"/>
        <w:numPr>
          <w:ilvl w:val="0"/>
          <w:numId w:val="1"/>
        </w:numPr>
        <w:jc w:val="both"/>
        <w:rPr>
          <w:rFonts w:ascii="Arial" w:eastAsia="Times New Roman" w:hAnsi="Arial" w:cs="Arial"/>
          <w:sz w:val="20"/>
          <w:szCs w:val="20"/>
        </w:rPr>
      </w:pPr>
      <w:r w:rsidRPr="00DC361F">
        <w:rPr>
          <w:rFonts w:ascii="Arial" w:eastAsia="Times New Roman" w:hAnsi="Arial" w:cs="Arial"/>
          <w:sz w:val="20"/>
          <w:szCs w:val="20"/>
        </w:rPr>
        <w:t>After taking into account the estimated effect of taxation, and based on risk weighted assets of £179.8 billion as reported for June 30, 2022, this would equate to a reduction in NatWest Group plc's (consolidated) CET1 capital ratio of approximately 7bps.</w:t>
      </w:r>
    </w:p>
    <w:p w14:paraId="31C16A26" w14:textId="77777777" w:rsidR="00DC361F" w:rsidRPr="00DC361F" w:rsidRDefault="00DC361F" w:rsidP="00DC361F">
      <w:pPr>
        <w:pStyle w:val="xmsonormal"/>
        <w:jc w:val="both"/>
        <w:rPr>
          <w:rFonts w:ascii="Arial" w:hAnsi="Arial" w:cs="Arial"/>
          <w:sz w:val="20"/>
          <w:szCs w:val="20"/>
        </w:rPr>
      </w:pPr>
    </w:p>
    <w:p w14:paraId="7CFB41D1" w14:textId="191CDDE6" w:rsidR="00DC361F" w:rsidRPr="00DC361F" w:rsidRDefault="00DC361F" w:rsidP="00DC361F">
      <w:pPr>
        <w:pStyle w:val="xmsonormal"/>
        <w:numPr>
          <w:ilvl w:val="0"/>
          <w:numId w:val="1"/>
        </w:numPr>
        <w:jc w:val="both"/>
        <w:rPr>
          <w:rFonts w:ascii="Arial" w:eastAsia="Times New Roman" w:hAnsi="Arial" w:cs="Arial"/>
          <w:sz w:val="20"/>
          <w:szCs w:val="20"/>
        </w:rPr>
      </w:pPr>
      <w:r w:rsidRPr="00DC361F">
        <w:rPr>
          <w:rFonts w:ascii="Arial" w:eastAsia="Times New Roman" w:hAnsi="Arial" w:cs="Arial"/>
          <w:sz w:val="20"/>
          <w:szCs w:val="20"/>
        </w:rPr>
        <w:t>After taking into account the estimated effect of taxation, and the effect of the unwinding of a related hedging transaction with NatWest Group plc (solo), NWM N.V. does not expect its repurchases to have a material impact on its CET1 capital ratio.</w:t>
      </w:r>
    </w:p>
    <w:p w14:paraId="4E18DF18" w14:textId="77777777" w:rsidR="00DC361F" w:rsidRPr="00DC361F" w:rsidRDefault="00DC361F" w:rsidP="00DC361F">
      <w:pPr>
        <w:pStyle w:val="ListParagraph"/>
        <w:rPr>
          <w:rFonts w:ascii="Arial" w:eastAsia="Times New Roman" w:hAnsi="Arial" w:cs="Arial"/>
          <w:highlight w:val="yellow"/>
        </w:rPr>
      </w:pPr>
    </w:p>
    <w:p w14:paraId="1F1AB491" w14:textId="61546032" w:rsidR="00122A1F" w:rsidRPr="00DC361F" w:rsidRDefault="00122A1F" w:rsidP="00DC361F">
      <w:pPr>
        <w:pStyle w:val="xmsonormal"/>
        <w:jc w:val="both"/>
        <w:rPr>
          <w:rFonts w:eastAsia="Times New Roman"/>
          <w:i/>
          <w:iCs/>
          <w:sz w:val="20"/>
          <w:szCs w:val="20"/>
        </w:rPr>
      </w:pPr>
      <w:r w:rsidRPr="00DC361F">
        <w:rPr>
          <w:rFonts w:ascii="Arial" w:eastAsia="Times New Roman" w:hAnsi="Arial" w:cs="Arial"/>
          <w:highlight w:val="yellow"/>
        </w:rPr>
        <w:t xml:space="preserve"> </w:t>
      </w:r>
    </w:p>
    <w:tbl>
      <w:tblPr>
        <w:tblW w:w="6806" w:type="dxa"/>
        <w:tblCellSpacing w:w="0" w:type="dxa"/>
        <w:tblCellMar>
          <w:left w:w="0" w:type="dxa"/>
          <w:right w:w="0" w:type="dxa"/>
        </w:tblCellMar>
        <w:tblLook w:val="04A0" w:firstRow="1" w:lastRow="0" w:firstColumn="1" w:lastColumn="0" w:noHBand="0" w:noVBand="1"/>
      </w:tblPr>
      <w:tblGrid>
        <w:gridCol w:w="3112"/>
        <w:gridCol w:w="3694"/>
      </w:tblGrid>
      <w:tr w:rsidR="00122A1F" w:rsidRPr="0003000D" w14:paraId="0C775F53" w14:textId="77777777" w:rsidTr="00A1373A">
        <w:trPr>
          <w:trHeight w:val="318"/>
          <w:tblCellSpacing w:w="0" w:type="dxa"/>
        </w:trPr>
        <w:tc>
          <w:tcPr>
            <w:tcW w:w="0" w:type="auto"/>
            <w:hideMark/>
          </w:tcPr>
          <w:p w14:paraId="242A5B31" w14:textId="77777777" w:rsidR="00837F09" w:rsidRDefault="00837F09" w:rsidP="00A1373A">
            <w:pPr>
              <w:spacing w:after="160" w:line="235" w:lineRule="atLeast"/>
              <w:rPr>
                <w:rFonts w:ascii="Arial" w:eastAsia="Times New Roman" w:hAnsi="Arial" w:cs="Arial"/>
                <w:b/>
                <w:bCs/>
                <w:color w:val="000000"/>
              </w:rPr>
            </w:pPr>
          </w:p>
          <w:p w14:paraId="21B51CE6" w14:textId="61E83446" w:rsidR="00122A1F" w:rsidRPr="0003000D" w:rsidRDefault="00122A1F" w:rsidP="00A1373A">
            <w:pPr>
              <w:spacing w:after="160" w:line="235" w:lineRule="atLeast"/>
              <w:rPr>
                <w:rFonts w:ascii="Arial" w:eastAsia="Times New Roman" w:hAnsi="Arial" w:cs="Arial"/>
                <w:b/>
                <w:bCs/>
                <w:color w:val="000000"/>
              </w:rPr>
            </w:pPr>
            <w:r w:rsidRPr="00E37702">
              <w:rPr>
                <w:rFonts w:ascii="Arial" w:eastAsia="Times New Roman" w:hAnsi="Arial" w:cs="Arial"/>
                <w:b/>
                <w:bCs/>
                <w:color w:val="000000"/>
              </w:rPr>
              <w:t>Legal Entity Identifiers</w:t>
            </w:r>
          </w:p>
        </w:tc>
        <w:tc>
          <w:tcPr>
            <w:tcW w:w="0" w:type="auto"/>
            <w:hideMark/>
          </w:tcPr>
          <w:p w14:paraId="3C22572E" w14:textId="77777777" w:rsidR="00122A1F" w:rsidRPr="0003000D" w:rsidRDefault="00122A1F" w:rsidP="00A1373A">
            <w:pPr>
              <w:spacing w:after="160" w:line="235" w:lineRule="atLeast"/>
              <w:rPr>
                <w:rFonts w:ascii="Arial" w:eastAsia="Times New Roman" w:hAnsi="Arial" w:cs="Arial"/>
                <w:color w:val="000000"/>
              </w:rPr>
            </w:pPr>
            <w:r w:rsidRPr="0003000D">
              <w:rPr>
                <w:rFonts w:ascii="Arial" w:eastAsia="Times New Roman" w:hAnsi="Arial" w:cs="Arial"/>
                <w:color w:val="000000"/>
              </w:rPr>
              <w:t> </w:t>
            </w:r>
          </w:p>
        </w:tc>
      </w:tr>
      <w:tr w:rsidR="00122A1F" w:rsidRPr="0003000D" w14:paraId="3BA342F8" w14:textId="77777777" w:rsidTr="00A1373A">
        <w:trPr>
          <w:trHeight w:val="284"/>
          <w:tblCellSpacing w:w="0" w:type="dxa"/>
        </w:trPr>
        <w:tc>
          <w:tcPr>
            <w:tcW w:w="0" w:type="auto"/>
            <w:hideMark/>
          </w:tcPr>
          <w:p w14:paraId="5A909DEF" w14:textId="77777777" w:rsidR="00122A1F" w:rsidRPr="0003000D" w:rsidRDefault="00122A1F" w:rsidP="00A1373A">
            <w:pPr>
              <w:spacing w:after="160" w:line="235" w:lineRule="atLeast"/>
              <w:rPr>
                <w:rFonts w:ascii="Arial" w:eastAsia="Times New Roman" w:hAnsi="Arial" w:cs="Arial"/>
                <w:color w:val="000000"/>
              </w:rPr>
            </w:pPr>
            <w:r w:rsidRPr="0003000D">
              <w:rPr>
                <w:rFonts w:ascii="Arial" w:eastAsia="Times New Roman" w:hAnsi="Arial" w:cs="Arial"/>
                <w:color w:val="000000"/>
              </w:rPr>
              <w:t>NatWest Group plc</w:t>
            </w:r>
          </w:p>
        </w:tc>
        <w:tc>
          <w:tcPr>
            <w:tcW w:w="0" w:type="auto"/>
            <w:hideMark/>
          </w:tcPr>
          <w:p w14:paraId="7907CF29" w14:textId="77777777" w:rsidR="00122A1F" w:rsidRPr="0003000D" w:rsidRDefault="00122A1F" w:rsidP="00A1373A">
            <w:pPr>
              <w:spacing w:after="160" w:line="235" w:lineRule="atLeast"/>
              <w:rPr>
                <w:rFonts w:ascii="Arial" w:eastAsia="Times New Roman" w:hAnsi="Arial" w:cs="Arial"/>
                <w:color w:val="000000"/>
              </w:rPr>
            </w:pPr>
            <w:r w:rsidRPr="0003000D">
              <w:rPr>
                <w:rFonts w:ascii="Arial" w:eastAsia="Times New Roman" w:hAnsi="Arial" w:cs="Arial"/>
                <w:color w:val="000000"/>
              </w:rPr>
              <w:t>2138005O9XJIJN4JPN90</w:t>
            </w:r>
          </w:p>
        </w:tc>
      </w:tr>
      <w:tr w:rsidR="00122A1F" w:rsidRPr="0003000D" w14:paraId="32028CCD" w14:textId="77777777" w:rsidTr="00A1373A">
        <w:trPr>
          <w:trHeight w:val="284"/>
          <w:tblCellSpacing w:w="0" w:type="dxa"/>
        </w:trPr>
        <w:tc>
          <w:tcPr>
            <w:tcW w:w="0" w:type="auto"/>
            <w:hideMark/>
          </w:tcPr>
          <w:p w14:paraId="014CED4E" w14:textId="77777777" w:rsidR="00122A1F" w:rsidRPr="0003000D" w:rsidRDefault="00122A1F" w:rsidP="00A1373A">
            <w:pPr>
              <w:spacing w:after="160" w:line="235" w:lineRule="atLeast"/>
              <w:rPr>
                <w:rFonts w:ascii="Arial" w:eastAsia="Times New Roman" w:hAnsi="Arial" w:cs="Arial"/>
                <w:color w:val="000000"/>
              </w:rPr>
            </w:pPr>
            <w:r w:rsidRPr="0003000D">
              <w:rPr>
                <w:rFonts w:ascii="Arial" w:eastAsia="Times New Roman" w:hAnsi="Arial" w:cs="Arial"/>
                <w:color w:val="000000"/>
              </w:rPr>
              <w:t>NatWest Markets N.V.</w:t>
            </w:r>
          </w:p>
        </w:tc>
        <w:tc>
          <w:tcPr>
            <w:tcW w:w="0" w:type="auto"/>
            <w:hideMark/>
          </w:tcPr>
          <w:p w14:paraId="7F386834" w14:textId="77777777" w:rsidR="00122A1F" w:rsidRPr="0003000D" w:rsidRDefault="00122A1F" w:rsidP="00A1373A">
            <w:pPr>
              <w:spacing w:after="160" w:line="235" w:lineRule="atLeast"/>
              <w:rPr>
                <w:rFonts w:ascii="Arial" w:eastAsia="Times New Roman" w:hAnsi="Arial" w:cs="Arial"/>
                <w:color w:val="000000"/>
              </w:rPr>
            </w:pPr>
            <w:r w:rsidRPr="0003000D">
              <w:rPr>
                <w:rFonts w:ascii="Arial" w:eastAsia="Times New Roman" w:hAnsi="Arial" w:cs="Arial"/>
                <w:color w:val="000000"/>
              </w:rPr>
              <w:t>X3CZP3CK64YBHON1LE12</w:t>
            </w:r>
          </w:p>
        </w:tc>
      </w:tr>
    </w:tbl>
    <w:p w14:paraId="3AA21342" w14:textId="77777777" w:rsidR="00122A1F" w:rsidRDefault="00122A1F" w:rsidP="00910FB0">
      <w:pPr>
        <w:jc w:val="both"/>
        <w:rPr>
          <w:rFonts w:ascii="Arial" w:hAnsi="Arial" w:cs="Arial"/>
          <w:b/>
          <w:bCs/>
          <w:sz w:val="20"/>
          <w:szCs w:val="20"/>
        </w:rPr>
      </w:pPr>
    </w:p>
    <w:p w14:paraId="68DB2FEE" w14:textId="77777777" w:rsidR="00122A1F" w:rsidRDefault="00122A1F" w:rsidP="00910FB0">
      <w:pPr>
        <w:jc w:val="both"/>
        <w:rPr>
          <w:rFonts w:ascii="Arial" w:hAnsi="Arial" w:cs="Arial"/>
          <w:b/>
          <w:bCs/>
          <w:sz w:val="20"/>
          <w:szCs w:val="20"/>
        </w:rPr>
      </w:pPr>
    </w:p>
    <w:p w14:paraId="1B8F7A6A" w14:textId="42F91659" w:rsidR="00910FB0" w:rsidRPr="00183B57" w:rsidRDefault="00910FB0" w:rsidP="00910FB0">
      <w:pPr>
        <w:jc w:val="both"/>
        <w:rPr>
          <w:rFonts w:ascii="Arial" w:hAnsi="Arial" w:cs="Arial"/>
          <w:b/>
          <w:bCs/>
          <w:sz w:val="20"/>
          <w:szCs w:val="20"/>
        </w:rPr>
      </w:pPr>
      <w:r w:rsidRPr="00183B57">
        <w:rPr>
          <w:rFonts w:ascii="Arial" w:hAnsi="Arial" w:cs="Arial"/>
          <w:b/>
          <w:bCs/>
          <w:sz w:val="20"/>
          <w:szCs w:val="20"/>
        </w:rPr>
        <w:t>FORWARD-LOOKING STATEMENTS</w:t>
      </w:r>
    </w:p>
    <w:p w14:paraId="6A57EF8D" w14:textId="77777777" w:rsidR="00910FB0" w:rsidRPr="00183B57" w:rsidRDefault="00910FB0" w:rsidP="00910FB0">
      <w:pPr>
        <w:jc w:val="both"/>
        <w:rPr>
          <w:rFonts w:ascii="Arial" w:hAnsi="Arial" w:cs="Arial"/>
          <w:sz w:val="20"/>
          <w:szCs w:val="20"/>
        </w:rPr>
      </w:pPr>
    </w:p>
    <w:p w14:paraId="66255071" w14:textId="6F51C2A1" w:rsidR="0086184E" w:rsidRPr="0086184E" w:rsidRDefault="00910FB0" w:rsidP="00910FB0">
      <w:pPr>
        <w:jc w:val="both"/>
        <w:rPr>
          <w:rFonts w:ascii="Arial" w:hAnsi="Arial" w:cs="Arial"/>
          <w:sz w:val="20"/>
          <w:szCs w:val="20"/>
        </w:rPr>
      </w:pPr>
      <w:r w:rsidRPr="0086184E">
        <w:rPr>
          <w:rFonts w:ascii="Arial" w:hAnsi="Arial" w:cs="Arial"/>
          <w:sz w:val="20"/>
          <w:szCs w:val="20"/>
        </w:rPr>
        <w:t xml:space="preserve">From time to time, </w:t>
      </w:r>
      <w:r w:rsidR="00956A60" w:rsidRPr="0086184E">
        <w:rPr>
          <w:rFonts w:ascii="Arial" w:hAnsi="Arial" w:cs="Arial"/>
          <w:sz w:val="20"/>
          <w:szCs w:val="20"/>
        </w:rPr>
        <w:t xml:space="preserve">NatWest Group </w:t>
      </w:r>
      <w:r w:rsidR="00DC361F">
        <w:rPr>
          <w:rFonts w:ascii="Arial" w:hAnsi="Arial" w:cs="Arial"/>
          <w:sz w:val="20"/>
          <w:szCs w:val="20"/>
        </w:rPr>
        <w:t>plc</w:t>
      </w:r>
      <w:r w:rsidR="00956A60" w:rsidRPr="0086184E">
        <w:rPr>
          <w:rFonts w:ascii="Arial" w:hAnsi="Arial" w:cs="Arial"/>
          <w:sz w:val="20"/>
          <w:szCs w:val="20"/>
        </w:rPr>
        <w:t xml:space="preserve"> and NWM N.V. (each</w:t>
      </w:r>
      <w:r w:rsidR="00532CF9">
        <w:rPr>
          <w:rFonts w:ascii="Arial" w:hAnsi="Arial" w:cs="Arial"/>
          <w:sz w:val="20"/>
          <w:szCs w:val="20"/>
        </w:rPr>
        <w:t>,</w:t>
      </w:r>
      <w:r w:rsidR="00956A60" w:rsidRPr="0086184E">
        <w:rPr>
          <w:rFonts w:ascii="Arial" w:hAnsi="Arial" w:cs="Arial"/>
          <w:sz w:val="20"/>
          <w:szCs w:val="20"/>
        </w:rPr>
        <w:t xml:space="preserve"> an “</w:t>
      </w:r>
      <w:r w:rsidR="00956A60" w:rsidRPr="0086184E">
        <w:rPr>
          <w:rFonts w:ascii="Arial" w:hAnsi="Arial" w:cs="Arial"/>
          <w:b/>
          <w:bCs/>
          <w:sz w:val="20"/>
          <w:szCs w:val="20"/>
        </w:rPr>
        <w:t>Offeror</w:t>
      </w:r>
      <w:r w:rsidR="00956A60" w:rsidRPr="0086184E">
        <w:rPr>
          <w:rFonts w:ascii="Arial" w:hAnsi="Arial" w:cs="Arial"/>
          <w:sz w:val="20"/>
          <w:szCs w:val="20"/>
        </w:rPr>
        <w:t>” and together, the “</w:t>
      </w:r>
      <w:r w:rsidR="00956A60" w:rsidRPr="0086184E">
        <w:rPr>
          <w:rFonts w:ascii="Arial" w:hAnsi="Arial" w:cs="Arial"/>
          <w:b/>
          <w:bCs/>
          <w:sz w:val="20"/>
          <w:szCs w:val="20"/>
        </w:rPr>
        <w:t>Offerors</w:t>
      </w:r>
      <w:r w:rsidR="00956A60" w:rsidRPr="0086184E">
        <w:rPr>
          <w:rFonts w:ascii="Arial" w:hAnsi="Arial" w:cs="Arial"/>
          <w:sz w:val="20"/>
          <w:szCs w:val="20"/>
        </w:rPr>
        <w:t xml:space="preserve">”) </w:t>
      </w:r>
      <w:r w:rsidRPr="0086184E">
        <w:rPr>
          <w:rFonts w:ascii="Arial" w:hAnsi="Arial" w:cs="Arial"/>
          <w:sz w:val="20"/>
          <w:szCs w:val="20"/>
        </w:rPr>
        <w:t xml:space="preserve">may make statements, both written and oral, regarding </w:t>
      </w:r>
      <w:r w:rsidR="008452D4">
        <w:rPr>
          <w:rFonts w:ascii="Arial" w:hAnsi="Arial" w:cs="Arial"/>
          <w:sz w:val="20"/>
          <w:szCs w:val="20"/>
        </w:rPr>
        <w:t>their</w:t>
      </w:r>
      <w:r w:rsidRPr="0086184E">
        <w:rPr>
          <w:rFonts w:ascii="Arial" w:hAnsi="Arial" w:cs="Arial"/>
          <w:sz w:val="20"/>
          <w:szCs w:val="20"/>
        </w:rPr>
        <w:t xml:space="preserve"> assumptions, projections, expectations, intentions or beliefs about future events.  These statements constitute “forward-looking statements”. The Offerors caution that these statements may and often do vary materially from actual results. Accordingly, the Offerors cannot assure you that actual results will not differ materially from those expressed or implied by the forward-looking statements. You should read the sections entitled “Risk </w:t>
      </w:r>
      <w:r w:rsidRPr="0086184E">
        <w:rPr>
          <w:rFonts w:ascii="Arial" w:hAnsi="Arial" w:cs="Arial"/>
          <w:sz w:val="20"/>
          <w:szCs w:val="20"/>
        </w:rPr>
        <w:lastRenderedPageBreak/>
        <w:t xml:space="preserve">Factors” </w:t>
      </w:r>
      <w:r w:rsidR="00597296" w:rsidRPr="0086184E">
        <w:rPr>
          <w:rFonts w:ascii="Arial" w:hAnsi="Arial" w:cs="Arial"/>
          <w:sz w:val="20"/>
          <w:szCs w:val="20"/>
        </w:rPr>
        <w:t xml:space="preserve">and </w:t>
      </w:r>
      <w:r w:rsidR="00597296">
        <w:rPr>
          <w:rFonts w:ascii="Arial" w:hAnsi="Arial" w:cs="Arial"/>
          <w:sz w:val="20"/>
          <w:szCs w:val="20"/>
        </w:rPr>
        <w:t xml:space="preserve">the </w:t>
      </w:r>
      <w:r w:rsidR="00597296" w:rsidRPr="0086184E">
        <w:rPr>
          <w:rFonts w:ascii="Arial" w:hAnsi="Arial" w:cs="Arial"/>
          <w:sz w:val="20"/>
          <w:szCs w:val="20"/>
        </w:rPr>
        <w:t>“Forward-Looking Statements”</w:t>
      </w:r>
      <w:r w:rsidR="00597296">
        <w:rPr>
          <w:rFonts w:ascii="Arial" w:hAnsi="Arial" w:cs="Arial"/>
          <w:sz w:val="20"/>
          <w:szCs w:val="20"/>
        </w:rPr>
        <w:t xml:space="preserve"> </w:t>
      </w:r>
      <w:r w:rsidRPr="0086184E">
        <w:rPr>
          <w:rFonts w:ascii="Arial" w:hAnsi="Arial" w:cs="Arial"/>
          <w:sz w:val="20"/>
          <w:szCs w:val="20"/>
        </w:rPr>
        <w:t xml:space="preserve">in the Annual Report and H1 2022 Interim Report of </w:t>
      </w:r>
      <w:r w:rsidR="00597296">
        <w:rPr>
          <w:rFonts w:ascii="Arial" w:hAnsi="Arial" w:cs="Arial"/>
          <w:sz w:val="20"/>
          <w:szCs w:val="20"/>
        </w:rPr>
        <w:t xml:space="preserve">each </w:t>
      </w:r>
      <w:r w:rsidRPr="0086184E">
        <w:rPr>
          <w:rFonts w:ascii="Arial" w:hAnsi="Arial" w:cs="Arial"/>
          <w:sz w:val="20"/>
          <w:szCs w:val="20"/>
        </w:rPr>
        <w:t xml:space="preserve"> Offeror</w:t>
      </w:r>
      <w:r w:rsidR="008452D4" w:rsidRPr="008452D4">
        <w:rPr>
          <w:rFonts w:ascii="Arial" w:hAnsi="Arial" w:cs="Arial"/>
          <w:sz w:val="20"/>
          <w:szCs w:val="20"/>
        </w:rPr>
        <w:t>.</w:t>
      </w:r>
    </w:p>
    <w:p w14:paraId="3DEA84B1" w14:textId="77777777" w:rsidR="00910FB0" w:rsidRPr="0086184E" w:rsidRDefault="00910FB0" w:rsidP="00910FB0">
      <w:pPr>
        <w:jc w:val="both"/>
        <w:rPr>
          <w:rFonts w:ascii="Arial" w:hAnsi="Arial" w:cs="Arial"/>
          <w:sz w:val="20"/>
          <w:szCs w:val="20"/>
        </w:rPr>
      </w:pPr>
    </w:p>
    <w:p w14:paraId="2F8EAE1A" w14:textId="506D4C03" w:rsidR="00D813E4" w:rsidRPr="00183B57" w:rsidRDefault="00910FB0" w:rsidP="00910FB0">
      <w:pPr>
        <w:jc w:val="both"/>
        <w:rPr>
          <w:rFonts w:ascii="Arial" w:hAnsi="Arial" w:cs="Arial"/>
          <w:sz w:val="20"/>
          <w:szCs w:val="20"/>
        </w:rPr>
      </w:pPr>
      <w:r w:rsidRPr="008452D4">
        <w:rPr>
          <w:rFonts w:ascii="Arial" w:hAnsi="Arial" w:cs="Arial"/>
          <w:sz w:val="20"/>
          <w:szCs w:val="20"/>
        </w:rPr>
        <w:t>Any forward-looking statements made in</w:t>
      </w:r>
      <w:bookmarkStart w:id="0" w:name="_cp_change_8"/>
      <w:r w:rsidR="006B4AD5">
        <w:rPr>
          <w:rFonts w:ascii="Arial" w:hAnsi="Arial" w:cs="Arial"/>
          <w:sz w:val="20"/>
          <w:szCs w:val="20"/>
        </w:rPr>
        <w:t xml:space="preserve"> this </w:t>
      </w:r>
      <w:r w:rsidR="00E82B43">
        <w:rPr>
          <w:rFonts w:ascii="Arial" w:hAnsi="Arial" w:cs="Arial"/>
          <w:sz w:val="20"/>
          <w:szCs w:val="20"/>
        </w:rPr>
        <w:t>announcement</w:t>
      </w:r>
      <w:r w:rsidRPr="008452D4">
        <w:rPr>
          <w:rFonts w:ascii="Arial" w:hAnsi="Arial" w:cs="Arial"/>
          <w:sz w:val="20"/>
          <w:szCs w:val="20"/>
        </w:rPr>
        <w:t xml:space="preserve">, including </w:t>
      </w:r>
      <w:r w:rsidRPr="00DC361F">
        <w:rPr>
          <w:rFonts w:ascii="Arial" w:hAnsi="Arial" w:cs="Arial"/>
          <w:sz w:val="20"/>
          <w:szCs w:val="20"/>
        </w:rPr>
        <w:t xml:space="preserve">in connection with the </w:t>
      </w:r>
      <w:r w:rsidR="00DC361F" w:rsidRPr="00DC361F">
        <w:rPr>
          <w:rFonts w:ascii="Arial" w:hAnsi="Arial" w:cs="Arial"/>
          <w:sz w:val="20"/>
          <w:szCs w:val="20"/>
        </w:rPr>
        <w:t>expected reduction in post-tax profits</w:t>
      </w:r>
      <w:r w:rsidRPr="00DC361F">
        <w:rPr>
          <w:rFonts w:ascii="Arial" w:hAnsi="Arial" w:cs="Arial"/>
          <w:sz w:val="20"/>
          <w:szCs w:val="20"/>
        </w:rPr>
        <w:t xml:space="preserve"> and CET1</w:t>
      </w:r>
      <w:r w:rsidR="000F1241">
        <w:rPr>
          <w:rFonts w:ascii="Arial" w:hAnsi="Arial" w:cs="Arial"/>
          <w:sz w:val="20"/>
          <w:szCs w:val="20"/>
        </w:rPr>
        <w:t xml:space="preserve"> capital</w:t>
      </w:r>
      <w:r w:rsidRPr="00DC361F">
        <w:rPr>
          <w:rFonts w:ascii="Arial" w:hAnsi="Arial" w:cs="Arial"/>
          <w:sz w:val="20"/>
          <w:szCs w:val="20"/>
        </w:rPr>
        <w:t xml:space="preserve"> ratio impact of each Offer</w:t>
      </w:r>
      <w:r w:rsidRPr="008452D4">
        <w:rPr>
          <w:rFonts w:ascii="Arial" w:hAnsi="Arial" w:cs="Arial"/>
          <w:sz w:val="20"/>
          <w:szCs w:val="20"/>
        </w:rPr>
        <w:t>,</w:t>
      </w:r>
      <w:bookmarkEnd w:id="0"/>
      <w:r w:rsidRPr="008452D4">
        <w:rPr>
          <w:rFonts w:ascii="Arial" w:hAnsi="Arial" w:cs="Arial"/>
          <w:sz w:val="20"/>
          <w:szCs w:val="20"/>
        </w:rPr>
        <w:t xml:space="preserve"> or in the documents incorporated by reference herein speak only as of the date they are made. Except as required by the U.K. Financial Conduct Authority (the “</w:t>
      </w:r>
      <w:r w:rsidRPr="008452D4">
        <w:rPr>
          <w:rFonts w:ascii="Arial" w:hAnsi="Arial" w:cs="Arial"/>
          <w:b/>
          <w:bCs/>
          <w:sz w:val="20"/>
          <w:szCs w:val="20"/>
        </w:rPr>
        <w:t>FCA</w:t>
      </w:r>
      <w:r w:rsidRPr="008452D4">
        <w:rPr>
          <w:rFonts w:ascii="Arial" w:hAnsi="Arial" w:cs="Arial"/>
          <w:sz w:val="20"/>
          <w:szCs w:val="20"/>
        </w:rPr>
        <w:t>”) or the Dutch Authority for the Financial Markets (the “</w:t>
      </w:r>
      <w:r w:rsidRPr="008452D4">
        <w:rPr>
          <w:rFonts w:ascii="Arial" w:hAnsi="Arial" w:cs="Arial"/>
          <w:b/>
          <w:bCs/>
          <w:sz w:val="20"/>
          <w:szCs w:val="20"/>
        </w:rPr>
        <w:t>AFM</w:t>
      </w:r>
      <w:r w:rsidRPr="008452D4">
        <w:rPr>
          <w:rFonts w:ascii="Arial" w:hAnsi="Arial" w:cs="Arial"/>
          <w:sz w:val="20"/>
          <w:szCs w:val="20"/>
        </w:rPr>
        <w:t xml:space="preserve">”), as applicable, any applicable stock exchange or any applicable law, the Offerors expressly disclaim any obligation or undertaking to release publicly any updates or revisions to any forward-looking statement contained in the relevant Offer to Purchase </w:t>
      </w:r>
      <w:r w:rsidR="0086184E" w:rsidRPr="008452D4">
        <w:rPr>
          <w:rFonts w:ascii="Arial" w:hAnsi="Arial" w:cs="Arial"/>
          <w:sz w:val="20"/>
          <w:szCs w:val="20"/>
        </w:rPr>
        <w:t xml:space="preserve">relating to each Offer </w:t>
      </w:r>
      <w:r w:rsidRPr="008452D4">
        <w:rPr>
          <w:rFonts w:ascii="Arial" w:hAnsi="Arial" w:cs="Arial"/>
          <w:sz w:val="20"/>
          <w:szCs w:val="20"/>
        </w:rPr>
        <w:t xml:space="preserve">or the documents incorporated by reference herein to reflect any changes in expectations with regard thereto or any new information or any changes in events, conditions or circumstances on which any such statement is based. The reader should, however, (i) with respect to NatWest Group </w:t>
      </w:r>
      <w:r w:rsidR="00DC361F">
        <w:rPr>
          <w:rFonts w:ascii="Arial" w:hAnsi="Arial" w:cs="Arial"/>
          <w:sz w:val="20"/>
          <w:szCs w:val="20"/>
        </w:rPr>
        <w:t>plc</w:t>
      </w:r>
      <w:r w:rsidR="0086184E" w:rsidRPr="008452D4">
        <w:rPr>
          <w:rFonts w:ascii="Arial" w:hAnsi="Arial" w:cs="Arial"/>
          <w:sz w:val="20"/>
          <w:szCs w:val="20"/>
        </w:rPr>
        <w:t xml:space="preserve"> </w:t>
      </w:r>
      <w:r w:rsidRPr="008452D4">
        <w:rPr>
          <w:rFonts w:ascii="Arial" w:hAnsi="Arial" w:cs="Arial"/>
          <w:sz w:val="20"/>
          <w:szCs w:val="20"/>
        </w:rPr>
        <w:t xml:space="preserve">consult any additional disclosures that NatWest Group </w:t>
      </w:r>
      <w:r w:rsidR="00DC361F">
        <w:rPr>
          <w:rFonts w:ascii="Arial" w:hAnsi="Arial" w:cs="Arial"/>
          <w:sz w:val="20"/>
          <w:szCs w:val="20"/>
        </w:rPr>
        <w:t>plc</w:t>
      </w:r>
      <w:r w:rsidR="00DC361F" w:rsidRPr="008452D4">
        <w:rPr>
          <w:rFonts w:ascii="Arial" w:hAnsi="Arial" w:cs="Arial"/>
          <w:sz w:val="20"/>
          <w:szCs w:val="20"/>
        </w:rPr>
        <w:t xml:space="preserve"> </w:t>
      </w:r>
      <w:r w:rsidRPr="008452D4">
        <w:rPr>
          <w:rFonts w:ascii="Arial" w:hAnsi="Arial" w:cs="Arial"/>
          <w:sz w:val="20"/>
          <w:szCs w:val="20"/>
        </w:rPr>
        <w:t xml:space="preserve">has made or may make in documents that NatWest Group </w:t>
      </w:r>
      <w:r w:rsidR="00DC361F">
        <w:rPr>
          <w:rFonts w:ascii="Arial" w:hAnsi="Arial" w:cs="Arial"/>
          <w:sz w:val="20"/>
          <w:szCs w:val="20"/>
        </w:rPr>
        <w:t>plc</w:t>
      </w:r>
      <w:r w:rsidR="0086184E" w:rsidRPr="008452D4">
        <w:rPr>
          <w:rFonts w:ascii="Arial" w:hAnsi="Arial" w:cs="Arial"/>
          <w:sz w:val="20"/>
          <w:szCs w:val="20"/>
        </w:rPr>
        <w:t xml:space="preserve"> </w:t>
      </w:r>
      <w:r w:rsidRPr="008452D4">
        <w:rPr>
          <w:rFonts w:ascii="Arial" w:hAnsi="Arial" w:cs="Arial"/>
          <w:sz w:val="20"/>
          <w:szCs w:val="20"/>
        </w:rPr>
        <w:t>has filed or may file with the U.S. Securities and Exchange Commission and (ii) with respect to NWM N.V. consult any additional disclosures that NWM N.V. has made or may make in documents that NWM N.V. has filed or may file with the AFM.</w:t>
      </w:r>
      <w:r w:rsidR="00D813E4" w:rsidRPr="00183B57">
        <w:rPr>
          <w:rFonts w:ascii="Arial" w:hAnsi="Arial" w:cs="Arial"/>
          <w:sz w:val="20"/>
          <w:szCs w:val="20"/>
        </w:rPr>
        <w:t> </w:t>
      </w:r>
    </w:p>
    <w:p w14:paraId="71056098" w14:textId="104F6F24" w:rsidR="00D813E4" w:rsidRPr="00183B57" w:rsidRDefault="00815242" w:rsidP="00910FB0">
      <w:pPr>
        <w:jc w:val="both"/>
        <w:rPr>
          <w:rFonts w:ascii="Arial" w:hAnsi="Arial" w:cs="Arial"/>
          <w:sz w:val="20"/>
          <w:szCs w:val="20"/>
        </w:rPr>
      </w:pPr>
      <w:r>
        <w:rPr>
          <w:rFonts w:ascii="Arial" w:hAnsi="Arial" w:cs="Arial"/>
          <w:sz w:val="20"/>
          <w:szCs w:val="20"/>
        </w:rPr>
        <w:t xml:space="preserve"> </w:t>
      </w:r>
    </w:p>
    <w:p w14:paraId="68FAF673" w14:textId="77777777" w:rsidR="00D813E4" w:rsidRDefault="00D813E4" w:rsidP="00D813E4">
      <w:pPr>
        <w:rPr>
          <w:rFonts w:ascii="Arial" w:eastAsia="Arial" w:hAnsi="Arial" w:cs="Arial"/>
          <w:sz w:val="21"/>
          <w:szCs w:val="21"/>
          <w:lang w:val="en-US" w:eastAsia="en-US"/>
        </w:rPr>
      </w:pPr>
    </w:p>
    <w:p w14:paraId="08F0D63C" w14:textId="77777777" w:rsidR="00A7525C" w:rsidRPr="00D813E4" w:rsidRDefault="00A7525C" w:rsidP="00D813E4"/>
    <w:sectPr w:rsidR="00A7525C" w:rsidRPr="00D813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9198B"/>
    <w:multiLevelType w:val="hybridMultilevel"/>
    <w:tmpl w:val="77A2E2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15"/>
    <w:rsid w:val="0003000D"/>
    <w:rsid w:val="00086258"/>
    <w:rsid w:val="000971D4"/>
    <w:rsid w:val="000D3AEB"/>
    <w:rsid w:val="000E009F"/>
    <w:rsid w:val="000F1241"/>
    <w:rsid w:val="000F2DFB"/>
    <w:rsid w:val="00122A1F"/>
    <w:rsid w:val="0017614A"/>
    <w:rsid w:val="00183B57"/>
    <w:rsid w:val="00311378"/>
    <w:rsid w:val="00322225"/>
    <w:rsid w:val="004075B8"/>
    <w:rsid w:val="00532CF9"/>
    <w:rsid w:val="00557B29"/>
    <w:rsid w:val="00572515"/>
    <w:rsid w:val="00597296"/>
    <w:rsid w:val="0061200C"/>
    <w:rsid w:val="006B4AD5"/>
    <w:rsid w:val="00726BEE"/>
    <w:rsid w:val="0074350E"/>
    <w:rsid w:val="007707C2"/>
    <w:rsid w:val="007C1B85"/>
    <w:rsid w:val="00815242"/>
    <w:rsid w:val="00837F09"/>
    <w:rsid w:val="008452D4"/>
    <w:rsid w:val="0086184E"/>
    <w:rsid w:val="00910FB0"/>
    <w:rsid w:val="00956A60"/>
    <w:rsid w:val="009F5F81"/>
    <w:rsid w:val="00A07F0B"/>
    <w:rsid w:val="00A3193D"/>
    <w:rsid w:val="00A3670F"/>
    <w:rsid w:val="00A7525C"/>
    <w:rsid w:val="00AE5CE1"/>
    <w:rsid w:val="00B57005"/>
    <w:rsid w:val="00C321BE"/>
    <w:rsid w:val="00D813E4"/>
    <w:rsid w:val="00DC361F"/>
    <w:rsid w:val="00DC76B6"/>
    <w:rsid w:val="00DF2A0D"/>
    <w:rsid w:val="00E37702"/>
    <w:rsid w:val="00E82B43"/>
    <w:rsid w:val="00EB4252"/>
    <w:rsid w:val="00F102D2"/>
    <w:rsid w:val="00FA2586"/>
    <w:rsid w:val="00FD42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486C"/>
  <w15:chartTrackingRefBased/>
  <w15:docId w15:val="{2FAF98E4-9D6E-47EF-9B25-362A0D2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3E4"/>
    <w:pPr>
      <w:spacing w:after="0" w:line="240" w:lineRule="auto"/>
    </w:pPr>
    <w:rPr>
      <w:rFonts w:ascii="Calibri" w:hAnsi="Calibri" w:cs="Calibri"/>
      <w:lang w:eastAsia="en-GB"/>
    </w:rPr>
  </w:style>
  <w:style w:type="paragraph" w:styleId="Heading1">
    <w:name w:val="heading 1"/>
    <w:basedOn w:val="Normal"/>
    <w:link w:val="Heading1Char"/>
    <w:uiPriority w:val="1"/>
    <w:qFormat/>
    <w:rsid w:val="00D813E4"/>
    <w:pPr>
      <w:widowControl w:val="0"/>
      <w:ind w:left="100"/>
      <w:outlineLvl w:val="0"/>
    </w:pPr>
    <w:rPr>
      <w:rFonts w:ascii="Arial" w:eastAsia="Arial" w:hAnsi="Arial" w:cstheme="minorBidi"/>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13E4"/>
    <w:rPr>
      <w:rFonts w:ascii="Arial" w:eastAsia="Arial" w:hAnsi="Arial"/>
      <w:b/>
      <w:bCs/>
      <w:lang w:val="en-US"/>
    </w:rPr>
  </w:style>
  <w:style w:type="paragraph" w:styleId="BodyText">
    <w:name w:val="Body Text"/>
    <w:basedOn w:val="Normal"/>
    <w:link w:val="BodyTextChar"/>
    <w:uiPriority w:val="1"/>
    <w:semiHidden/>
    <w:unhideWhenUsed/>
    <w:qFormat/>
    <w:rsid w:val="00D813E4"/>
    <w:pPr>
      <w:widowControl w:val="0"/>
      <w:ind w:left="100"/>
    </w:pPr>
    <w:rPr>
      <w:rFonts w:ascii="Arial" w:eastAsia="Arial" w:hAnsi="Arial" w:cstheme="minorBidi"/>
      <w:lang w:val="en-US" w:eastAsia="en-US"/>
    </w:rPr>
  </w:style>
  <w:style w:type="character" w:customStyle="1" w:styleId="BodyTextChar">
    <w:name w:val="Body Text Char"/>
    <w:basedOn w:val="DefaultParagraphFont"/>
    <w:link w:val="BodyText"/>
    <w:uiPriority w:val="1"/>
    <w:semiHidden/>
    <w:rsid w:val="00D813E4"/>
    <w:rPr>
      <w:rFonts w:ascii="Arial" w:eastAsia="Arial" w:hAnsi="Arial"/>
      <w:lang w:val="en-US"/>
    </w:rPr>
  </w:style>
  <w:style w:type="paragraph" w:customStyle="1" w:styleId="xmsonormal">
    <w:name w:val="x_msonormal"/>
    <w:basedOn w:val="Normal"/>
    <w:rsid w:val="00E37702"/>
  </w:style>
  <w:style w:type="table" w:styleId="TableGrid">
    <w:name w:val="Table Grid"/>
    <w:basedOn w:val="TableNormal"/>
    <w:uiPriority w:val="39"/>
    <w:rsid w:val="0055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4595">
      <w:bodyDiv w:val="1"/>
      <w:marLeft w:val="0"/>
      <w:marRight w:val="0"/>
      <w:marTop w:val="0"/>
      <w:marBottom w:val="0"/>
      <w:divBdr>
        <w:top w:val="none" w:sz="0" w:space="0" w:color="auto"/>
        <w:left w:val="none" w:sz="0" w:space="0" w:color="auto"/>
        <w:bottom w:val="none" w:sz="0" w:space="0" w:color="auto"/>
        <w:right w:val="none" w:sz="0" w:space="0" w:color="auto"/>
      </w:divBdr>
    </w:div>
    <w:div w:id="184291407">
      <w:bodyDiv w:val="1"/>
      <w:marLeft w:val="0"/>
      <w:marRight w:val="0"/>
      <w:marTop w:val="0"/>
      <w:marBottom w:val="0"/>
      <w:divBdr>
        <w:top w:val="none" w:sz="0" w:space="0" w:color="auto"/>
        <w:left w:val="none" w:sz="0" w:space="0" w:color="auto"/>
        <w:bottom w:val="none" w:sz="0" w:space="0" w:color="auto"/>
        <w:right w:val="none" w:sz="0" w:space="0" w:color="auto"/>
      </w:divBdr>
    </w:div>
    <w:div w:id="211769008">
      <w:bodyDiv w:val="1"/>
      <w:marLeft w:val="0"/>
      <w:marRight w:val="0"/>
      <w:marTop w:val="0"/>
      <w:marBottom w:val="0"/>
      <w:divBdr>
        <w:top w:val="none" w:sz="0" w:space="0" w:color="auto"/>
        <w:left w:val="none" w:sz="0" w:space="0" w:color="auto"/>
        <w:bottom w:val="none" w:sz="0" w:space="0" w:color="auto"/>
        <w:right w:val="none" w:sz="0" w:space="0" w:color="auto"/>
      </w:divBdr>
    </w:div>
    <w:div w:id="261646099">
      <w:bodyDiv w:val="1"/>
      <w:marLeft w:val="0"/>
      <w:marRight w:val="0"/>
      <w:marTop w:val="0"/>
      <w:marBottom w:val="0"/>
      <w:divBdr>
        <w:top w:val="none" w:sz="0" w:space="0" w:color="auto"/>
        <w:left w:val="none" w:sz="0" w:space="0" w:color="auto"/>
        <w:bottom w:val="none" w:sz="0" w:space="0" w:color="auto"/>
        <w:right w:val="none" w:sz="0" w:space="0" w:color="auto"/>
      </w:divBdr>
    </w:div>
    <w:div w:id="288702205">
      <w:bodyDiv w:val="1"/>
      <w:marLeft w:val="0"/>
      <w:marRight w:val="0"/>
      <w:marTop w:val="0"/>
      <w:marBottom w:val="0"/>
      <w:divBdr>
        <w:top w:val="none" w:sz="0" w:space="0" w:color="auto"/>
        <w:left w:val="none" w:sz="0" w:space="0" w:color="auto"/>
        <w:bottom w:val="none" w:sz="0" w:space="0" w:color="auto"/>
        <w:right w:val="none" w:sz="0" w:space="0" w:color="auto"/>
      </w:divBdr>
    </w:div>
    <w:div w:id="424886240">
      <w:bodyDiv w:val="1"/>
      <w:marLeft w:val="0"/>
      <w:marRight w:val="0"/>
      <w:marTop w:val="0"/>
      <w:marBottom w:val="0"/>
      <w:divBdr>
        <w:top w:val="none" w:sz="0" w:space="0" w:color="auto"/>
        <w:left w:val="none" w:sz="0" w:space="0" w:color="auto"/>
        <w:bottom w:val="none" w:sz="0" w:space="0" w:color="auto"/>
        <w:right w:val="none" w:sz="0" w:space="0" w:color="auto"/>
      </w:divBdr>
    </w:div>
    <w:div w:id="548151596">
      <w:bodyDiv w:val="1"/>
      <w:marLeft w:val="0"/>
      <w:marRight w:val="0"/>
      <w:marTop w:val="0"/>
      <w:marBottom w:val="0"/>
      <w:divBdr>
        <w:top w:val="none" w:sz="0" w:space="0" w:color="auto"/>
        <w:left w:val="none" w:sz="0" w:space="0" w:color="auto"/>
        <w:bottom w:val="none" w:sz="0" w:space="0" w:color="auto"/>
        <w:right w:val="none" w:sz="0" w:space="0" w:color="auto"/>
      </w:divBdr>
    </w:div>
    <w:div w:id="916745215">
      <w:bodyDiv w:val="1"/>
      <w:marLeft w:val="0"/>
      <w:marRight w:val="0"/>
      <w:marTop w:val="0"/>
      <w:marBottom w:val="0"/>
      <w:divBdr>
        <w:top w:val="none" w:sz="0" w:space="0" w:color="auto"/>
        <w:left w:val="none" w:sz="0" w:space="0" w:color="auto"/>
        <w:bottom w:val="none" w:sz="0" w:space="0" w:color="auto"/>
        <w:right w:val="none" w:sz="0" w:space="0" w:color="auto"/>
      </w:divBdr>
    </w:div>
    <w:div w:id="1036082070">
      <w:bodyDiv w:val="1"/>
      <w:marLeft w:val="0"/>
      <w:marRight w:val="0"/>
      <w:marTop w:val="0"/>
      <w:marBottom w:val="0"/>
      <w:divBdr>
        <w:top w:val="none" w:sz="0" w:space="0" w:color="auto"/>
        <w:left w:val="none" w:sz="0" w:space="0" w:color="auto"/>
        <w:bottom w:val="none" w:sz="0" w:space="0" w:color="auto"/>
        <w:right w:val="none" w:sz="0" w:space="0" w:color="auto"/>
      </w:divBdr>
    </w:div>
    <w:div w:id="1083840001">
      <w:bodyDiv w:val="1"/>
      <w:marLeft w:val="0"/>
      <w:marRight w:val="0"/>
      <w:marTop w:val="0"/>
      <w:marBottom w:val="0"/>
      <w:divBdr>
        <w:top w:val="none" w:sz="0" w:space="0" w:color="auto"/>
        <w:left w:val="none" w:sz="0" w:space="0" w:color="auto"/>
        <w:bottom w:val="none" w:sz="0" w:space="0" w:color="auto"/>
        <w:right w:val="none" w:sz="0" w:space="0" w:color="auto"/>
      </w:divBdr>
    </w:div>
    <w:div w:id="1109853815">
      <w:bodyDiv w:val="1"/>
      <w:marLeft w:val="0"/>
      <w:marRight w:val="0"/>
      <w:marTop w:val="0"/>
      <w:marBottom w:val="0"/>
      <w:divBdr>
        <w:top w:val="none" w:sz="0" w:space="0" w:color="auto"/>
        <w:left w:val="none" w:sz="0" w:space="0" w:color="auto"/>
        <w:bottom w:val="none" w:sz="0" w:space="0" w:color="auto"/>
        <w:right w:val="none" w:sz="0" w:space="0" w:color="auto"/>
      </w:divBdr>
    </w:div>
    <w:div w:id="1632437875">
      <w:bodyDiv w:val="1"/>
      <w:marLeft w:val="0"/>
      <w:marRight w:val="0"/>
      <w:marTop w:val="0"/>
      <w:marBottom w:val="0"/>
      <w:divBdr>
        <w:top w:val="none" w:sz="0" w:space="0" w:color="auto"/>
        <w:left w:val="none" w:sz="0" w:space="0" w:color="auto"/>
        <w:bottom w:val="none" w:sz="0" w:space="0" w:color="auto"/>
        <w:right w:val="none" w:sz="0" w:space="0" w:color="auto"/>
      </w:divBdr>
    </w:div>
    <w:div w:id="167067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Ruggiero, Louise</dc:creator>
  <cp:keywords/>
  <dc:description/>
  <cp:lastModifiedBy>Ruggiero, Louise</cp:lastModifiedBy>
  <cp:revision>33</cp:revision>
  <dcterms:created xsi:type="dcterms:W3CDTF">2022-08-11T19:50:00Z</dcterms:created>
  <dcterms:modified xsi:type="dcterms:W3CDTF">2022-08-12T09:06:00Z</dcterms:modified>
</cp:coreProperties>
</file>