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A3B5" w14:textId="77777777" w:rsidR="00155D6C" w:rsidRDefault="00155D6C" w:rsidP="00155D6C">
      <w:pPr>
        <w:tabs>
          <w:tab w:val="left" w:pos="444"/>
        </w:tabs>
        <w:ind w:left="177"/>
        <w:rPr>
          <w:b/>
          <w:color w:val="161616"/>
          <w:sz w:val="19"/>
        </w:rPr>
      </w:pPr>
      <w:r w:rsidRPr="00117271">
        <w:rPr>
          <w:b/>
          <w:bCs/>
          <w:color w:val="161616"/>
          <w:sz w:val="19"/>
        </w:rPr>
        <w:t>NOT FOR RELEASE, PUBLICATION OR DISTRIBUTION INTO OR IN AUSTRALIA, CANADA, JAPAN, THE REPUBLIC OF SOUTH AFRICA, SWITZERLAND OR ANY OTHER STATE OR JURISDICTION IN WHICH SUCH RELEASE, PUBLICATION OR DISTRIBUTION WOULD BE UNLAWFUL. PLEASE SEE THE IMPORTANT NOTICE AT THE END OF THIS ANNOUNCEMENT</w:t>
      </w:r>
      <w:r w:rsidRPr="00117271" w:rsidDel="00117271">
        <w:rPr>
          <w:b/>
          <w:color w:val="161616"/>
          <w:sz w:val="19"/>
        </w:rPr>
        <w:t xml:space="preserve"> </w:t>
      </w:r>
    </w:p>
    <w:p w14:paraId="20A02CC6" w14:textId="77777777" w:rsidR="00155D6C" w:rsidRDefault="00155D6C" w:rsidP="00155D6C">
      <w:pPr>
        <w:tabs>
          <w:tab w:val="left" w:pos="444"/>
        </w:tabs>
        <w:ind w:left="177"/>
        <w:rPr>
          <w:b/>
          <w:color w:val="161616"/>
          <w:sz w:val="19"/>
        </w:rPr>
      </w:pPr>
    </w:p>
    <w:p w14:paraId="3BE26F7D" w14:textId="77777777" w:rsidR="00155D6C" w:rsidRDefault="00155D6C" w:rsidP="00155D6C">
      <w:pPr>
        <w:tabs>
          <w:tab w:val="left" w:pos="444"/>
        </w:tabs>
        <w:ind w:left="177"/>
        <w:rPr>
          <w:b/>
          <w:color w:val="161616"/>
          <w:sz w:val="19"/>
        </w:rPr>
      </w:pPr>
      <w:r w:rsidRPr="00AE3A54">
        <w:rPr>
          <w:b/>
          <w:color w:val="161616"/>
          <w:sz w:val="19"/>
        </w:rPr>
        <w:t>NatWest Group plc</w:t>
      </w:r>
    </w:p>
    <w:p w14:paraId="78DBD3CA" w14:textId="77777777" w:rsidR="00155D6C" w:rsidRDefault="00155D6C" w:rsidP="00155D6C">
      <w:pPr>
        <w:tabs>
          <w:tab w:val="left" w:pos="444"/>
        </w:tabs>
        <w:ind w:left="177"/>
        <w:rPr>
          <w:b/>
          <w:color w:val="161616"/>
          <w:sz w:val="19"/>
        </w:rPr>
      </w:pPr>
    </w:p>
    <w:p w14:paraId="2458F43B" w14:textId="056934CB" w:rsidR="00155D6C" w:rsidRPr="00CE3223" w:rsidRDefault="00155D6C" w:rsidP="00155D6C">
      <w:pPr>
        <w:tabs>
          <w:tab w:val="left" w:pos="444"/>
        </w:tabs>
        <w:ind w:left="177"/>
        <w:rPr>
          <w:rFonts w:eastAsia="Arial" w:cs="Arial"/>
          <w:sz w:val="19"/>
          <w:szCs w:val="19"/>
        </w:rPr>
      </w:pPr>
      <w:r>
        <w:rPr>
          <w:b/>
          <w:color w:val="161616"/>
          <w:sz w:val="19"/>
        </w:rPr>
        <w:t>1 June 2023</w:t>
      </w:r>
    </w:p>
    <w:p w14:paraId="039E3B0D" w14:textId="77777777" w:rsidR="00155D6C" w:rsidRPr="00CE3223" w:rsidRDefault="00155D6C" w:rsidP="00155D6C">
      <w:pPr>
        <w:rPr>
          <w:b/>
          <w:color w:val="161616"/>
          <w:sz w:val="19"/>
        </w:rPr>
      </w:pPr>
    </w:p>
    <w:p w14:paraId="684C1D5D" w14:textId="77777777" w:rsidR="00155D6C" w:rsidRPr="00CE3223" w:rsidRDefault="00155D6C" w:rsidP="00155D6C">
      <w:pPr>
        <w:spacing w:before="136"/>
        <w:ind w:left="992" w:right="927"/>
        <w:jc w:val="center"/>
        <w:rPr>
          <w:rFonts w:eastAsia="Arial" w:cs="Arial"/>
          <w:sz w:val="19"/>
          <w:szCs w:val="19"/>
        </w:rPr>
      </w:pPr>
      <w:bookmarkStart w:id="0" w:name="_Hlk136001579"/>
      <w:r w:rsidRPr="00CE3223">
        <w:rPr>
          <w:b/>
          <w:color w:val="161616"/>
          <w:sz w:val="19"/>
        </w:rPr>
        <w:t>Intention</w:t>
      </w:r>
      <w:r w:rsidRPr="00CE3223">
        <w:rPr>
          <w:b/>
          <w:color w:val="161616"/>
          <w:spacing w:val="7"/>
          <w:sz w:val="19"/>
        </w:rPr>
        <w:t xml:space="preserve"> </w:t>
      </w:r>
      <w:r w:rsidRPr="00CE3223">
        <w:rPr>
          <w:b/>
          <w:color w:val="161616"/>
          <w:sz w:val="19"/>
        </w:rPr>
        <w:t>to</w:t>
      </w:r>
      <w:r w:rsidRPr="00CE3223">
        <w:rPr>
          <w:b/>
          <w:color w:val="161616"/>
          <w:spacing w:val="23"/>
          <w:sz w:val="19"/>
        </w:rPr>
        <w:t xml:space="preserve"> </w:t>
      </w:r>
      <w:r>
        <w:rPr>
          <w:b/>
          <w:color w:val="161616"/>
          <w:sz w:val="19"/>
        </w:rPr>
        <w:t>sell shares in</w:t>
      </w:r>
      <w:r w:rsidRPr="007F28D5">
        <w:rPr>
          <w:b/>
          <w:color w:val="161616"/>
          <w:sz w:val="19"/>
        </w:rPr>
        <w:t xml:space="preserve"> </w:t>
      </w:r>
      <w:r>
        <w:rPr>
          <w:b/>
          <w:color w:val="2B2B2B"/>
          <w:sz w:val="19"/>
        </w:rPr>
        <w:t>Permanent TSB Group Holdings PLC</w:t>
      </w:r>
    </w:p>
    <w:bookmarkEnd w:id="0"/>
    <w:p w14:paraId="4B0F691A" w14:textId="77777777" w:rsidR="00155D6C" w:rsidRPr="00CE3223" w:rsidRDefault="00155D6C" w:rsidP="00155D6C">
      <w:pPr>
        <w:rPr>
          <w:rFonts w:eastAsia="Arial" w:cs="Arial"/>
          <w:b/>
          <w:bCs/>
          <w:sz w:val="18"/>
          <w:szCs w:val="18"/>
        </w:rPr>
      </w:pPr>
    </w:p>
    <w:p w14:paraId="293FEF00" w14:textId="77777777" w:rsidR="00155D6C" w:rsidRDefault="00155D6C" w:rsidP="00155D6C">
      <w:pPr>
        <w:pStyle w:val="BodyText"/>
        <w:spacing w:before="240" w:line="276" w:lineRule="auto"/>
        <w:ind w:left="164" w:right="113" w:firstLine="11"/>
        <w:jc w:val="both"/>
        <w:rPr>
          <w:color w:val="2B2B2B"/>
          <w:w w:val="105"/>
        </w:rPr>
      </w:pPr>
      <w:r>
        <w:rPr>
          <w:color w:val="2B2B2B"/>
          <w:w w:val="105"/>
        </w:rPr>
        <w:t xml:space="preserve">NatWest Group plc (“NatWest”) </w:t>
      </w:r>
      <w:r w:rsidRPr="00CE3223">
        <w:rPr>
          <w:color w:val="2B2B2B"/>
          <w:w w:val="105"/>
        </w:rPr>
        <w:t>today</w:t>
      </w:r>
      <w:r w:rsidRPr="00E11F02">
        <w:rPr>
          <w:color w:val="2B2B2B"/>
          <w:w w:val="105"/>
        </w:rPr>
        <w:t xml:space="preserve"> </w:t>
      </w:r>
      <w:r w:rsidRPr="00CE3223">
        <w:rPr>
          <w:color w:val="2B2B2B"/>
          <w:w w:val="105"/>
        </w:rPr>
        <w:t>announce</w:t>
      </w:r>
      <w:r>
        <w:rPr>
          <w:color w:val="2B2B2B"/>
          <w:w w:val="105"/>
        </w:rPr>
        <w:t>s its</w:t>
      </w:r>
      <w:r w:rsidRPr="00E11F02">
        <w:rPr>
          <w:color w:val="2B2B2B"/>
          <w:w w:val="105"/>
        </w:rPr>
        <w:t xml:space="preserve"> </w:t>
      </w:r>
      <w:r w:rsidRPr="00CE3223">
        <w:rPr>
          <w:color w:val="2B2B2B"/>
          <w:w w:val="105"/>
        </w:rPr>
        <w:t>intention</w:t>
      </w:r>
      <w:r w:rsidRPr="00E11F02">
        <w:rPr>
          <w:color w:val="2B2B2B"/>
          <w:w w:val="105"/>
        </w:rPr>
        <w:t xml:space="preserve"> </w:t>
      </w:r>
      <w:r w:rsidRPr="00CE3223">
        <w:rPr>
          <w:color w:val="2B2B2B"/>
          <w:w w:val="105"/>
        </w:rPr>
        <w:t>to</w:t>
      </w:r>
      <w:r w:rsidRPr="00E11F02">
        <w:rPr>
          <w:color w:val="2B2B2B"/>
          <w:w w:val="105"/>
        </w:rPr>
        <w:t xml:space="preserve"> </w:t>
      </w:r>
      <w:r w:rsidRPr="00CE3223">
        <w:rPr>
          <w:color w:val="2B2B2B"/>
          <w:w w:val="105"/>
        </w:rPr>
        <w:t>sell</w:t>
      </w:r>
      <w:r w:rsidRPr="00E11F02">
        <w:rPr>
          <w:color w:val="2B2B2B"/>
          <w:w w:val="105"/>
        </w:rPr>
        <w:t xml:space="preserve"> </w:t>
      </w:r>
      <w:r w:rsidRPr="00CE3223">
        <w:rPr>
          <w:color w:val="2B2B2B"/>
          <w:w w:val="105"/>
        </w:rPr>
        <w:t>part</w:t>
      </w:r>
      <w:r w:rsidRPr="00E11F02">
        <w:rPr>
          <w:color w:val="2B2B2B"/>
          <w:w w:val="105"/>
        </w:rPr>
        <w:t xml:space="preserve"> of </w:t>
      </w:r>
      <w:r>
        <w:rPr>
          <w:color w:val="2B2B2B"/>
          <w:w w:val="105"/>
        </w:rPr>
        <w:t>its</w:t>
      </w:r>
      <w:r w:rsidRPr="00E11F02">
        <w:rPr>
          <w:color w:val="2B2B2B"/>
          <w:w w:val="105"/>
        </w:rPr>
        <w:t xml:space="preserve"> shareholding</w:t>
      </w:r>
      <w:r>
        <w:rPr>
          <w:color w:val="2B2B2B"/>
          <w:w w:val="105"/>
        </w:rPr>
        <w:t xml:space="preserve">, held through the wholly owned subsidiary RBS AA Holdings (UK) Limited, </w:t>
      </w:r>
      <w:r w:rsidRPr="00E11F02">
        <w:rPr>
          <w:color w:val="2B2B2B"/>
          <w:w w:val="105"/>
        </w:rPr>
        <w:t>in Permanent TSB Group Holdings PLC (“PTSB”)</w:t>
      </w:r>
      <w:r>
        <w:rPr>
          <w:color w:val="2B2B2B"/>
          <w:w w:val="105"/>
        </w:rPr>
        <w:t>, concurrently with The Minister for Finance of Ireland, Michael McGrath TD (the “Minister”), (together, the “Selling Shareholders”)</w:t>
      </w:r>
      <w:r w:rsidRPr="00E11F02">
        <w:rPr>
          <w:color w:val="2B2B2B"/>
          <w:w w:val="105"/>
        </w:rPr>
        <w:t xml:space="preserve">. </w:t>
      </w:r>
    </w:p>
    <w:p w14:paraId="14C0A3B3" w14:textId="77777777" w:rsidR="00155D6C" w:rsidRPr="001874A2" w:rsidRDefault="00155D6C" w:rsidP="00155D6C">
      <w:pPr>
        <w:pStyle w:val="BodyText"/>
        <w:spacing w:before="240" w:line="276" w:lineRule="auto"/>
        <w:ind w:left="164" w:right="113" w:firstLine="11"/>
        <w:jc w:val="both"/>
        <w:rPr>
          <w:color w:val="2B2B2B"/>
          <w:w w:val="105"/>
        </w:rPr>
      </w:pPr>
      <w:r w:rsidRPr="00CE3223">
        <w:rPr>
          <w:color w:val="2B2B2B"/>
          <w:w w:val="105"/>
        </w:rPr>
        <w:t>The</w:t>
      </w:r>
      <w:r w:rsidRPr="00E11F02">
        <w:rPr>
          <w:color w:val="2B2B2B"/>
          <w:w w:val="105"/>
        </w:rPr>
        <w:t xml:space="preserve"> </w:t>
      </w:r>
      <w:r w:rsidRPr="00CE3223">
        <w:rPr>
          <w:color w:val="2B2B2B"/>
          <w:w w:val="105"/>
        </w:rPr>
        <w:t>disposal</w:t>
      </w:r>
      <w:r w:rsidRPr="00E11F02">
        <w:rPr>
          <w:color w:val="2B2B2B"/>
          <w:w w:val="105"/>
        </w:rPr>
        <w:t xml:space="preserve"> of these shares (the "Placing </w:t>
      </w:r>
      <w:r w:rsidRPr="00CE3223">
        <w:rPr>
          <w:color w:val="2B2B2B"/>
          <w:w w:val="105"/>
        </w:rPr>
        <w:t>Shares</w:t>
      </w:r>
      <w:r w:rsidRPr="00E11F02">
        <w:rPr>
          <w:color w:val="2B2B2B"/>
          <w:w w:val="105"/>
        </w:rPr>
        <w:t xml:space="preserve">") will be by way of </w:t>
      </w:r>
      <w:r w:rsidRPr="00CE3223">
        <w:rPr>
          <w:color w:val="2B2B2B"/>
          <w:w w:val="105"/>
        </w:rPr>
        <w:t>a</w:t>
      </w:r>
      <w:r w:rsidRPr="00E11F02">
        <w:rPr>
          <w:color w:val="2B2B2B"/>
          <w:w w:val="105"/>
        </w:rPr>
        <w:t xml:space="preserve"> </w:t>
      </w:r>
      <w:r w:rsidRPr="00CE3223">
        <w:rPr>
          <w:color w:val="2B2B2B"/>
          <w:w w:val="105"/>
        </w:rPr>
        <w:t>placing</w:t>
      </w:r>
      <w:r w:rsidRPr="00E11F02">
        <w:rPr>
          <w:color w:val="2B2B2B"/>
          <w:w w:val="105"/>
        </w:rPr>
        <w:t xml:space="preserve"> </w:t>
      </w:r>
      <w:r w:rsidRPr="00CE3223">
        <w:rPr>
          <w:color w:val="2B2B2B"/>
          <w:w w:val="105"/>
        </w:rPr>
        <w:t>to</w:t>
      </w:r>
      <w:r w:rsidRPr="00E11F02">
        <w:rPr>
          <w:color w:val="2B2B2B"/>
          <w:w w:val="105"/>
        </w:rPr>
        <w:t xml:space="preserve"> institutional investors (the "Placing").</w:t>
      </w:r>
      <w:r>
        <w:rPr>
          <w:color w:val="2B2B2B"/>
          <w:w w:val="105"/>
        </w:rPr>
        <w:t xml:space="preserve"> </w:t>
      </w:r>
      <w:r w:rsidRPr="00612747">
        <w:rPr>
          <w:color w:val="161616"/>
          <w:w w:val="105"/>
        </w:rPr>
        <w:t>The price at which the Placing Shares are sold (the "Placing Price") will be determined by way of an accel</w:t>
      </w:r>
      <w:r w:rsidRPr="00CE3223">
        <w:rPr>
          <w:color w:val="161616"/>
          <w:w w:val="105"/>
        </w:rPr>
        <w:t>er</w:t>
      </w:r>
      <w:r w:rsidRPr="00612747">
        <w:rPr>
          <w:color w:val="161616"/>
          <w:w w:val="105"/>
        </w:rPr>
        <w:t xml:space="preserve">ated book building process. The book will open with immediate effect following </w:t>
      </w:r>
      <w:r w:rsidRPr="00CE3223">
        <w:rPr>
          <w:color w:val="161616"/>
          <w:w w:val="105"/>
        </w:rPr>
        <w:t>thi</w:t>
      </w:r>
      <w:r w:rsidRPr="00612747">
        <w:rPr>
          <w:color w:val="161616"/>
          <w:w w:val="105"/>
        </w:rPr>
        <w:t>s announcement.</w:t>
      </w:r>
    </w:p>
    <w:p w14:paraId="3D54D58E" w14:textId="20AE5AC4" w:rsidR="00155D6C" w:rsidRPr="001874A2" w:rsidRDefault="00155D6C" w:rsidP="00155D6C">
      <w:pPr>
        <w:pStyle w:val="BodyText"/>
        <w:spacing w:before="240" w:line="276" w:lineRule="auto"/>
        <w:ind w:right="65"/>
        <w:jc w:val="both"/>
        <w:rPr>
          <w:color w:val="2B2B2B"/>
          <w:w w:val="105"/>
        </w:rPr>
      </w:pPr>
      <w:r w:rsidRPr="00CE3223">
        <w:rPr>
          <w:color w:val="161616"/>
          <w:w w:val="105"/>
        </w:rPr>
        <w:t>Th</w:t>
      </w:r>
      <w:r w:rsidRPr="00CE3223">
        <w:rPr>
          <w:color w:val="3F3F3F"/>
          <w:w w:val="105"/>
        </w:rPr>
        <w:t xml:space="preserve">e </w:t>
      </w:r>
      <w:r w:rsidRPr="00CE3223">
        <w:rPr>
          <w:color w:val="2B2B2B"/>
          <w:w w:val="105"/>
        </w:rPr>
        <w:t>Placing</w:t>
      </w:r>
      <w:r w:rsidRPr="00CE3223">
        <w:rPr>
          <w:color w:val="2B2B2B"/>
          <w:spacing w:val="4"/>
          <w:w w:val="105"/>
        </w:rPr>
        <w:t xml:space="preserve"> </w:t>
      </w:r>
      <w:r w:rsidRPr="00CE3223">
        <w:rPr>
          <w:color w:val="3F3F3F"/>
          <w:w w:val="105"/>
        </w:rPr>
        <w:t>is</w:t>
      </w:r>
      <w:r w:rsidRPr="00CE3223">
        <w:rPr>
          <w:color w:val="3F3F3F"/>
          <w:spacing w:val="-16"/>
          <w:w w:val="105"/>
        </w:rPr>
        <w:t xml:space="preserve"> </w:t>
      </w:r>
      <w:r w:rsidRPr="00CE3223">
        <w:rPr>
          <w:color w:val="3F3F3F"/>
          <w:w w:val="105"/>
        </w:rPr>
        <w:t>expected</w:t>
      </w:r>
      <w:r w:rsidRPr="00CE3223">
        <w:rPr>
          <w:color w:val="3F3F3F"/>
          <w:spacing w:val="-3"/>
          <w:w w:val="105"/>
        </w:rPr>
        <w:t xml:space="preserve"> </w:t>
      </w:r>
      <w:r w:rsidRPr="00CE3223">
        <w:rPr>
          <w:color w:val="2B2B2B"/>
          <w:w w:val="105"/>
        </w:rPr>
        <w:t>to</w:t>
      </w:r>
      <w:r w:rsidRPr="00CE3223">
        <w:rPr>
          <w:color w:val="2B2B2B"/>
          <w:spacing w:val="-8"/>
          <w:w w:val="105"/>
        </w:rPr>
        <w:t xml:space="preserve"> </w:t>
      </w:r>
      <w:r w:rsidRPr="00CE3223">
        <w:rPr>
          <w:color w:val="2B2B2B"/>
          <w:w w:val="105"/>
        </w:rPr>
        <w:t>comprise</w:t>
      </w:r>
      <w:r>
        <w:rPr>
          <w:color w:val="2B2B2B"/>
          <w:w w:val="105"/>
        </w:rPr>
        <w:t xml:space="preserve"> approximately</w:t>
      </w:r>
      <w:r w:rsidRPr="00CE3223">
        <w:rPr>
          <w:color w:val="2B2B2B"/>
          <w:spacing w:val="4"/>
          <w:w w:val="105"/>
        </w:rPr>
        <w:t xml:space="preserve"> </w:t>
      </w:r>
      <w:r w:rsidR="00A41C14">
        <w:rPr>
          <w:color w:val="2B2B2B"/>
          <w:spacing w:val="4"/>
          <w:w w:val="105"/>
        </w:rPr>
        <w:t>33</w:t>
      </w:r>
      <w:r>
        <w:rPr>
          <w:color w:val="2B2B2B"/>
          <w:spacing w:val="4"/>
          <w:w w:val="105"/>
        </w:rPr>
        <w:t xml:space="preserve"> million </w:t>
      </w:r>
      <w:r w:rsidRPr="00CE3223">
        <w:rPr>
          <w:color w:val="2B2B2B"/>
          <w:w w:val="105"/>
        </w:rPr>
        <w:t>of</w:t>
      </w:r>
      <w:r w:rsidRPr="00CE3223">
        <w:rPr>
          <w:color w:val="2B2B2B"/>
          <w:spacing w:val="-4"/>
          <w:w w:val="105"/>
        </w:rPr>
        <w:t xml:space="preserve"> </w:t>
      </w:r>
      <w:r>
        <w:rPr>
          <w:color w:val="3F3F3F"/>
          <w:w w:val="105"/>
        </w:rPr>
        <w:t>PTSB’s</w:t>
      </w:r>
      <w:r w:rsidRPr="00CE3223">
        <w:rPr>
          <w:color w:val="3F3F3F"/>
          <w:spacing w:val="1"/>
          <w:w w:val="105"/>
        </w:rPr>
        <w:t xml:space="preserve"> </w:t>
      </w:r>
      <w:r w:rsidRPr="00CE3223">
        <w:rPr>
          <w:color w:val="3F3F3F"/>
          <w:w w:val="105"/>
        </w:rPr>
        <w:t>ordinary</w:t>
      </w:r>
      <w:r w:rsidRPr="00CE3223">
        <w:rPr>
          <w:color w:val="3F3F3F"/>
          <w:spacing w:val="10"/>
          <w:w w:val="105"/>
        </w:rPr>
        <w:t xml:space="preserve"> </w:t>
      </w:r>
      <w:r w:rsidRPr="00CE3223">
        <w:rPr>
          <w:color w:val="2B2B2B"/>
          <w:spacing w:val="4"/>
          <w:w w:val="105"/>
        </w:rPr>
        <w:t>sha</w:t>
      </w:r>
      <w:r w:rsidRPr="00CE3223">
        <w:rPr>
          <w:color w:val="525252"/>
          <w:spacing w:val="4"/>
          <w:w w:val="105"/>
        </w:rPr>
        <w:t>res</w:t>
      </w:r>
      <w:r w:rsidRPr="00CE3223">
        <w:rPr>
          <w:color w:val="6D6D6D"/>
          <w:spacing w:val="3"/>
          <w:w w:val="105"/>
        </w:rPr>
        <w:t>,</w:t>
      </w:r>
      <w:r w:rsidRPr="00CE3223">
        <w:rPr>
          <w:color w:val="6D6D6D"/>
          <w:spacing w:val="23"/>
          <w:w w:val="140"/>
        </w:rPr>
        <w:t xml:space="preserve"> </w:t>
      </w:r>
      <w:r w:rsidRPr="00CE3223">
        <w:rPr>
          <w:color w:val="2B2B2B"/>
          <w:w w:val="105"/>
        </w:rPr>
        <w:t>represent</w:t>
      </w:r>
      <w:r w:rsidRPr="00CE3223">
        <w:rPr>
          <w:color w:val="2B2B2B"/>
          <w:spacing w:val="7"/>
          <w:w w:val="105"/>
        </w:rPr>
        <w:t>i</w:t>
      </w:r>
      <w:r w:rsidRPr="00CE3223">
        <w:rPr>
          <w:color w:val="2B2B2B"/>
          <w:w w:val="105"/>
        </w:rPr>
        <w:t>ng</w:t>
      </w:r>
      <w:r w:rsidRPr="00CE3223">
        <w:rPr>
          <w:color w:val="2B2B2B"/>
          <w:spacing w:val="-13"/>
          <w:w w:val="105"/>
        </w:rPr>
        <w:t xml:space="preserve"> </w:t>
      </w:r>
      <w:r w:rsidRPr="00CE3223">
        <w:rPr>
          <w:color w:val="2B2B2B"/>
          <w:w w:val="105"/>
        </w:rPr>
        <w:t>approx</w:t>
      </w:r>
      <w:r w:rsidRPr="00CE3223">
        <w:rPr>
          <w:color w:val="2B2B2B"/>
          <w:spacing w:val="8"/>
          <w:w w:val="105"/>
        </w:rPr>
        <w:t>i</w:t>
      </w:r>
      <w:r w:rsidRPr="00CE3223">
        <w:rPr>
          <w:color w:val="2B2B2B"/>
          <w:w w:val="105"/>
        </w:rPr>
        <w:t>mately</w:t>
      </w:r>
      <w:r w:rsidRPr="00CE3223">
        <w:rPr>
          <w:color w:val="2B2B2B"/>
          <w:spacing w:val="1"/>
          <w:w w:val="105"/>
        </w:rPr>
        <w:t xml:space="preserve"> </w:t>
      </w:r>
      <w:r w:rsidR="00A41C14">
        <w:rPr>
          <w:color w:val="2B2B2B"/>
          <w:spacing w:val="1"/>
          <w:w w:val="105"/>
        </w:rPr>
        <w:t>6.0</w:t>
      </w:r>
      <w:r w:rsidRPr="00CE3223">
        <w:rPr>
          <w:color w:val="525252"/>
          <w:w w:val="105"/>
        </w:rPr>
        <w:t>%</w:t>
      </w:r>
      <w:r w:rsidRPr="00CE3223">
        <w:rPr>
          <w:color w:val="525252"/>
          <w:spacing w:val="-11"/>
          <w:w w:val="105"/>
        </w:rPr>
        <w:t xml:space="preserve"> </w:t>
      </w:r>
      <w:r w:rsidRPr="00CE3223">
        <w:rPr>
          <w:color w:val="2B2B2B"/>
          <w:w w:val="105"/>
        </w:rPr>
        <w:t>of</w:t>
      </w:r>
      <w:r w:rsidRPr="00CE3223">
        <w:rPr>
          <w:color w:val="2B2B2B"/>
          <w:spacing w:val="-2"/>
          <w:w w:val="105"/>
        </w:rPr>
        <w:t xml:space="preserve"> </w:t>
      </w:r>
      <w:r w:rsidRPr="00CE3223">
        <w:rPr>
          <w:color w:val="2B2B2B"/>
          <w:w w:val="105"/>
        </w:rPr>
        <w:t>the</w:t>
      </w:r>
      <w:r w:rsidRPr="00CE3223">
        <w:rPr>
          <w:color w:val="2B2B2B"/>
          <w:spacing w:val="3"/>
          <w:w w:val="105"/>
        </w:rPr>
        <w:t xml:space="preserve"> </w:t>
      </w:r>
      <w:r w:rsidRPr="00CE3223">
        <w:rPr>
          <w:color w:val="2B2B2B"/>
          <w:spacing w:val="-18"/>
          <w:w w:val="105"/>
        </w:rPr>
        <w:t>i</w:t>
      </w:r>
      <w:r w:rsidRPr="00CE3223">
        <w:rPr>
          <w:color w:val="2B2B2B"/>
          <w:w w:val="105"/>
        </w:rPr>
        <w:t>ssued</w:t>
      </w:r>
      <w:r w:rsidRPr="00CE3223">
        <w:rPr>
          <w:color w:val="2B2B2B"/>
          <w:spacing w:val="-1"/>
          <w:w w:val="105"/>
        </w:rPr>
        <w:t xml:space="preserve"> </w:t>
      </w:r>
      <w:r w:rsidRPr="00CE3223">
        <w:rPr>
          <w:color w:val="2B2B2B"/>
          <w:w w:val="105"/>
        </w:rPr>
        <w:t>ordina</w:t>
      </w:r>
      <w:r w:rsidRPr="00CE3223">
        <w:rPr>
          <w:color w:val="2B2B2B"/>
          <w:spacing w:val="10"/>
          <w:w w:val="105"/>
        </w:rPr>
        <w:t>r</w:t>
      </w:r>
      <w:r w:rsidRPr="00CE3223">
        <w:rPr>
          <w:color w:val="525252"/>
          <w:w w:val="105"/>
        </w:rPr>
        <w:t>y</w:t>
      </w:r>
      <w:r w:rsidRPr="00CE3223">
        <w:rPr>
          <w:color w:val="525252"/>
          <w:spacing w:val="-3"/>
          <w:w w:val="105"/>
        </w:rPr>
        <w:t xml:space="preserve"> </w:t>
      </w:r>
      <w:r w:rsidRPr="00CE3223">
        <w:rPr>
          <w:color w:val="3F3F3F"/>
          <w:w w:val="105"/>
        </w:rPr>
        <w:t>ca</w:t>
      </w:r>
      <w:r w:rsidRPr="00CE3223">
        <w:rPr>
          <w:color w:val="3F3F3F"/>
          <w:spacing w:val="12"/>
          <w:w w:val="105"/>
        </w:rPr>
        <w:t>p</w:t>
      </w:r>
      <w:r w:rsidRPr="00CE3223">
        <w:rPr>
          <w:color w:val="161616"/>
          <w:w w:val="105"/>
        </w:rPr>
        <w:t>ital</w:t>
      </w:r>
      <w:r w:rsidRPr="00CE3223">
        <w:rPr>
          <w:color w:val="161616"/>
          <w:spacing w:val="-12"/>
          <w:w w:val="105"/>
        </w:rPr>
        <w:t xml:space="preserve"> </w:t>
      </w:r>
      <w:r w:rsidRPr="00CE3223">
        <w:rPr>
          <w:color w:val="2B2B2B"/>
          <w:w w:val="105"/>
        </w:rPr>
        <w:t>of</w:t>
      </w:r>
      <w:r w:rsidRPr="00CE3223">
        <w:rPr>
          <w:color w:val="2B2B2B"/>
          <w:spacing w:val="-8"/>
          <w:w w:val="105"/>
        </w:rPr>
        <w:t xml:space="preserve"> </w:t>
      </w:r>
      <w:r>
        <w:rPr>
          <w:color w:val="3F3F3F"/>
          <w:w w:val="105"/>
        </w:rPr>
        <w:t>PTSB</w:t>
      </w:r>
      <w:r>
        <w:rPr>
          <w:color w:val="2B2B2B"/>
          <w:w w:val="105"/>
        </w:rPr>
        <w:t xml:space="preserve">, with the Minister and NatWest both expected to dispose of </w:t>
      </w:r>
      <w:r w:rsidR="00A41C14">
        <w:rPr>
          <w:color w:val="2B2B2B"/>
          <w:w w:val="105"/>
        </w:rPr>
        <w:t>3</w:t>
      </w:r>
      <w:r w:rsidR="00E25CAF">
        <w:rPr>
          <w:color w:val="2B2B2B"/>
          <w:w w:val="105"/>
        </w:rPr>
        <w:t>.0</w:t>
      </w:r>
      <w:r>
        <w:rPr>
          <w:color w:val="2B2B2B"/>
          <w:w w:val="105"/>
        </w:rPr>
        <w:t xml:space="preserve">% of issued ordinary capital each. </w:t>
      </w:r>
      <w:r w:rsidRPr="00CE3223">
        <w:rPr>
          <w:color w:val="3F3F3F"/>
          <w:w w:val="105"/>
        </w:rPr>
        <w:t>As</w:t>
      </w:r>
      <w:r w:rsidRPr="00CE3223">
        <w:rPr>
          <w:color w:val="3F3F3F"/>
          <w:spacing w:val="-2"/>
          <w:w w:val="105"/>
        </w:rPr>
        <w:t xml:space="preserve"> </w:t>
      </w:r>
      <w:r w:rsidRPr="00CE3223">
        <w:rPr>
          <w:color w:val="3F3F3F"/>
          <w:w w:val="105"/>
        </w:rPr>
        <w:t>a</w:t>
      </w:r>
      <w:r w:rsidRPr="00CE3223">
        <w:rPr>
          <w:color w:val="3F3F3F"/>
          <w:spacing w:val="2"/>
          <w:w w:val="105"/>
        </w:rPr>
        <w:t xml:space="preserve"> </w:t>
      </w:r>
      <w:r w:rsidRPr="00CE3223">
        <w:rPr>
          <w:color w:val="3F3F3F"/>
          <w:w w:val="105"/>
        </w:rPr>
        <w:t>resu</w:t>
      </w:r>
      <w:r w:rsidRPr="00CE3223">
        <w:rPr>
          <w:color w:val="161616"/>
          <w:spacing w:val="-15"/>
          <w:w w:val="105"/>
        </w:rPr>
        <w:t>l</w:t>
      </w:r>
      <w:r w:rsidRPr="00CE3223">
        <w:rPr>
          <w:color w:val="3F3F3F"/>
          <w:w w:val="105"/>
        </w:rPr>
        <w:t>t</w:t>
      </w:r>
      <w:r w:rsidRPr="00CE3223">
        <w:rPr>
          <w:color w:val="3F3F3F"/>
          <w:spacing w:val="-2"/>
          <w:w w:val="105"/>
        </w:rPr>
        <w:t xml:space="preserve"> </w:t>
      </w:r>
      <w:r w:rsidRPr="00CE3223">
        <w:rPr>
          <w:color w:val="3F3F3F"/>
          <w:w w:val="105"/>
        </w:rPr>
        <w:t>of</w:t>
      </w:r>
      <w:r w:rsidRPr="00CE3223">
        <w:rPr>
          <w:color w:val="3F3F3F"/>
          <w:w w:val="101"/>
        </w:rPr>
        <w:t xml:space="preserve"> </w:t>
      </w:r>
      <w:r w:rsidRPr="00CE3223">
        <w:rPr>
          <w:color w:val="161616"/>
          <w:w w:val="105"/>
        </w:rPr>
        <w:t>the</w:t>
      </w:r>
      <w:r w:rsidRPr="00CE3223">
        <w:rPr>
          <w:color w:val="161616"/>
          <w:spacing w:val="14"/>
          <w:w w:val="105"/>
        </w:rPr>
        <w:t xml:space="preserve"> </w:t>
      </w:r>
      <w:r w:rsidRPr="00CE3223">
        <w:rPr>
          <w:color w:val="2B2B2B"/>
          <w:w w:val="105"/>
        </w:rPr>
        <w:t>Placing</w:t>
      </w:r>
      <w:r w:rsidRPr="00CE3223">
        <w:rPr>
          <w:color w:val="525252"/>
          <w:w w:val="105"/>
        </w:rPr>
        <w:t>,</w:t>
      </w:r>
      <w:r w:rsidRPr="00CE3223">
        <w:rPr>
          <w:color w:val="525252"/>
          <w:spacing w:val="-19"/>
          <w:w w:val="105"/>
        </w:rPr>
        <w:t xml:space="preserve"> </w:t>
      </w:r>
      <w:r w:rsidRPr="00CE3223">
        <w:rPr>
          <w:color w:val="161616"/>
          <w:w w:val="105"/>
        </w:rPr>
        <w:t>the</w:t>
      </w:r>
      <w:r w:rsidRPr="00CE3223">
        <w:rPr>
          <w:color w:val="161616"/>
          <w:spacing w:val="8"/>
          <w:w w:val="105"/>
        </w:rPr>
        <w:t xml:space="preserve"> </w:t>
      </w:r>
      <w:r w:rsidRPr="00CE3223">
        <w:rPr>
          <w:color w:val="2B2B2B"/>
          <w:w w:val="105"/>
        </w:rPr>
        <w:t>overall</w:t>
      </w:r>
      <w:r w:rsidRPr="00CE3223">
        <w:rPr>
          <w:color w:val="2B2B2B"/>
          <w:spacing w:val="2"/>
          <w:w w:val="105"/>
        </w:rPr>
        <w:t xml:space="preserve"> </w:t>
      </w:r>
      <w:r w:rsidRPr="00CE3223">
        <w:rPr>
          <w:color w:val="2B2B2B"/>
          <w:w w:val="105"/>
        </w:rPr>
        <w:t>size of</w:t>
      </w:r>
      <w:r w:rsidRPr="00CE3223">
        <w:rPr>
          <w:color w:val="2B2B2B"/>
          <w:spacing w:val="3"/>
          <w:w w:val="105"/>
        </w:rPr>
        <w:t xml:space="preserve"> </w:t>
      </w:r>
      <w:r w:rsidRPr="00CE3223">
        <w:rPr>
          <w:color w:val="161616"/>
          <w:w w:val="105"/>
        </w:rPr>
        <w:t xml:space="preserve">the </w:t>
      </w:r>
      <w:r>
        <w:rPr>
          <w:color w:val="161616"/>
          <w:w w:val="105"/>
        </w:rPr>
        <w:t>Minister</w:t>
      </w:r>
      <w:r w:rsidRPr="00CE3223">
        <w:rPr>
          <w:color w:val="161616"/>
          <w:w w:val="105"/>
        </w:rPr>
        <w:t>’s</w:t>
      </w:r>
      <w:r w:rsidRPr="00CE3223">
        <w:rPr>
          <w:color w:val="3F3F3F"/>
          <w:spacing w:val="1"/>
          <w:w w:val="105"/>
        </w:rPr>
        <w:t xml:space="preserve"> </w:t>
      </w:r>
      <w:r w:rsidRPr="00CE3223">
        <w:rPr>
          <w:color w:val="3F3F3F"/>
          <w:w w:val="105"/>
        </w:rPr>
        <w:t>sha</w:t>
      </w:r>
      <w:r w:rsidRPr="00CE3223">
        <w:rPr>
          <w:color w:val="161616"/>
          <w:w w:val="105"/>
        </w:rPr>
        <w:t>reholding</w:t>
      </w:r>
      <w:r w:rsidRPr="00CE3223">
        <w:rPr>
          <w:color w:val="161616"/>
          <w:spacing w:val="7"/>
          <w:w w:val="105"/>
        </w:rPr>
        <w:t xml:space="preserve"> </w:t>
      </w:r>
      <w:r w:rsidRPr="00CE3223">
        <w:rPr>
          <w:color w:val="2B2B2B"/>
          <w:spacing w:val="-10"/>
          <w:w w:val="105"/>
        </w:rPr>
        <w:t>i</w:t>
      </w:r>
      <w:r w:rsidRPr="00CE3223">
        <w:rPr>
          <w:color w:val="2B2B2B"/>
          <w:spacing w:val="-14"/>
          <w:w w:val="105"/>
        </w:rPr>
        <w:t>n</w:t>
      </w:r>
      <w:r>
        <w:rPr>
          <w:color w:val="2B2B2B"/>
          <w:spacing w:val="-20"/>
          <w:w w:val="105"/>
        </w:rPr>
        <w:t xml:space="preserve"> </w:t>
      </w:r>
      <w:r>
        <w:rPr>
          <w:color w:val="2B2B2B"/>
          <w:w w:val="105"/>
        </w:rPr>
        <w:t>PTSB</w:t>
      </w:r>
      <w:r w:rsidRPr="00CE3223">
        <w:rPr>
          <w:color w:val="2B2B2B"/>
          <w:spacing w:val="4"/>
          <w:w w:val="105"/>
        </w:rPr>
        <w:t xml:space="preserve"> </w:t>
      </w:r>
      <w:r w:rsidRPr="00CE3223">
        <w:rPr>
          <w:color w:val="3F3F3F"/>
          <w:w w:val="105"/>
        </w:rPr>
        <w:t>will</w:t>
      </w:r>
      <w:r w:rsidRPr="00CE3223">
        <w:rPr>
          <w:color w:val="3F3F3F"/>
          <w:spacing w:val="5"/>
          <w:w w:val="105"/>
        </w:rPr>
        <w:t xml:space="preserve"> </w:t>
      </w:r>
      <w:r w:rsidRPr="00CE3223">
        <w:rPr>
          <w:color w:val="2B2B2B"/>
          <w:w w:val="105"/>
        </w:rPr>
        <w:t>be</w:t>
      </w:r>
      <w:r w:rsidRPr="00CE3223">
        <w:rPr>
          <w:color w:val="2B2B2B"/>
          <w:spacing w:val="3"/>
          <w:w w:val="105"/>
        </w:rPr>
        <w:t xml:space="preserve"> </w:t>
      </w:r>
      <w:r w:rsidRPr="00CE3223">
        <w:rPr>
          <w:color w:val="2B2B2B"/>
          <w:w w:val="105"/>
        </w:rPr>
        <w:t>reduced</w:t>
      </w:r>
      <w:r w:rsidRPr="00CE3223">
        <w:rPr>
          <w:color w:val="2B2B2B"/>
          <w:spacing w:val="24"/>
          <w:w w:val="104"/>
        </w:rPr>
        <w:t xml:space="preserve"> </w:t>
      </w:r>
      <w:r w:rsidRPr="00CE3223">
        <w:rPr>
          <w:color w:val="2B2B2B"/>
          <w:w w:val="105"/>
        </w:rPr>
        <w:t>from</w:t>
      </w:r>
      <w:r w:rsidRPr="00CE3223">
        <w:rPr>
          <w:color w:val="2B2B2B"/>
          <w:spacing w:val="-4"/>
          <w:w w:val="105"/>
        </w:rPr>
        <w:t xml:space="preserve"> </w:t>
      </w:r>
      <w:r>
        <w:rPr>
          <w:color w:val="2B2B2B"/>
          <w:spacing w:val="-12"/>
          <w:w w:val="105"/>
        </w:rPr>
        <w:t>62.4</w:t>
      </w:r>
      <w:r w:rsidRPr="00145C86">
        <w:rPr>
          <w:color w:val="2B2B2B"/>
          <w:w w:val="105"/>
        </w:rPr>
        <w:t>%</w:t>
      </w:r>
      <w:r w:rsidRPr="00145C86">
        <w:rPr>
          <w:color w:val="2B2B2B"/>
          <w:spacing w:val="-12"/>
          <w:w w:val="105"/>
        </w:rPr>
        <w:t xml:space="preserve"> </w:t>
      </w:r>
      <w:r w:rsidRPr="00145C86">
        <w:rPr>
          <w:color w:val="161616"/>
          <w:w w:val="105"/>
        </w:rPr>
        <w:t>to</w:t>
      </w:r>
      <w:r w:rsidR="00E25CAF">
        <w:rPr>
          <w:color w:val="161616"/>
          <w:w w:val="105"/>
        </w:rPr>
        <w:t xml:space="preserve"> 5</w:t>
      </w:r>
      <w:r w:rsidR="00A41C14">
        <w:rPr>
          <w:color w:val="161616"/>
          <w:w w:val="105"/>
        </w:rPr>
        <w:t>9</w:t>
      </w:r>
      <w:r w:rsidR="00E25CAF">
        <w:rPr>
          <w:color w:val="161616"/>
          <w:w w:val="105"/>
        </w:rPr>
        <w:t>.4</w:t>
      </w:r>
      <w:r w:rsidRPr="00CE3223">
        <w:rPr>
          <w:color w:val="3F3F3F"/>
          <w:spacing w:val="-2"/>
          <w:w w:val="105"/>
        </w:rPr>
        <w:t>%</w:t>
      </w:r>
      <w:r>
        <w:rPr>
          <w:color w:val="3F3F3F"/>
          <w:spacing w:val="-2"/>
          <w:w w:val="105"/>
        </w:rPr>
        <w:t xml:space="preserve"> and NatWest’s shareholding in PTSB will be reduced from 16.</w:t>
      </w:r>
      <w:r w:rsidR="00A41C14">
        <w:rPr>
          <w:color w:val="3F3F3F"/>
          <w:spacing w:val="-2"/>
          <w:w w:val="105"/>
        </w:rPr>
        <w:t>7</w:t>
      </w:r>
      <w:r>
        <w:rPr>
          <w:color w:val="3F3F3F"/>
          <w:spacing w:val="-2"/>
          <w:w w:val="105"/>
        </w:rPr>
        <w:t xml:space="preserve">% to </w:t>
      </w:r>
      <w:r w:rsidR="00E25CAF">
        <w:rPr>
          <w:color w:val="3F3F3F"/>
          <w:spacing w:val="-2"/>
          <w:w w:val="105"/>
        </w:rPr>
        <w:t>1</w:t>
      </w:r>
      <w:r w:rsidR="00A41C14">
        <w:rPr>
          <w:color w:val="3F3F3F"/>
          <w:spacing w:val="-2"/>
          <w:w w:val="105"/>
        </w:rPr>
        <w:t>3</w:t>
      </w:r>
      <w:r w:rsidR="00E25CAF">
        <w:rPr>
          <w:color w:val="3F3F3F"/>
          <w:spacing w:val="-2"/>
          <w:w w:val="105"/>
        </w:rPr>
        <w:t>.6</w:t>
      </w:r>
      <w:r>
        <w:rPr>
          <w:color w:val="3F3F3F"/>
          <w:spacing w:val="-2"/>
          <w:w w:val="105"/>
        </w:rPr>
        <w:t xml:space="preserve">%. </w:t>
      </w:r>
    </w:p>
    <w:p w14:paraId="7A918605" w14:textId="77777777" w:rsidR="00155D6C" w:rsidRDefault="00155D6C" w:rsidP="00155D6C">
      <w:pPr>
        <w:pStyle w:val="BodyText"/>
        <w:spacing w:before="240" w:line="276" w:lineRule="auto"/>
        <w:ind w:right="65" w:firstLine="14"/>
        <w:jc w:val="both"/>
        <w:rPr>
          <w:color w:val="2B2B2B"/>
          <w:w w:val="105"/>
        </w:rPr>
      </w:pPr>
      <w:r w:rsidRPr="00CE3223">
        <w:rPr>
          <w:color w:val="161616"/>
          <w:w w:val="105"/>
        </w:rPr>
        <w:t xml:space="preserve">The </w:t>
      </w:r>
      <w:r>
        <w:rPr>
          <w:color w:val="161616"/>
          <w:w w:val="105"/>
        </w:rPr>
        <w:t>Selling Shareholders</w:t>
      </w:r>
      <w:r w:rsidRPr="00CE3223">
        <w:rPr>
          <w:color w:val="161616"/>
          <w:spacing w:val="7"/>
          <w:w w:val="105"/>
        </w:rPr>
        <w:t xml:space="preserve"> </w:t>
      </w:r>
      <w:r>
        <w:rPr>
          <w:color w:val="161616"/>
          <w:w w:val="105"/>
        </w:rPr>
        <w:t xml:space="preserve">have </w:t>
      </w:r>
      <w:r w:rsidRPr="00CE3223">
        <w:rPr>
          <w:color w:val="161616"/>
          <w:spacing w:val="-5"/>
          <w:w w:val="105"/>
        </w:rPr>
        <w:t xml:space="preserve">also </w:t>
      </w:r>
      <w:r w:rsidRPr="00CE3223">
        <w:rPr>
          <w:color w:val="161616"/>
          <w:w w:val="105"/>
        </w:rPr>
        <w:t>undertaken</w:t>
      </w:r>
      <w:r>
        <w:rPr>
          <w:color w:val="161616"/>
          <w:w w:val="105"/>
        </w:rPr>
        <w:t xml:space="preserve"> </w:t>
      </w:r>
      <w:r w:rsidRPr="00CE3223">
        <w:rPr>
          <w:color w:val="2B2B2B"/>
          <w:w w:val="105"/>
        </w:rPr>
        <w:t>not</w:t>
      </w:r>
      <w:r w:rsidRPr="00CE3223">
        <w:rPr>
          <w:color w:val="2B2B2B"/>
          <w:spacing w:val="-13"/>
          <w:w w:val="105"/>
        </w:rPr>
        <w:t xml:space="preserve"> </w:t>
      </w:r>
      <w:r w:rsidRPr="004B4633">
        <w:rPr>
          <w:color w:val="2B2B2B"/>
          <w:w w:val="105"/>
        </w:rPr>
        <w:t>to</w:t>
      </w:r>
      <w:r w:rsidRPr="004B4633">
        <w:rPr>
          <w:color w:val="2B2B2B"/>
          <w:spacing w:val="1"/>
          <w:w w:val="105"/>
        </w:rPr>
        <w:t xml:space="preserve"> </w:t>
      </w:r>
      <w:r w:rsidRPr="004B4633">
        <w:rPr>
          <w:color w:val="2B2B2B"/>
          <w:w w:val="105"/>
        </w:rPr>
        <w:t>sell</w:t>
      </w:r>
      <w:r w:rsidRPr="004B4633">
        <w:rPr>
          <w:color w:val="2B2B2B"/>
          <w:spacing w:val="-17"/>
          <w:w w:val="105"/>
        </w:rPr>
        <w:t xml:space="preserve"> </w:t>
      </w:r>
      <w:r w:rsidRPr="004B4633">
        <w:rPr>
          <w:color w:val="161616"/>
          <w:spacing w:val="13"/>
          <w:w w:val="105"/>
        </w:rPr>
        <w:t>f</w:t>
      </w:r>
      <w:r w:rsidRPr="004B4633">
        <w:rPr>
          <w:color w:val="3F3F3F"/>
          <w:w w:val="105"/>
        </w:rPr>
        <w:t>urther</w:t>
      </w:r>
      <w:r w:rsidRPr="004B4633">
        <w:rPr>
          <w:color w:val="3F3F3F"/>
          <w:spacing w:val="2"/>
          <w:w w:val="105"/>
        </w:rPr>
        <w:t xml:space="preserve"> </w:t>
      </w:r>
      <w:r w:rsidRPr="004B4633">
        <w:rPr>
          <w:color w:val="3F3F3F"/>
          <w:w w:val="105"/>
        </w:rPr>
        <w:t>shares</w:t>
      </w:r>
      <w:r w:rsidRPr="004B4633">
        <w:rPr>
          <w:color w:val="3F3F3F"/>
          <w:spacing w:val="9"/>
          <w:w w:val="105"/>
        </w:rPr>
        <w:t xml:space="preserve"> </w:t>
      </w:r>
      <w:r w:rsidRPr="004B4633">
        <w:rPr>
          <w:color w:val="2B2B2B"/>
          <w:spacing w:val="-14"/>
          <w:w w:val="105"/>
        </w:rPr>
        <w:t>i</w:t>
      </w:r>
      <w:r w:rsidRPr="004B4633">
        <w:rPr>
          <w:color w:val="2B2B2B"/>
          <w:w w:val="105"/>
        </w:rPr>
        <w:t>n</w:t>
      </w:r>
      <w:r w:rsidRPr="004B4633">
        <w:rPr>
          <w:color w:val="2B2B2B"/>
          <w:w w:val="106"/>
        </w:rPr>
        <w:t xml:space="preserve"> </w:t>
      </w:r>
      <w:r w:rsidRPr="004B4633">
        <w:rPr>
          <w:color w:val="2B2B2B"/>
          <w:w w:val="105"/>
        </w:rPr>
        <w:t>PTSB</w:t>
      </w:r>
      <w:r w:rsidRPr="004B4633">
        <w:rPr>
          <w:color w:val="2B2B2B"/>
          <w:spacing w:val="-1"/>
          <w:w w:val="105"/>
        </w:rPr>
        <w:t xml:space="preserve"> </w:t>
      </w:r>
      <w:r w:rsidRPr="004B4633">
        <w:rPr>
          <w:color w:val="2B2B2B"/>
          <w:w w:val="105"/>
        </w:rPr>
        <w:t>for</w:t>
      </w:r>
      <w:r w:rsidRPr="004B4633">
        <w:rPr>
          <w:color w:val="2B2B2B"/>
          <w:spacing w:val="4"/>
          <w:w w:val="105"/>
        </w:rPr>
        <w:t xml:space="preserve"> </w:t>
      </w:r>
      <w:r w:rsidRPr="004B4633">
        <w:rPr>
          <w:color w:val="2B2B2B"/>
          <w:w w:val="105"/>
        </w:rPr>
        <w:t>a</w:t>
      </w:r>
      <w:r w:rsidRPr="004B4633">
        <w:rPr>
          <w:color w:val="2B2B2B"/>
          <w:spacing w:val="1"/>
          <w:w w:val="105"/>
        </w:rPr>
        <w:t xml:space="preserve"> </w:t>
      </w:r>
      <w:r w:rsidRPr="004B4633">
        <w:rPr>
          <w:color w:val="2B2B2B"/>
          <w:w w:val="105"/>
        </w:rPr>
        <w:t>period</w:t>
      </w:r>
      <w:r w:rsidRPr="004B4633">
        <w:rPr>
          <w:color w:val="2B2B2B"/>
          <w:spacing w:val="-8"/>
          <w:w w:val="105"/>
        </w:rPr>
        <w:t xml:space="preserve"> </w:t>
      </w:r>
      <w:r w:rsidRPr="004B4633">
        <w:rPr>
          <w:color w:val="2B2B2B"/>
          <w:w w:val="105"/>
        </w:rPr>
        <w:t>of</w:t>
      </w:r>
      <w:r w:rsidRPr="004B4633">
        <w:rPr>
          <w:color w:val="2B2B2B"/>
          <w:spacing w:val="-9"/>
          <w:w w:val="105"/>
        </w:rPr>
        <w:t xml:space="preserve"> 9</w:t>
      </w:r>
      <w:r w:rsidRPr="004B4633">
        <w:rPr>
          <w:color w:val="2B2B2B"/>
          <w:w w:val="105"/>
        </w:rPr>
        <w:t>0</w:t>
      </w:r>
      <w:r w:rsidRPr="004B4633">
        <w:rPr>
          <w:color w:val="2B2B2B"/>
          <w:spacing w:val="-7"/>
          <w:w w:val="105"/>
        </w:rPr>
        <w:t xml:space="preserve"> </w:t>
      </w:r>
      <w:r w:rsidRPr="004B4633">
        <w:rPr>
          <w:color w:val="2B2B2B"/>
          <w:w w:val="105"/>
        </w:rPr>
        <w:t>calendar</w:t>
      </w:r>
      <w:r w:rsidRPr="004B4633">
        <w:rPr>
          <w:color w:val="2B2B2B"/>
          <w:spacing w:val="11"/>
          <w:w w:val="105"/>
        </w:rPr>
        <w:t xml:space="preserve"> </w:t>
      </w:r>
      <w:r w:rsidRPr="004B4633">
        <w:rPr>
          <w:color w:val="2B2B2B"/>
          <w:w w:val="105"/>
        </w:rPr>
        <w:t>days</w:t>
      </w:r>
      <w:r w:rsidRPr="004B4633">
        <w:rPr>
          <w:color w:val="2B2B2B"/>
          <w:spacing w:val="-5"/>
          <w:w w:val="105"/>
        </w:rPr>
        <w:t xml:space="preserve"> </w:t>
      </w:r>
      <w:r w:rsidRPr="004B4633">
        <w:rPr>
          <w:color w:val="2B2B2B"/>
          <w:w w:val="105"/>
        </w:rPr>
        <w:t>following</w:t>
      </w:r>
      <w:r w:rsidRPr="004B4633">
        <w:rPr>
          <w:color w:val="2B2B2B"/>
          <w:spacing w:val="8"/>
          <w:w w:val="105"/>
        </w:rPr>
        <w:t xml:space="preserve"> </w:t>
      </w:r>
      <w:r w:rsidRPr="004B4633">
        <w:rPr>
          <w:color w:val="2B2B2B"/>
          <w:w w:val="105"/>
        </w:rPr>
        <w:t>the</w:t>
      </w:r>
      <w:r w:rsidRPr="004B4633">
        <w:rPr>
          <w:color w:val="2B2B2B"/>
          <w:spacing w:val="6"/>
          <w:w w:val="105"/>
        </w:rPr>
        <w:t xml:space="preserve"> </w:t>
      </w:r>
      <w:r w:rsidRPr="004B4633">
        <w:rPr>
          <w:color w:val="3F3F3F"/>
          <w:w w:val="105"/>
        </w:rPr>
        <w:t>com</w:t>
      </w:r>
      <w:r w:rsidRPr="004B4633">
        <w:rPr>
          <w:color w:val="3F3F3F"/>
          <w:spacing w:val="9"/>
          <w:w w:val="105"/>
        </w:rPr>
        <w:t>p</w:t>
      </w:r>
      <w:r w:rsidRPr="004B4633">
        <w:rPr>
          <w:color w:val="161616"/>
          <w:spacing w:val="-23"/>
          <w:w w:val="105"/>
        </w:rPr>
        <w:t>l</w:t>
      </w:r>
      <w:r w:rsidRPr="004B4633">
        <w:rPr>
          <w:color w:val="161616"/>
          <w:w w:val="105"/>
        </w:rPr>
        <w:t>etion</w:t>
      </w:r>
      <w:r w:rsidRPr="004B4633">
        <w:rPr>
          <w:color w:val="161616"/>
          <w:spacing w:val="-6"/>
          <w:w w:val="105"/>
        </w:rPr>
        <w:t xml:space="preserve"> </w:t>
      </w:r>
      <w:r w:rsidRPr="004B4633">
        <w:rPr>
          <w:color w:val="3F3F3F"/>
          <w:w w:val="105"/>
        </w:rPr>
        <w:t>of</w:t>
      </w:r>
      <w:r w:rsidRPr="004B4633">
        <w:rPr>
          <w:color w:val="3F3F3F"/>
          <w:spacing w:val="-9"/>
          <w:w w:val="105"/>
        </w:rPr>
        <w:t xml:space="preserve"> </w:t>
      </w:r>
      <w:r w:rsidRPr="004B4633">
        <w:rPr>
          <w:color w:val="2B2B2B"/>
          <w:w w:val="105"/>
        </w:rPr>
        <w:t>the</w:t>
      </w:r>
      <w:r w:rsidRPr="004B4633">
        <w:rPr>
          <w:color w:val="2B2B2B"/>
          <w:spacing w:val="7"/>
          <w:w w:val="105"/>
        </w:rPr>
        <w:t xml:space="preserve"> </w:t>
      </w:r>
      <w:r w:rsidRPr="004B4633">
        <w:rPr>
          <w:color w:val="161616"/>
          <w:w w:val="105"/>
        </w:rPr>
        <w:t>P</w:t>
      </w:r>
      <w:r w:rsidRPr="004B4633">
        <w:rPr>
          <w:color w:val="161616"/>
          <w:spacing w:val="-15"/>
          <w:w w:val="105"/>
        </w:rPr>
        <w:t>l</w:t>
      </w:r>
      <w:r w:rsidRPr="004B4633">
        <w:rPr>
          <w:color w:val="161616"/>
          <w:spacing w:val="1"/>
          <w:w w:val="105"/>
        </w:rPr>
        <w:t>a</w:t>
      </w:r>
      <w:r w:rsidRPr="004B4633">
        <w:rPr>
          <w:color w:val="3F3F3F"/>
          <w:w w:val="105"/>
        </w:rPr>
        <w:t>cing</w:t>
      </w:r>
      <w:r w:rsidRPr="004B4633">
        <w:rPr>
          <w:color w:val="3F3F3F"/>
          <w:spacing w:val="-14"/>
          <w:w w:val="105"/>
        </w:rPr>
        <w:t xml:space="preserve"> </w:t>
      </w:r>
      <w:r>
        <w:rPr>
          <w:color w:val="3F3F3F"/>
          <w:w w:val="105"/>
        </w:rPr>
        <w:t>(</w:t>
      </w:r>
      <w:r>
        <w:rPr>
          <w:color w:val="2B2B2B"/>
          <w:w w:val="105"/>
        </w:rPr>
        <w:t>subject to waiver by one of the co-</w:t>
      </w:r>
      <w:r w:rsidRPr="000B1ECD">
        <w:rPr>
          <w:color w:val="2B2B2B"/>
          <w:w w:val="105"/>
        </w:rPr>
        <w:t>bookrunners</w:t>
      </w:r>
      <w:r>
        <w:rPr>
          <w:color w:val="2B2B2B"/>
          <w:w w:val="105"/>
        </w:rPr>
        <w:t xml:space="preserve"> and certain customary exceptions)</w:t>
      </w:r>
      <w:r w:rsidRPr="004B4633">
        <w:rPr>
          <w:color w:val="2B2B2B"/>
          <w:w w:val="105"/>
        </w:rPr>
        <w:t>.</w:t>
      </w:r>
      <w:r>
        <w:rPr>
          <w:color w:val="2B2B2B"/>
          <w:w w:val="105"/>
        </w:rPr>
        <w:t xml:space="preserve"> </w:t>
      </w:r>
    </w:p>
    <w:p w14:paraId="3BCF5B10" w14:textId="77777777" w:rsidR="00155D6C" w:rsidRPr="00C02E10" w:rsidRDefault="00155D6C" w:rsidP="00155D6C">
      <w:pPr>
        <w:pStyle w:val="BodyText"/>
        <w:spacing w:before="240" w:line="276" w:lineRule="auto"/>
        <w:ind w:right="114" w:firstLine="14"/>
        <w:jc w:val="both"/>
        <w:rPr>
          <w:color w:val="2B2B2B"/>
          <w:w w:val="105"/>
        </w:rPr>
      </w:pPr>
      <w:r w:rsidRPr="00C02E10">
        <w:rPr>
          <w:color w:val="2B2B2B"/>
          <w:w w:val="105"/>
        </w:rPr>
        <w:t xml:space="preserve">Details of </w:t>
      </w:r>
      <w:r w:rsidRPr="00CE3223">
        <w:rPr>
          <w:color w:val="2B2B2B"/>
          <w:w w:val="105"/>
        </w:rPr>
        <w:t>the</w:t>
      </w:r>
      <w:r w:rsidRPr="00C02E10">
        <w:rPr>
          <w:color w:val="2B2B2B"/>
          <w:w w:val="105"/>
        </w:rPr>
        <w:t xml:space="preserve"> Placing Price and </w:t>
      </w:r>
      <w:r w:rsidRPr="00CE3223">
        <w:rPr>
          <w:color w:val="2B2B2B"/>
          <w:w w:val="105"/>
        </w:rPr>
        <w:t>the exact</w:t>
      </w:r>
      <w:r w:rsidRPr="00C02E10">
        <w:rPr>
          <w:color w:val="2B2B2B"/>
          <w:w w:val="105"/>
        </w:rPr>
        <w:t xml:space="preserve"> </w:t>
      </w:r>
      <w:r w:rsidRPr="00CE3223">
        <w:rPr>
          <w:color w:val="2B2B2B"/>
          <w:w w:val="105"/>
        </w:rPr>
        <w:t>number</w:t>
      </w:r>
      <w:r w:rsidRPr="00C02E10">
        <w:rPr>
          <w:color w:val="2B2B2B"/>
          <w:w w:val="105"/>
        </w:rPr>
        <w:t xml:space="preserve"> </w:t>
      </w:r>
      <w:r w:rsidRPr="00CE3223">
        <w:rPr>
          <w:color w:val="2B2B2B"/>
          <w:w w:val="105"/>
        </w:rPr>
        <w:t>of</w:t>
      </w:r>
      <w:r w:rsidRPr="00C02E10">
        <w:rPr>
          <w:color w:val="2B2B2B"/>
          <w:w w:val="105"/>
        </w:rPr>
        <w:t xml:space="preserve"> Placing Shares wi</w:t>
      </w:r>
      <w:r w:rsidRPr="00CE3223">
        <w:rPr>
          <w:color w:val="2B2B2B"/>
          <w:w w:val="105"/>
        </w:rPr>
        <w:t>ll</w:t>
      </w:r>
      <w:r w:rsidRPr="00C02E10">
        <w:rPr>
          <w:color w:val="2B2B2B"/>
          <w:w w:val="105"/>
        </w:rPr>
        <w:t xml:space="preserve"> </w:t>
      </w:r>
      <w:r w:rsidRPr="00CE3223">
        <w:rPr>
          <w:color w:val="2B2B2B"/>
          <w:w w:val="105"/>
        </w:rPr>
        <w:t>be</w:t>
      </w:r>
      <w:r w:rsidRPr="00C02E10">
        <w:rPr>
          <w:color w:val="2B2B2B"/>
          <w:w w:val="105"/>
        </w:rPr>
        <w:t xml:space="preserve"> </w:t>
      </w:r>
      <w:r w:rsidRPr="00CE3223">
        <w:rPr>
          <w:color w:val="2B2B2B"/>
          <w:w w:val="105"/>
        </w:rPr>
        <w:t>announced</w:t>
      </w:r>
      <w:r w:rsidRPr="00C02E10">
        <w:rPr>
          <w:color w:val="2B2B2B"/>
          <w:w w:val="105"/>
        </w:rPr>
        <w:t xml:space="preserve"> i</w:t>
      </w:r>
      <w:r w:rsidRPr="00CE3223">
        <w:rPr>
          <w:color w:val="2B2B2B"/>
          <w:w w:val="105"/>
        </w:rPr>
        <w:t>n</w:t>
      </w:r>
      <w:r w:rsidRPr="00C02E10">
        <w:rPr>
          <w:color w:val="2B2B2B"/>
          <w:w w:val="105"/>
        </w:rPr>
        <w:t xml:space="preserve"> </w:t>
      </w:r>
      <w:r w:rsidRPr="00CE3223">
        <w:rPr>
          <w:color w:val="2B2B2B"/>
          <w:w w:val="105"/>
        </w:rPr>
        <w:t>due</w:t>
      </w:r>
      <w:r w:rsidRPr="00C02E10">
        <w:rPr>
          <w:color w:val="2B2B2B"/>
          <w:w w:val="105"/>
        </w:rPr>
        <w:t xml:space="preserve"> course.</w:t>
      </w:r>
    </w:p>
    <w:p w14:paraId="1CE5485C" w14:textId="77777777" w:rsidR="00155D6C" w:rsidRDefault="00155D6C" w:rsidP="00155D6C">
      <w:pPr>
        <w:pStyle w:val="BodyText"/>
        <w:ind w:left="0"/>
        <w:jc w:val="both"/>
        <w:rPr>
          <w:b/>
        </w:rPr>
      </w:pPr>
    </w:p>
    <w:p w14:paraId="2315B935" w14:textId="77777777" w:rsidR="00155D6C" w:rsidRPr="00AE3A54" w:rsidRDefault="00155D6C" w:rsidP="00155D6C">
      <w:pPr>
        <w:pStyle w:val="BodyText"/>
        <w:ind w:left="0"/>
        <w:jc w:val="both"/>
        <w:rPr>
          <w:b/>
        </w:rPr>
      </w:pPr>
      <w:r w:rsidRPr="00AE3A54">
        <w:rPr>
          <w:b/>
        </w:rPr>
        <w:t>Further information:</w:t>
      </w:r>
    </w:p>
    <w:p w14:paraId="136EDA2F" w14:textId="77777777" w:rsidR="00155D6C" w:rsidRPr="00AE3A54" w:rsidRDefault="00155D6C" w:rsidP="00155D6C">
      <w:pPr>
        <w:pStyle w:val="BodyText"/>
        <w:ind w:left="0"/>
        <w:jc w:val="both"/>
        <w:rPr>
          <w:b/>
        </w:rPr>
      </w:pPr>
    </w:p>
    <w:p w14:paraId="1EB4EBD5" w14:textId="77777777" w:rsidR="00155D6C" w:rsidRPr="00AE3A54" w:rsidRDefault="00155D6C" w:rsidP="00155D6C">
      <w:pPr>
        <w:pStyle w:val="BodyText"/>
        <w:ind w:left="0"/>
        <w:jc w:val="both"/>
        <w:rPr>
          <w:b/>
        </w:rPr>
      </w:pPr>
      <w:r w:rsidRPr="00AE3A54">
        <w:rPr>
          <w:b/>
        </w:rPr>
        <w:t xml:space="preserve"> </w:t>
      </w:r>
    </w:p>
    <w:p w14:paraId="1DC80B0B" w14:textId="77777777" w:rsidR="00155D6C" w:rsidRPr="00AE3A54" w:rsidRDefault="00155D6C" w:rsidP="00155D6C">
      <w:pPr>
        <w:pStyle w:val="BodyText"/>
        <w:ind w:left="0"/>
        <w:jc w:val="both"/>
        <w:rPr>
          <w:b/>
        </w:rPr>
      </w:pPr>
    </w:p>
    <w:p w14:paraId="1E5C7579" w14:textId="77777777" w:rsidR="00155D6C" w:rsidRPr="00AE3A54" w:rsidRDefault="00155D6C" w:rsidP="00155D6C">
      <w:pPr>
        <w:pStyle w:val="BodyText"/>
        <w:ind w:left="0"/>
        <w:jc w:val="both"/>
        <w:rPr>
          <w:b/>
        </w:rPr>
      </w:pPr>
      <w:r w:rsidRPr="00AE3A54">
        <w:rPr>
          <w:b/>
        </w:rPr>
        <w:t>Investor Relations</w:t>
      </w:r>
    </w:p>
    <w:p w14:paraId="5C135994" w14:textId="77777777" w:rsidR="00155D6C" w:rsidRPr="00AE3A54" w:rsidRDefault="00155D6C" w:rsidP="00155D6C">
      <w:pPr>
        <w:pStyle w:val="BodyText"/>
        <w:ind w:left="0"/>
        <w:jc w:val="both"/>
        <w:rPr>
          <w:b/>
        </w:rPr>
      </w:pPr>
      <w:r w:rsidRPr="00AE3A54">
        <w:rPr>
          <w:b/>
        </w:rPr>
        <w:t>+ 44 (0)207 672 1758</w:t>
      </w:r>
    </w:p>
    <w:p w14:paraId="6D606C90" w14:textId="77777777" w:rsidR="00155D6C" w:rsidRPr="00AE3A54" w:rsidRDefault="00155D6C" w:rsidP="00155D6C">
      <w:pPr>
        <w:pStyle w:val="BodyText"/>
        <w:ind w:left="0"/>
        <w:jc w:val="both"/>
        <w:rPr>
          <w:b/>
        </w:rPr>
      </w:pPr>
    </w:p>
    <w:p w14:paraId="2731BC70" w14:textId="77777777" w:rsidR="00155D6C" w:rsidRPr="00AE3A54" w:rsidRDefault="00155D6C" w:rsidP="00155D6C">
      <w:pPr>
        <w:pStyle w:val="BodyText"/>
        <w:ind w:left="0"/>
        <w:jc w:val="both"/>
        <w:rPr>
          <w:b/>
        </w:rPr>
      </w:pPr>
      <w:r w:rsidRPr="00AE3A54">
        <w:rPr>
          <w:b/>
        </w:rPr>
        <w:t xml:space="preserve"> </w:t>
      </w:r>
    </w:p>
    <w:p w14:paraId="3A16CC5C" w14:textId="77777777" w:rsidR="00155D6C" w:rsidRPr="00AE3A54" w:rsidRDefault="00155D6C" w:rsidP="00155D6C">
      <w:pPr>
        <w:pStyle w:val="BodyText"/>
        <w:ind w:left="0"/>
        <w:jc w:val="both"/>
        <w:rPr>
          <w:b/>
        </w:rPr>
      </w:pPr>
    </w:p>
    <w:p w14:paraId="17AABDB1" w14:textId="77777777" w:rsidR="00155D6C" w:rsidRPr="00AE3A54" w:rsidRDefault="00155D6C" w:rsidP="00155D6C">
      <w:pPr>
        <w:pStyle w:val="BodyText"/>
        <w:ind w:left="0"/>
        <w:jc w:val="both"/>
        <w:rPr>
          <w:b/>
        </w:rPr>
      </w:pPr>
      <w:r w:rsidRPr="00AE3A54">
        <w:rPr>
          <w:b/>
        </w:rPr>
        <w:t>Media Relations</w:t>
      </w:r>
    </w:p>
    <w:p w14:paraId="0C3BE1BB" w14:textId="77777777" w:rsidR="00155D6C" w:rsidRPr="00AE3A54" w:rsidRDefault="00155D6C" w:rsidP="00155D6C">
      <w:pPr>
        <w:pStyle w:val="BodyText"/>
        <w:ind w:left="0"/>
        <w:jc w:val="both"/>
        <w:rPr>
          <w:b/>
        </w:rPr>
      </w:pPr>
      <w:r w:rsidRPr="00AE3A54">
        <w:rPr>
          <w:b/>
        </w:rPr>
        <w:t>+44 (0)131 523 4205</w:t>
      </w:r>
    </w:p>
    <w:p w14:paraId="704F7FC6" w14:textId="77777777" w:rsidR="00155D6C" w:rsidRPr="00AE3A54" w:rsidRDefault="00155D6C" w:rsidP="00155D6C">
      <w:pPr>
        <w:pStyle w:val="BodyText"/>
        <w:jc w:val="both"/>
        <w:rPr>
          <w:b/>
        </w:rPr>
      </w:pPr>
    </w:p>
    <w:p w14:paraId="34E5BBA7" w14:textId="77777777" w:rsidR="00155D6C" w:rsidRPr="00AE3A54" w:rsidRDefault="00155D6C" w:rsidP="00155D6C">
      <w:pPr>
        <w:pStyle w:val="BodyText"/>
        <w:jc w:val="both"/>
        <w:rPr>
          <w:b/>
        </w:rPr>
      </w:pPr>
      <w:r w:rsidRPr="00AE3A54">
        <w:rPr>
          <w:b/>
        </w:rPr>
        <w:t xml:space="preserve"> </w:t>
      </w:r>
    </w:p>
    <w:p w14:paraId="6C5CBEB8" w14:textId="77777777" w:rsidR="00155D6C" w:rsidRPr="00AE3A54" w:rsidRDefault="00155D6C" w:rsidP="00155D6C">
      <w:pPr>
        <w:pStyle w:val="BodyText"/>
        <w:jc w:val="both"/>
        <w:rPr>
          <w:b/>
        </w:rPr>
      </w:pPr>
    </w:p>
    <w:p w14:paraId="3D0D9CDE" w14:textId="77777777" w:rsidR="00155D6C" w:rsidRDefault="00155D6C" w:rsidP="00155D6C">
      <w:pPr>
        <w:pStyle w:val="BodyText"/>
        <w:ind w:left="0"/>
        <w:jc w:val="both"/>
        <w:rPr>
          <w:b/>
        </w:rPr>
      </w:pPr>
      <w:r w:rsidRPr="00AE3A54">
        <w:rPr>
          <w:b/>
        </w:rPr>
        <w:t>Legal Entity Identifier: 2138005O9XJIJN4JPN90</w:t>
      </w:r>
    </w:p>
    <w:p w14:paraId="4E47CC96" w14:textId="77777777" w:rsidR="00155D6C" w:rsidRDefault="00155D6C" w:rsidP="00155D6C">
      <w:pPr>
        <w:pStyle w:val="BodyText"/>
        <w:ind w:left="0"/>
        <w:jc w:val="both"/>
        <w:rPr>
          <w:b/>
        </w:rPr>
      </w:pPr>
    </w:p>
    <w:p w14:paraId="33806B76" w14:textId="77777777" w:rsidR="00155D6C" w:rsidRDefault="00155D6C" w:rsidP="00155D6C">
      <w:pPr>
        <w:rPr>
          <w:b/>
          <w:color w:val="161616"/>
          <w:sz w:val="19"/>
        </w:rPr>
      </w:pPr>
      <w:r>
        <w:rPr>
          <w:b/>
          <w:color w:val="161616"/>
          <w:sz w:val="19"/>
        </w:rPr>
        <w:t xml:space="preserve">Disclaimer </w:t>
      </w:r>
    </w:p>
    <w:p w14:paraId="60A766F5" w14:textId="77777777" w:rsidR="00155D6C" w:rsidRDefault="00155D6C" w:rsidP="00155D6C">
      <w:pPr>
        <w:rPr>
          <w:b/>
          <w:color w:val="161616"/>
          <w:sz w:val="19"/>
        </w:rPr>
      </w:pPr>
    </w:p>
    <w:p w14:paraId="11259DB9" w14:textId="77777777" w:rsidR="00155D6C" w:rsidRPr="00117271" w:rsidRDefault="00155D6C" w:rsidP="00155D6C">
      <w:pPr>
        <w:jc w:val="both"/>
        <w:rPr>
          <w:b/>
          <w:color w:val="161616"/>
          <w:sz w:val="19"/>
          <w:lang w:val="en-IE"/>
        </w:rPr>
      </w:pPr>
      <w:r w:rsidRPr="00117271">
        <w:rPr>
          <w:b/>
          <w:color w:val="161616"/>
          <w:sz w:val="19"/>
          <w:lang w:val="en-IE"/>
        </w:rPr>
        <w:t>IMPORTANT NOTICE</w:t>
      </w:r>
    </w:p>
    <w:p w14:paraId="6B207814" w14:textId="77777777" w:rsidR="00155D6C" w:rsidRPr="00117271" w:rsidRDefault="00155D6C" w:rsidP="00155D6C">
      <w:pPr>
        <w:jc w:val="both"/>
        <w:rPr>
          <w:b/>
          <w:color w:val="161616"/>
          <w:sz w:val="19"/>
          <w:lang w:val="en-IE"/>
        </w:rPr>
      </w:pPr>
    </w:p>
    <w:p w14:paraId="57AB881B" w14:textId="77777777" w:rsidR="00155D6C" w:rsidRPr="005E0DE1" w:rsidRDefault="00155D6C" w:rsidP="00155D6C">
      <w:pPr>
        <w:jc w:val="both"/>
        <w:rPr>
          <w:bCs/>
          <w:color w:val="161616"/>
          <w:sz w:val="19"/>
          <w:lang w:val="en-IE"/>
        </w:rPr>
      </w:pPr>
      <w:r w:rsidRPr="005E0DE1">
        <w:rPr>
          <w:bCs/>
          <w:color w:val="161616"/>
          <w:sz w:val="19"/>
          <w:lang w:val="en-IE"/>
        </w:rPr>
        <w:t xml:space="preserve">The distribution of this announcement and the offer and sale of the Placing Shares in certain jurisdictions may be restricted by law. The Placing Shares may not be offered to the public in any jurisdiction in circumstances which would require the preparation or registration of any prospectus or offering document relating to the Placing Shares in such jurisdiction. No action has been taken by NatWest or any of its respective affiliates that would permit an offering of the Placing Shares or possession or distribution of this announcement or any other offering or publicity material relating to such securities in any jurisdiction where </w:t>
      </w:r>
      <w:r w:rsidRPr="005E0DE1">
        <w:rPr>
          <w:bCs/>
          <w:color w:val="161616"/>
          <w:sz w:val="19"/>
          <w:lang w:val="en-IE"/>
        </w:rPr>
        <w:lastRenderedPageBreak/>
        <w:t>action for that purpose is required. Persons into whose possession this announcement comes are required to inform themselves about and to observe any such restrictions.</w:t>
      </w:r>
    </w:p>
    <w:p w14:paraId="6A9162ED" w14:textId="77777777" w:rsidR="00155D6C" w:rsidRPr="005E0DE1" w:rsidRDefault="00155D6C" w:rsidP="00155D6C">
      <w:pPr>
        <w:jc w:val="both"/>
        <w:rPr>
          <w:bCs/>
          <w:color w:val="161616"/>
          <w:sz w:val="19"/>
          <w:lang w:val="en-IE"/>
        </w:rPr>
      </w:pPr>
    </w:p>
    <w:p w14:paraId="668D063F" w14:textId="77777777" w:rsidR="00155D6C" w:rsidRPr="005E0DE1" w:rsidRDefault="00155D6C" w:rsidP="00155D6C">
      <w:pPr>
        <w:jc w:val="both"/>
        <w:rPr>
          <w:bCs/>
          <w:color w:val="161616"/>
          <w:sz w:val="19"/>
          <w:lang w:val="en-IE"/>
        </w:rPr>
      </w:pPr>
      <w:r w:rsidRPr="005E0DE1">
        <w:rPr>
          <w:bCs/>
          <w:color w:val="161616"/>
          <w:sz w:val="19"/>
          <w:lang w:val="en-IE"/>
        </w:rPr>
        <w:t>This announcement is for information purposes only and does not constitute or form a part of an offer to sell or a solicitation of an offer to purchase any security of PTSB in the United States or in any other jurisdiction where such offer or solicitation is unlawful. The securities of PTSB described in this announcement have not been and will not be registered under the U.S. Securities Act of 1933, as amended (the "Securities Act"), or any applicable state or foreign securities laws and may not be offered or sold in the United States absent registration or an exemption from the registration requirements of the Securities Act. There shall be no public offering of securities in the United States.</w:t>
      </w:r>
    </w:p>
    <w:p w14:paraId="4B358B28" w14:textId="77777777" w:rsidR="00155D6C" w:rsidRPr="005E0DE1" w:rsidRDefault="00155D6C" w:rsidP="00155D6C">
      <w:pPr>
        <w:jc w:val="both"/>
        <w:rPr>
          <w:bCs/>
          <w:color w:val="161616"/>
          <w:sz w:val="19"/>
          <w:lang w:val="en-IE"/>
        </w:rPr>
      </w:pPr>
    </w:p>
    <w:p w14:paraId="6028696D" w14:textId="77777777" w:rsidR="00155D6C" w:rsidRPr="005E0DE1" w:rsidRDefault="00155D6C" w:rsidP="00155D6C">
      <w:pPr>
        <w:jc w:val="both"/>
        <w:rPr>
          <w:bCs/>
          <w:color w:val="161616"/>
          <w:sz w:val="19"/>
          <w:lang w:val="en-IE"/>
        </w:rPr>
      </w:pPr>
      <w:r w:rsidRPr="005E0DE1">
        <w:rPr>
          <w:bCs/>
          <w:color w:val="161616"/>
          <w:sz w:val="19"/>
          <w:lang w:val="en-IE"/>
        </w:rPr>
        <w:t xml:space="preserve">In member states of the European Economic Area, this announcement and any offer if made subsequently is directed exclusively at persons who are 'qualified investors' within the meaning of Regulation (EU) 2017/1129 (the “Prospectus Regulation”) (“Qualified Investors”). In the United Kingdom this announcement is directed exclusively at persons who are 'qualified investors' within the meaning of the Prospectus Regulation (as it forms part of United Kingdom domestic law by virtue of the European Union (Withdrawal) Act 2018) (i) who have professional experience in matters relating to investments falling within Article 19(5) of the Financial Services and Markets Act 2000 (Financial Promotion) Order 2005, as amended (the “Order”), or (ii) who fall within Article 49(2)(a) to (d) of the Order, or (iii) to whom it may otherwise lawfully be communicated (all such persons together being referred to as "Relevant Persons"). This Announcement must not be acted on or relied on by persons who are not Relevant Persons, if in the United Kingdom, or Qualified Investors, if in a member state of the European Economic Area. </w:t>
      </w:r>
    </w:p>
    <w:p w14:paraId="09616A05" w14:textId="77777777" w:rsidR="00155D6C" w:rsidRPr="005E0DE1" w:rsidRDefault="00155D6C" w:rsidP="00155D6C">
      <w:pPr>
        <w:jc w:val="both"/>
        <w:rPr>
          <w:bCs/>
          <w:color w:val="161616"/>
          <w:sz w:val="19"/>
          <w:lang w:val="en-IE"/>
        </w:rPr>
      </w:pPr>
    </w:p>
    <w:p w14:paraId="792CF91C" w14:textId="77777777" w:rsidR="00155D6C" w:rsidRPr="005E0DE1" w:rsidRDefault="00155D6C" w:rsidP="00155D6C">
      <w:pPr>
        <w:jc w:val="both"/>
        <w:rPr>
          <w:bCs/>
          <w:color w:val="161616"/>
          <w:sz w:val="19"/>
          <w:lang w:val="en-IE"/>
        </w:rPr>
      </w:pPr>
    </w:p>
    <w:p w14:paraId="4D5DA952" w14:textId="77777777" w:rsidR="00155D6C" w:rsidRPr="005E0DE1" w:rsidRDefault="00155D6C" w:rsidP="00155D6C">
      <w:pPr>
        <w:jc w:val="both"/>
        <w:rPr>
          <w:bCs/>
          <w:color w:val="161616"/>
          <w:sz w:val="19"/>
        </w:rPr>
      </w:pPr>
      <w:r w:rsidRPr="005E0DE1">
        <w:rPr>
          <w:bCs/>
          <w:color w:val="161616"/>
          <w:sz w:val="19"/>
          <w:lang w:val="en-IE"/>
        </w:rPr>
        <w:t>No Placing Shares will be available to any investor whose purchase of such Placing Shares, whether on its own account or as a fiduciary or agent for one or more investor accounts, would require regulatory consent in any jurisdiction (including, without limitation, under the UK Financial Services and Markets Act 2000 or the United States Bank Holding Company Act of 1956).</w:t>
      </w:r>
      <w:r w:rsidRPr="005E0DE1" w:rsidDel="007636B8">
        <w:rPr>
          <w:bCs/>
          <w:color w:val="161616"/>
          <w:sz w:val="19"/>
        </w:rPr>
        <w:t xml:space="preserve"> </w:t>
      </w:r>
    </w:p>
    <w:p w14:paraId="1D359C43" w14:textId="77777777" w:rsidR="00155D6C" w:rsidRDefault="00155D6C" w:rsidP="00155D6C">
      <w:pPr>
        <w:rPr>
          <w:b/>
          <w:color w:val="161616"/>
          <w:sz w:val="19"/>
        </w:rPr>
      </w:pPr>
    </w:p>
    <w:p w14:paraId="2CB87847" w14:textId="77777777" w:rsidR="00155D6C" w:rsidRDefault="00155D6C" w:rsidP="00155D6C">
      <w:pPr>
        <w:rPr>
          <w:b/>
          <w:color w:val="161616"/>
          <w:sz w:val="19"/>
        </w:rPr>
      </w:pPr>
      <w:r w:rsidRPr="003F6A61">
        <w:rPr>
          <w:b/>
          <w:color w:val="161616"/>
          <w:sz w:val="19"/>
        </w:rPr>
        <w:t>Forward-looking statements</w:t>
      </w:r>
    </w:p>
    <w:p w14:paraId="3BEB0FA3" w14:textId="77777777" w:rsidR="00155D6C" w:rsidRPr="003F6A61" w:rsidRDefault="00155D6C" w:rsidP="00155D6C">
      <w:pPr>
        <w:rPr>
          <w:b/>
          <w:color w:val="161616"/>
          <w:sz w:val="19"/>
        </w:rPr>
      </w:pPr>
    </w:p>
    <w:p w14:paraId="43C3C3DF" w14:textId="7575A76F" w:rsidR="00155D6C" w:rsidRPr="005E0DE1" w:rsidRDefault="00155D6C" w:rsidP="00155D6C">
      <w:pPr>
        <w:jc w:val="both"/>
        <w:rPr>
          <w:bCs/>
          <w:color w:val="161616"/>
          <w:sz w:val="19"/>
        </w:rPr>
      </w:pPr>
      <w:r w:rsidRPr="005E0DE1">
        <w:rPr>
          <w:bCs/>
          <w:color w:val="161616"/>
          <w:sz w:val="19"/>
        </w:rPr>
        <w:t>This document may include forward-looking statements within the meaning of the United States Private Securities Litigation Reform Act of 1995, such as statements that include, without limitation, the words ‘expect’, ‘estimate’, ‘project’, ‘anticipate’, ‘commit’, ‘believe’, ‘should’, ‘intend’, ‘will’, ‘plan’, ‘could’, ‘probability’, ‘risk’, ‘Value-at-Risk (</w:t>
      </w:r>
      <w:proofErr w:type="spellStart"/>
      <w:r w:rsidRPr="005E0DE1">
        <w:rPr>
          <w:bCs/>
          <w:color w:val="161616"/>
          <w:sz w:val="19"/>
        </w:rPr>
        <w:t>VaR</w:t>
      </w:r>
      <w:proofErr w:type="spellEnd"/>
      <w:r w:rsidRPr="005E0DE1">
        <w:rPr>
          <w:bCs/>
          <w:color w:val="161616"/>
          <w:sz w:val="19"/>
        </w:rPr>
        <w:t>)’, ‘target’, ‘goal’, ‘objective’, ‘may’, ‘</w:t>
      </w:r>
      <w:proofErr w:type="spellStart"/>
      <w:r w:rsidRPr="005E0DE1">
        <w:rPr>
          <w:bCs/>
          <w:color w:val="161616"/>
          <w:sz w:val="19"/>
        </w:rPr>
        <w:t>endeavour</w:t>
      </w:r>
      <w:proofErr w:type="spellEnd"/>
      <w:r w:rsidRPr="005E0DE1">
        <w:rPr>
          <w:bCs/>
          <w:color w:val="161616"/>
          <w:sz w:val="19"/>
        </w:rPr>
        <w:t>’, ‘outlook’, ‘optimistic’, ‘prospects’ and similar expressions or variations on these expressions. These statements concern or may affect future matters, such as NatWest’s future economic results, business plans and strategies</w:t>
      </w:r>
      <w:r>
        <w:rPr>
          <w:bCs/>
          <w:color w:val="161616"/>
          <w:sz w:val="19"/>
        </w:rPr>
        <w:t xml:space="preserve"> and the successful completion of the placing</w:t>
      </w:r>
      <w:r w:rsidRPr="005E0DE1">
        <w:rPr>
          <w:bCs/>
          <w:color w:val="161616"/>
          <w:sz w:val="19"/>
        </w:rPr>
        <w:t>.  In particular, this document may include forward-looking statements relating to NatWest in respect of, but not limited to: its economic and political risks, its regulatory capital position and related requirements, its financial position, profitability and financial performance (</w:t>
      </w:r>
      <w:r w:rsidR="00976F26" w:rsidRPr="00976F26">
        <w:rPr>
          <w:bCs/>
          <w:color w:val="161616"/>
          <w:sz w:val="19"/>
        </w:rPr>
        <w:t>including financial, capital, cost savings and operational targets), the implementation of its purpose-led strategy, its environmental, social and governance and climate related targets, its access to adequate sources of</w:t>
      </w:r>
      <w:r w:rsidR="00177DEA">
        <w:rPr>
          <w:bCs/>
          <w:color w:val="161616"/>
          <w:sz w:val="19"/>
        </w:rPr>
        <w:t xml:space="preserve"> </w:t>
      </w:r>
      <w:r w:rsidRPr="005E0DE1">
        <w:rPr>
          <w:bCs/>
          <w:color w:val="161616"/>
          <w:sz w:val="19"/>
        </w:rPr>
        <w:t xml:space="preserve"> liquidity and funding, increasing competition from new incumbents and disruptive technologies, its exposure to third party risks, its ongoing compliance with the UK ring-fencing regime and ensuring operational continuity in resolution, its impairment losses and credit exposures under certain specified scenarios, substantial regulation and oversight, ongoing </w:t>
      </w:r>
      <w:proofErr w:type="spellStart"/>
      <w:r w:rsidRPr="005E0DE1">
        <w:rPr>
          <w:bCs/>
          <w:color w:val="161616"/>
          <w:sz w:val="19"/>
        </w:rPr>
        <w:t>legal,</w:t>
      </w:r>
      <w:proofErr w:type="spellEnd"/>
      <w:r w:rsidRPr="005E0DE1">
        <w:rPr>
          <w:bCs/>
          <w:color w:val="161616"/>
          <w:sz w:val="19"/>
        </w:rPr>
        <w:t xml:space="preserve"> regulatory and governmental actions and investigations, the transition of LIBOR and IBOR rates to replacement risk free rates and NatWest’s exposure to operational risk, conduct risk, cyber, data and IT risk, financial crime risk, key person risk and credit rating risk. Forward-looking statements are subject to a number of risks and uncertainties that might cause actual results and performance to differ materially from any expected future results or performance expressed or implied by the forward-looking statements. Factors that could cause or contribute to differences in current expectations include, but are not limited to, future growth initiatives (including acquisitions, joint ventures and strategic partnerships), the outcome of </w:t>
      </w:r>
      <w:proofErr w:type="spellStart"/>
      <w:r w:rsidRPr="005E0DE1">
        <w:rPr>
          <w:bCs/>
          <w:color w:val="161616"/>
          <w:sz w:val="19"/>
        </w:rPr>
        <w:t>legal,</w:t>
      </w:r>
      <w:proofErr w:type="spellEnd"/>
      <w:r w:rsidRPr="005E0DE1">
        <w:rPr>
          <w:bCs/>
          <w:color w:val="161616"/>
          <w:sz w:val="19"/>
        </w:rPr>
        <w:t xml:space="preserve"> regulatory and governmental actions and investigations, the level and extent of future impairments and write-downs, legislative, political, fiscal and regulatory developments, accounting standards, competitive conditions, technological developments, interest and exchange rate fluctuations, general economic and political conditions and the impact of climate-related risks and the transitioning to a net zero economy. These and other factors, risks and uncertainties that may impact any forward-looking statement or NatWest’s actual results are discussed in NatWest’s 2022 Annual Report on Form 20-F, NatWest’s Interim Management Statement for Q1 2023 on Form 6-K and its other filings with the US Securities and Exchange Commission. The forward-looking statements contained in this document speak only as of the date of this document and NatWest does not assume or undertake any obligation or responsibility to update any of the forward-looking statements contained in this document, whether as a result of new information, future events or otherwise, except to the extent legally required.</w:t>
      </w:r>
    </w:p>
    <w:p w14:paraId="483E0BD1" w14:textId="77777777" w:rsidR="00155D6C" w:rsidRDefault="00155D6C" w:rsidP="00155D6C">
      <w:pPr>
        <w:rPr>
          <w:b/>
          <w:color w:val="161616"/>
          <w:sz w:val="19"/>
        </w:rPr>
      </w:pPr>
    </w:p>
    <w:p w14:paraId="0F58278C" w14:textId="77777777" w:rsidR="00155D6C" w:rsidRDefault="00155D6C" w:rsidP="00155D6C">
      <w:pPr>
        <w:rPr>
          <w:b/>
          <w:color w:val="161616"/>
          <w:sz w:val="19"/>
        </w:rPr>
      </w:pPr>
    </w:p>
    <w:p w14:paraId="23953443" w14:textId="77777777" w:rsidR="000D1FCD" w:rsidRDefault="003972E0"/>
    <w:sectPr w:rsidR="000D1F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C STKaiti">
    <w:altName w:val="Microsoft YaHei"/>
    <w:charset w:val="86"/>
    <w:family w:val="auto"/>
    <w:pitch w:val="variable"/>
    <w:sig w:usb0="00000000"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D6C"/>
    <w:rsid w:val="00155D6C"/>
    <w:rsid w:val="00177DEA"/>
    <w:rsid w:val="001A6CD4"/>
    <w:rsid w:val="003972E0"/>
    <w:rsid w:val="0063441B"/>
    <w:rsid w:val="009305FE"/>
    <w:rsid w:val="00976F26"/>
    <w:rsid w:val="00A41C14"/>
    <w:rsid w:val="00C232E1"/>
    <w:rsid w:val="00DE76A6"/>
    <w:rsid w:val="00E25C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4A2C8"/>
  <w15:chartTrackingRefBased/>
  <w15:docId w15:val="{5517CFE1-A005-4231-89BC-74D5640AE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5D6C"/>
    <w:pPr>
      <w:spacing w:after="0" w:line="240" w:lineRule="auto"/>
    </w:pPr>
    <w:rPr>
      <w:rFonts w:ascii="Arial" w:eastAsia="SC STKaiti" w:hAnsi="Arial" w:cs="Times New Roman"/>
      <w:sz w:val="24"/>
      <w:szCs w:val="24"/>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155D6C"/>
    <w:pPr>
      <w:widowControl w:val="0"/>
      <w:ind w:left="163"/>
    </w:pPr>
    <w:rPr>
      <w:rFonts w:eastAsia="Arial" w:cstheme="minorBidi"/>
      <w:sz w:val="19"/>
      <w:szCs w:val="19"/>
      <w:lang w:val="en-IE" w:eastAsia="en-US"/>
    </w:rPr>
  </w:style>
  <w:style w:type="character" w:customStyle="1" w:styleId="BodyTextChar">
    <w:name w:val="Body Text Char"/>
    <w:basedOn w:val="DefaultParagraphFont"/>
    <w:link w:val="BodyText"/>
    <w:uiPriority w:val="1"/>
    <w:rsid w:val="00155D6C"/>
    <w:rPr>
      <w:rFonts w:ascii="Arial" w:eastAsia="Arial" w:hAnsi="Arial"/>
      <w:sz w:val="19"/>
      <w:szCs w:val="19"/>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1266</Words>
  <Characters>7217</Characters>
  <Application>Microsoft Office Word</Application>
  <DocSecurity>4</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Davidson, Angus (Legal, Governance &amp; Regulatory Affairs)</dc:creator>
  <cp:keywords/>
  <dc:description/>
  <cp:lastModifiedBy>Morgan, Andrew (Legal, Governance &amp; Regulatory Affairs)</cp:lastModifiedBy>
  <cp:revision>2</cp:revision>
  <dcterms:created xsi:type="dcterms:W3CDTF">2023-06-01T16:11:00Z</dcterms:created>
  <dcterms:modified xsi:type="dcterms:W3CDTF">2023-06-01T16:11:00Z</dcterms:modified>
</cp:coreProperties>
</file>