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699419" w14:textId="77777777" w:rsidR="00966E46" w:rsidRDefault="00966E46" w:rsidP="009E769E">
      <w:pPr>
        <w:spacing w:before="100" w:beforeAutospacing="1" w:after="100" w:afterAutospacing="1" w:line="240" w:lineRule="auto"/>
        <w:rPr>
          <w:rFonts w:ascii="RN House Sans Regular" w:eastAsia="Times New Roman" w:hAnsi="RN House Sans Regular" w:cs="Arial"/>
          <w:b/>
          <w:bCs/>
          <w:color w:val="000000"/>
          <w:sz w:val="21"/>
          <w:szCs w:val="21"/>
          <w:lang w:val="en" w:eastAsia="en-GB"/>
        </w:rPr>
      </w:pPr>
    </w:p>
    <w:p w14:paraId="6A50A552" w14:textId="04C7D601" w:rsidR="009E769E" w:rsidRPr="00EF695D" w:rsidRDefault="009E769E" w:rsidP="009E769E">
      <w:pPr>
        <w:spacing w:before="100" w:beforeAutospacing="1" w:after="100" w:afterAutospacing="1" w:line="240" w:lineRule="auto"/>
        <w:rPr>
          <w:rFonts w:ascii="RN House Sans Regular" w:eastAsia="Times New Roman" w:hAnsi="RN House Sans Regular" w:cs="Arial"/>
          <w:b/>
          <w:color w:val="000000"/>
          <w:highlight w:val="yellow"/>
          <w:lang w:val="en" w:eastAsia="en-GB"/>
        </w:rPr>
      </w:pPr>
      <w:r w:rsidRPr="00EF695D">
        <w:rPr>
          <w:rFonts w:ascii="RN House Sans Regular" w:eastAsia="Times New Roman" w:hAnsi="RN House Sans Regular" w:cs="Arial"/>
          <w:b/>
          <w:bCs/>
          <w:color w:val="000000"/>
          <w:lang w:val="en" w:eastAsia="en-GB"/>
        </w:rPr>
        <w:t>NatWest Group plc</w:t>
      </w:r>
    </w:p>
    <w:p w14:paraId="32E33419" w14:textId="4EAEFFB6" w:rsidR="009E769E" w:rsidRPr="00A41CD8" w:rsidRDefault="002F409B" w:rsidP="009E769E">
      <w:pPr>
        <w:spacing w:before="100" w:beforeAutospacing="1" w:after="100" w:afterAutospacing="1" w:line="240" w:lineRule="auto"/>
        <w:rPr>
          <w:rFonts w:ascii="RN House Sans Regular" w:eastAsia="Times New Roman" w:hAnsi="RN House Sans Regular" w:cs="Arial"/>
          <w:lang w:val="en" w:eastAsia="en-GB"/>
        </w:rPr>
      </w:pPr>
      <w:r>
        <w:rPr>
          <w:rFonts w:ascii="RN House Sans Regular" w:eastAsia="Times New Roman" w:hAnsi="RN House Sans Regular" w:cs="Arial"/>
          <w:lang w:val="en" w:eastAsia="en-GB"/>
        </w:rPr>
        <w:t>31 July</w:t>
      </w:r>
      <w:r w:rsidR="009E769E" w:rsidRPr="00A41CD8">
        <w:rPr>
          <w:rFonts w:ascii="RN House Sans Regular" w:eastAsia="Times New Roman" w:hAnsi="RN House Sans Regular" w:cs="Arial"/>
          <w:lang w:val="en" w:eastAsia="en-GB"/>
        </w:rPr>
        <w:t xml:space="preserve"> </w:t>
      </w:r>
      <w:r w:rsidR="00E94733">
        <w:rPr>
          <w:rFonts w:ascii="RN House Sans Regular" w:eastAsia="Times New Roman" w:hAnsi="RN House Sans Regular" w:cs="Arial"/>
          <w:lang w:val="en" w:eastAsia="en-GB"/>
        </w:rPr>
        <w:t>2023</w:t>
      </w:r>
      <w:r w:rsidR="00AB01E2">
        <w:rPr>
          <w:rFonts w:ascii="RN House Sans Regular" w:eastAsia="Times New Roman" w:hAnsi="RN House Sans Regular" w:cs="Arial"/>
          <w:lang w:val="en" w:eastAsia="en-GB"/>
        </w:rPr>
        <w:br/>
      </w:r>
    </w:p>
    <w:p w14:paraId="51527FD8" w14:textId="238F041B" w:rsidR="009E769E" w:rsidRPr="00A41CD8" w:rsidRDefault="00867445" w:rsidP="009E769E">
      <w:pPr>
        <w:spacing w:before="100" w:beforeAutospacing="1" w:after="240" w:line="240" w:lineRule="auto"/>
        <w:rPr>
          <w:rFonts w:ascii="RN House Sans Regular" w:eastAsia="Times New Roman" w:hAnsi="RN House Sans Regular" w:cs="Arial"/>
          <w:b/>
          <w:bCs/>
          <w:lang w:val="en" w:eastAsia="en-GB"/>
        </w:rPr>
      </w:pPr>
      <w:r w:rsidRPr="00A41CD8">
        <w:rPr>
          <w:rFonts w:ascii="RN House Sans Regular" w:eastAsia="Times New Roman" w:hAnsi="RN House Sans Regular" w:cs="Arial"/>
          <w:b/>
          <w:lang w:val="en" w:eastAsia="en-GB"/>
        </w:rPr>
        <w:t xml:space="preserve">Commencement </w:t>
      </w:r>
      <w:r w:rsidRPr="00A41CD8">
        <w:rPr>
          <w:rFonts w:ascii="RN House Sans Regular" w:eastAsia="Arial" w:hAnsi="RN House Sans Regular" w:cs="Arial"/>
          <w:b/>
          <w:bCs/>
          <w:spacing w:val="-3"/>
        </w:rPr>
        <w:t>o</w:t>
      </w:r>
      <w:r w:rsidRPr="00A41CD8">
        <w:rPr>
          <w:rFonts w:ascii="RN House Sans Regular" w:eastAsia="Arial" w:hAnsi="RN House Sans Regular" w:cs="Arial"/>
          <w:b/>
          <w:bCs/>
        </w:rPr>
        <w:t>f</w:t>
      </w:r>
      <w:r w:rsidRPr="00A41CD8">
        <w:rPr>
          <w:rFonts w:ascii="RN House Sans Regular" w:eastAsia="Arial" w:hAnsi="RN House Sans Regular" w:cs="Arial"/>
          <w:b/>
          <w:bCs/>
          <w:spacing w:val="10"/>
        </w:rPr>
        <w:t xml:space="preserve"> </w:t>
      </w:r>
      <w:r w:rsidR="00B1099C">
        <w:rPr>
          <w:rFonts w:ascii="RN House Sans Regular" w:eastAsia="Arial" w:hAnsi="RN House Sans Regular" w:cs="Arial"/>
          <w:b/>
          <w:bCs/>
          <w:spacing w:val="10"/>
        </w:rPr>
        <w:t xml:space="preserve">On Market </w:t>
      </w:r>
      <w:r w:rsidRPr="00A41CD8">
        <w:rPr>
          <w:rFonts w:ascii="RN House Sans Regular" w:eastAsia="Arial" w:hAnsi="RN House Sans Regular" w:cs="Arial"/>
          <w:b/>
          <w:bCs/>
          <w:spacing w:val="-5"/>
        </w:rPr>
        <w:t>S</w:t>
      </w:r>
      <w:r w:rsidRPr="00A41CD8">
        <w:rPr>
          <w:rFonts w:ascii="RN House Sans Regular" w:eastAsia="Arial" w:hAnsi="RN House Sans Regular" w:cs="Arial"/>
          <w:b/>
          <w:bCs/>
          <w:spacing w:val="-3"/>
        </w:rPr>
        <w:t>h</w:t>
      </w:r>
      <w:r w:rsidRPr="00A41CD8">
        <w:rPr>
          <w:rFonts w:ascii="RN House Sans Regular" w:eastAsia="Arial" w:hAnsi="RN House Sans Regular" w:cs="Arial"/>
          <w:b/>
          <w:bCs/>
          <w:spacing w:val="-4"/>
        </w:rPr>
        <w:t>a</w:t>
      </w:r>
      <w:r w:rsidRPr="00A41CD8">
        <w:rPr>
          <w:rFonts w:ascii="RN House Sans Regular" w:eastAsia="Arial" w:hAnsi="RN House Sans Regular" w:cs="Arial"/>
          <w:b/>
          <w:bCs/>
          <w:spacing w:val="-2"/>
        </w:rPr>
        <w:t>r</w:t>
      </w:r>
      <w:r w:rsidRPr="00A41CD8">
        <w:rPr>
          <w:rFonts w:ascii="RN House Sans Regular" w:eastAsia="Arial" w:hAnsi="RN House Sans Regular" w:cs="Arial"/>
          <w:b/>
          <w:bCs/>
        </w:rPr>
        <w:t>e</w:t>
      </w:r>
      <w:r w:rsidRPr="00A41CD8">
        <w:rPr>
          <w:rFonts w:ascii="RN House Sans Regular" w:eastAsia="Arial" w:hAnsi="RN House Sans Regular" w:cs="Arial"/>
          <w:b/>
          <w:bCs/>
          <w:spacing w:val="18"/>
        </w:rPr>
        <w:t xml:space="preserve"> </w:t>
      </w:r>
      <w:r w:rsidRPr="00A41CD8">
        <w:rPr>
          <w:rFonts w:ascii="RN House Sans Regular" w:eastAsia="Arial" w:hAnsi="RN House Sans Regular" w:cs="Arial"/>
          <w:b/>
          <w:bCs/>
          <w:spacing w:val="-5"/>
        </w:rPr>
        <w:t>B</w:t>
      </w:r>
      <w:r w:rsidRPr="00A41CD8">
        <w:rPr>
          <w:rFonts w:ascii="RN House Sans Regular" w:eastAsia="Arial" w:hAnsi="RN House Sans Regular" w:cs="Arial"/>
          <w:b/>
          <w:bCs/>
          <w:spacing w:val="-3"/>
        </w:rPr>
        <w:t>u</w:t>
      </w:r>
      <w:r w:rsidRPr="00A41CD8">
        <w:rPr>
          <w:rFonts w:ascii="RN House Sans Regular" w:eastAsia="Arial" w:hAnsi="RN House Sans Regular" w:cs="Arial"/>
          <w:b/>
          <w:bCs/>
          <w:spacing w:val="-4"/>
        </w:rPr>
        <w:t>y</w:t>
      </w:r>
      <w:r w:rsidR="00F82A1E">
        <w:rPr>
          <w:rFonts w:ascii="RN House Sans Regular" w:eastAsia="Arial" w:hAnsi="RN House Sans Regular" w:cs="Arial"/>
          <w:b/>
          <w:bCs/>
          <w:spacing w:val="-2"/>
        </w:rPr>
        <w:t>b</w:t>
      </w:r>
      <w:r w:rsidRPr="00A41CD8">
        <w:rPr>
          <w:rFonts w:ascii="RN House Sans Regular" w:eastAsia="Arial" w:hAnsi="RN House Sans Regular" w:cs="Arial"/>
          <w:b/>
          <w:bCs/>
          <w:spacing w:val="-4"/>
        </w:rPr>
        <w:t>ac</w:t>
      </w:r>
      <w:r w:rsidRPr="00A41CD8">
        <w:rPr>
          <w:rFonts w:ascii="RN House Sans Regular" w:eastAsia="Arial" w:hAnsi="RN House Sans Regular" w:cs="Arial"/>
          <w:b/>
          <w:bCs/>
        </w:rPr>
        <w:t>k</w:t>
      </w:r>
      <w:r w:rsidRPr="00A41CD8">
        <w:rPr>
          <w:rFonts w:ascii="RN House Sans Regular" w:eastAsia="Arial" w:hAnsi="RN House Sans Regular" w:cs="Arial"/>
          <w:b/>
          <w:bCs/>
          <w:spacing w:val="28"/>
        </w:rPr>
        <w:t xml:space="preserve"> </w:t>
      </w:r>
      <w:r w:rsidRPr="00A41CD8">
        <w:rPr>
          <w:rFonts w:ascii="RN House Sans Regular" w:eastAsia="Arial" w:hAnsi="RN House Sans Regular" w:cs="Arial"/>
          <w:b/>
          <w:bCs/>
          <w:spacing w:val="-5"/>
          <w:w w:val="93"/>
        </w:rPr>
        <w:t>P</w:t>
      </w:r>
      <w:r w:rsidRPr="00A41CD8">
        <w:rPr>
          <w:rFonts w:ascii="RN House Sans Regular" w:eastAsia="Arial" w:hAnsi="RN House Sans Regular" w:cs="Arial"/>
          <w:b/>
          <w:bCs/>
          <w:w w:val="102"/>
        </w:rPr>
        <w:t>r</w:t>
      </w:r>
      <w:r w:rsidRPr="00A41CD8">
        <w:rPr>
          <w:rFonts w:ascii="RN House Sans Regular" w:eastAsia="Arial" w:hAnsi="RN House Sans Regular" w:cs="Arial"/>
          <w:b/>
          <w:bCs/>
          <w:spacing w:val="-6"/>
          <w:w w:val="102"/>
        </w:rPr>
        <w:t>o</w:t>
      </w:r>
      <w:r w:rsidRPr="00A41CD8">
        <w:rPr>
          <w:rFonts w:ascii="RN House Sans Regular" w:eastAsia="Arial" w:hAnsi="RN House Sans Regular" w:cs="Arial"/>
          <w:b/>
          <w:bCs/>
          <w:spacing w:val="-4"/>
          <w:w w:val="104"/>
        </w:rPr>
        <w:t>g</w:t>
      </w:r>
      <w:r w:rsidRPr="00A41CD8">
        <w:rPr>
          <w:rFonts w:ascii="RN House Sans Regular" w:eastAsia="Arial" w:hAnsi="RN House Sans Regular" w:cs="Arial"/>
          <w:b/>
          <w:bCs/>
          <w:spacing w:val="-2"/>
          <w:w w:val="111"/>
        </w:rPr>
        <w:t>r</w:t>
      </w:r>
      <w:r w:rsidRPr="00A41CD8">
        <w:rPr>
          <w:rFonts w:ascii="RN House Sans Regular" w:eastAsia="Arial" w:hAnsi="RN House Sans Regular" w:cs="Arial"/>
          <w:b/>
          <w:bCs/>
          <w:spacing w:val="-4"/>
        </w:rPr>
        <w:t>a</w:t>
      </w:r>
      <w:r w:rsidRPr="00A41CD8">
        <w:rPr>
          <w:rFonts w:ascii="RN House Sans Regular" w:eastAsia="Arial" w:hAnsi="RN House Sans Regular" w:cs="Arial"/>
          <w:b/>
          <w:bCs/>
          <w:spacing w:val="-5"/>
          <w:w w:val="101"/>
        </w:rPr>
        <w:t>mm</w:t>
      </w:r>
      <w:r w:rsidRPr="00A41CD8">
        <w:rPr>
          <w:rFonts w:ascii="RN House Sans Regular" w:eastAsia="Arial" w:hAnsi="RN House Sans Regular" w:cs="Arial"/>
          <w:b/>
          <w:bCs/>
        </w:rPr>
        <w:t>e</w:t>
      </w:r>
    </w:p>
    <w:p w14:paraId="21D41A0F" w14:textId="5E883BEB" w:rsidR="00867445" w:rsidRPr="00A41CD8" w:rsidRDefault="00D21B1B" w:rsidP="00672DB8">
      <w:pPr>
        <w:rPr>
          <w:rFonts w:ascii="RN House Sans Regular" w:hAnsi="RN House Sans Regular"/>
        </w:rPr>
      </w:pPr>
      <w:r w:rsidRPr="00A41CD8">
        <w:rPr>
          <w:rFonts w:ascii="RN House Sans Regular" w:hAnsi="RN House Sans Regular"/>
        </w:rPr>
        <w:t xml:space="preserve">NatWest Group plc (the “Company”) </w:t>
      </w:r>
      <w:r w:rsidR="00867445" w:rsidRPr="00A41CD8">
        <w:rPr>
          <w:rFonts w:ascii="RN House Sans Regular" w:hAnsi="RN House Sans Regular"/>
        </w:rPr>
        <w:t>announces the commencement of its programme to buy</w:t>
      </w:r>
      <w:r w:rsidR="00561ECC">
        <w:rPr>
          <w:rFonts w:ascii="RN House Sans Regular" w:hAnsi="RN House Sans Regular"/>
        </w:rPr>
        <w:t xml:space="preserve"> </w:t>
      </w:r>
      <w:r w:rsidR="00867445" w:rsidRPr="00A41CD8">
        <w:rPr>
          <w:rFonts w:ascii="RN House Sans Regular" w:hAnsi="RN House Sans Regular"/>
        </w:rPr>
        <w:t xml:space="preserve">back </w:t>
      </w:r>
      <w:r w:rsidR="00F47838" w:rsidRPr="00A41CD8">
        <w:rPr>
          <w:rFonts w:ascii="RN House Sans Regular" w:hAnsi="RN House Sans Regular"/>
        </w:rPr>
        <w:t xml:space="preserve">ordinary </w:t>
      </w:r>
      <w:r w:rsidR="00867445" w:rsidRPr="00A41CD8">
        <w:rPr>
          <w:rFonts w:ascii="RN House Sans Regular" w:hAnsi="RN House Sans Regular"/>
        </w:rPr>
        <w:t xml:space="preserve">shares </w:t>
      </w:r>
      <w:r w:rsidR="00F47838" w:rsidRPr="00A41CD8">
        <w:rPr>
          <w:rFonts w:ascii="RN House Sans Regular" w:hAnsi="RN House Sans Regular"/>
        </w:rPr>
        <w:t xml:space="preserve">in the Company with a nominal value of </w:t>
      </w:r>
      <w:r w:rsidR="004059B6" w:rsidRPr="004059B6">
        <w:rPr>
          <w:rFonts w:ascii="RN House Sans Regular" w:eastAsia="Times New Roman" w:hAnsi="RN House Sans Regular" w:cs="Arial"/>
          <w:color w:val="000000"/>
          <w:lang w:eastAsia="en-GB"/>
        </w:rPr>
        <w:t>£1.0769*</w:t>
      </w:r>
      <w:r w:rsidR="004059B6" w:rsidRPr="007061FA">
        <w:rPr>
          <w:rFonts w:ascii="Arial" w:eastAsia="Times New Roman" w:hAnsi="Arial" w:cs="Arial"/>
          <w:color w:val="000000"/>
          <w:lang w:eastAsia="en-GB"/>
        </w:rPr>
        <w:t xml:space="preserve"> </w:t>
      </w:r>
      <w:r w:rsidR="00F47838" w:rsidRPr="00A41CD8">
        <w:rPr>
          <w:rFonts w:ascii="RN House Sans Regular" w:hAnsi="RN House Sans Regular"/>
        </w:rPr>
        <w:t>each (“Ordinary Shares”)</w:t>
      </w:r>
      <w:r w:rsidR="00672DB8" w:rsidRPr="00A41CD8">
        <w:rPr>
          <w:rFonts w:ascii="RN House Sans Regular" w:hAnsi="RN House Sans Regular"/>
        </w:rPr>
        <w:t xml:space="preserve">.  </w:t>
      </w:r>
    </w:p>
    <w:p w14:paraId="6B69A9D4" w14:textId="079F098A" w:rsidR="007A5748" w:rsidRDefault="00867445" w:rsidP="00672DB8">
      <w:pPr>
        <w:rPr>
          <w:rFonts w:ascii="RN House Sans Regular" w:hAnsi="RN House Sans Regular"/>
        </w:rPr>
      </w:pPr>
      <w:r w:rsidRPr="00A41CD8">
        <w:rPr>
          <w:rFonts w:ascii="RN House Sans Regular" w:hAnsi="RN House Sans Regular"/>
        </w:rPr>
        <w:t xml:space="preserve">On </w:t>
      </w:r>
      <w:r w:rsidR="002F409B">
        <w:rPr>
          <w:rFonts w:ascii="RN House Sans Regular" w:hAnsi="RN House Sans Regular"/>
        </w:rPr>
        <w:t>28 July</w:t>
      </w:r>
      <w:r w:rsidR="005C6ED6">
        <w:rPr>
          <w:rFonts w:ascii="RN House Sans Regular" w:hAnsi="RN House Sans Regular"/>
        </w:rPr>
        <w:t xml:space="preserve"> 20</w:t>
      </w:r>
      <w:r w:rsidR="00E94733">
        <w:rPr>
          <w:rFonts w:ascii="RN House Sans Regular" w:hAnsi="RN House Sans Regular"/>
        </w:rPr>
        <w:t>23</w:t>
      </w:r>
      <w:r w:rsidR="00AC5A4E" w:rsidRPr="00A41CD8">
        <w:rPr>
          <w:rFonts w:ascii="RN House Sans Regular" w:hAnsi="RN House Sans Regular"/>
        </w:rPr>
        <w:t xml:space="preserve">, </w:t>
      </w:r>
      <w:r w:rsidR="00DD4963">
        <w:rPr>
          <w:rFonts w:ascii="RN House Sans Regular" w:hAnsi="RN House Sans Regular"/>
        </w:rPr>
        <w:t xml:space="preserve">the Company </w:t>
      </w:r>
      <w:r w:rsidRPr="00A41CD8">
        <w:rPr>
          <w:rFonts w:ascii="RN House Sans Regular" w:hAnsi="RN House Sans Regular"/>
        </w:rPr>
        <w:t>announced</w:t>
      </w:r>
      <w:r w:rsidR="00AC5A4E" w:rsidRPr="00A41CD8">
        <w:rPr>
          <w:rFonts w:ascii="RN House Sans Regular" w:hAnsi="RN House Sans Regular"/>
        </w:rPr>
        <w:t xml:space="preserve"> its</w:t>
      </w:r>
      <w:r w:rsidRPr="00A41CD8">
        <w:rPr>
          <w:rFonts w:ascii="RN House Sans Regular" w:hAnsi="RN House Sans Regular"/>
        </w:rPr>
        <w:t xml:space="preserve"> </w:t>
      </w:r>
      <w:r w:rsidR="00D260B0">
        <w:rPr>
          <w:rFonts w:ascii="RN House Sans Regular" w:hAnsi="RN House Sans Regular"/>
        </w:rPr>
        <w:t xml:space="preserve">full </w:t>
      </w:r>
      <w:r w:rsidRPr="00A41CD8">
        <w:rPr>
          <w:rFonts w:ascii="RN House Sans Regular" w:hAnsi="RN House Sans Regular"/>
        </w:rPr>
        <w:t>year results</w:t>
      </w:r>
      <w:r w:rsidR="004B479D">
        <w:rPr>
          <w:rFonts w:ascii="RN House Sans Regular" w:hAnsi="RN House Sans Regular"/>
        </w:rPr>
        <w:t xml:space="preserve"> and</w:t>
      </w:r>
      <w:r w:rsidRPr="00A41CD8">
        <w:rPr>
          <w:rFonts w:ascii="RN House Sans Regular" w:hAnsi="RN House Sans Regular"/>
        </w:rPr>
        <w:t xml:space="preserve"> </w:t>
      </w:r>
      <w:r w:rsidR="000B7D32">
        <w:rPr>
          <w:rFonts w:ascii="RN House Sans Regular" w:hAnsi="RN House Sans Regular"/>
        </w:rPr>
        <w:t>a</w:t>
      </w:r>
      <w:r w:rsidR="00672DB8" w:rsidRPr="00A41CD8">
        <w:rPr>
          <w:rFonts w:ascii="RN House Sans Regular" w:hAnsi="RN House Sans Regular"/>
        </w:rPr>
        <w:t xml:space="preserve"> </w:t>
      </w:r>
      <w:r w:rsidRPr="00A41CD8">
        <w:rPr>
          <w:rFonts w:ascii="RN House Sans Regular" w:hAnsi="RN House Sans Regular"/>
        </w:rPr>
        <w:t>share buyback programme</w:t>
      </w:r>
      <w:r w:rsidR="00672DB8" w:rsidRPr="00A41CD8">
        <w:rPr>
          <w:rFonts w:ascii="RN House Sans Regular" w:hAnsi="RN House Sans Regular"/>
        </w:rPr>
        <w:t xml:space="preserve"> </w:t>
      </w:r>
      <w:r w:rsidR="000B7D32">
        <w:rPr>
          <w:rFonts w:ascii="RN House Sans Regular" w:hAnsi="RN House Sans Regular"/>
        </w:rPr>
        <w:t xml:space="preserve">(the “Programme”) </w:t>
      </w:r>
      <w:r w:rsidRPr="00A41CD8">
        <w:rPr>
          <w:rFonts w:ascii="RN House Sans Regular" w:hAnsi="RN House Sans Regular"/>
        </w:rPr>
        <w:t>of up to £</w:t>
      </w:r>
      <w:r w:rsidR="009F1289">
        <w:rPr>
          <w:rFonts w:ascii="RN House Sans Regular" w:hAnsi="RN House Sans Regular"/>
        </w:rPr>
        <w:t>500</w:t>
      </w:r>
      <w:r w:rsidR="009F1289" w:rsidRPr="00A41CD8">
        <w:rPr>
          <w:rFonts w:ascii="RN House Sans Regular" w:hAnsi="RN House Sans Regular"/>
        </w:rPr>
        <w:t xml:space="preserve"> </w:t>
      </w:r>
      <w:r w:rsidR="00F47838" w:rsidRPr="00A41CD8">
        <w:rPr>
          <w:rFonts w:ascii="RN House Sans Regular" w:hAnsi="RN House Sans Regular"/>
        </w:rPr>
        <w:t>million</w:t>
      </w:r>
      <w:r w:rsidR="00672DB8" w:rsidRPr="00A41CD8">
        <w:rPr>
          <w:rFonts w:ascii="RN House Sans Regular" w:hAnsi="RN House Sans Regular"/>
        </w:rPr>
        <w:t xml:space="preserve">. </w:t>
      </w:r>
      <w:r w:rsidRPr="00A41CD8">
        <w:rPr>
          <w:rFonts w:ascii="RN House Sans Regular" w:hAnsi="RN House Sans Regular"/>
        </w:rPr>
        <w:t xml:space="preserve"> </w:t>
      </w:r>
      <w:r w:rsidR="00672DB8" w:rsidRPr="00A41CD8">
        <w:rPr>
          <w:rFonts w:ascii="RN House Sans Regular" w:hAnsi="RN House Sans Regular"/>
        </w:rPr>
        <w:t xml:space="preserve">The </w:t>
      </w:r>
      <w:r w:rsidR="000B7D32">
        <w:rPr>
          <w:rFonts w:ascii="RN House Sans Regular" w:hAnsi="RN House Sans Regular"/>
        </w:rPr>
        <w:t>Programme</w:t>
      </w:r>
      <w:r w:rsidR="00672DB8" w:rsidRPr="00A41CD8">
        <w:rPr>
          <w:rFonts w:ascii="RN House Sans Regular" w:hAnsi="RN House Sans Regular"/>
        </w:rPr>
        <w:t xml:space="preserve"> will commence on </w:t>
      </w:r>
      <w:r w:rsidR="002F409B">
        <w:rPr>
          <w:rFonts w:ascii="RN House Sans Regular" w:hAnsi="RN House Sans Regular"/>
        </w:rPr>
        <w:t>31 July</w:t>
      </w:r>
      <w:r w:rsidR="00672DB8" w:rsidRPr="00A41CD8">
        <w:rPr>
          <w:rFonts w:ascii="RN House Sans Regular" w:hAnsi="RN House Sans Regular"/>
        </w:rPr>
        <w:t xml:space="preserve"> 202</w:t>
      </w:r>
      <w:r w:rsidR="00E94733">
        <w:rPr>
          <w:rFonts w:ascii="RN House Sans Regular" w:hAnsi="RN House Sans Regular"/>
        </w:rPr>
        <w:t>3</w:t>
      </w:r>
      <w:r w:rsidR="00672DB8" w:rsidRPr="00A41CD8">
        <w:rPr>
          <w:rFonts w:ascii="RN House Sans Regular" w:hAnsi="RN House Sans Regular"/>
        </w:rPr>
        <w:t xml:space="preserve"> and will end </w:t>
      </w:r>
      <w:r w:rsidR="00EC7CFC">
        <w:rPr>
          <w:rFonts w:ascii="RN House Sans Regular" w:hAnsi="RN House Sans Regular"/>
        </w:rPr>
        <w:t>no later than</w:t>
      </w:r>
      <w:r w:rsidR="00EC7CFC" w:rsidRPr="00A41CD8" w:rsidDel="00EC7CFC">
        <w:rPr>
          <w:rFonts w:ascii="RN House Sans Regular" w:hAnsi="RN House Sans Regular"/>
        </w:rPr>
        <w:t xml:space="preserve"> </w:t>
      </w:r>
      <w:r w:rsidR="00794B26">
        <w:rPr>
          <w:rFonts w:ascii="RN House Sans Regular" w:hAnsi="RN House Sans Regular"/>
        </w:rPr>
        <w:t>14 March 2024</w:t>
      </w:r>
      <w:r w:rsidR="00EC7CFC">
        <w:rPr>
          <w:rFonts w:ascii="RN House Sans Regular" w:hAnsi="RN House Sans Regular"/>
        </w:rPr>
        <w:t xml:space="preserve">, provided that the term of the </w:t>
      </w:r>
      <w:r w:rsidR="000B7D32">
        <w:rPr>
          <w:rFonts w:ascii="RN House Sans Regular" w:hAnsi="RN House Sans Regular"/>
        </w:rPr>
        <w:t>Programme</w:t>
      </w:r>
      <w:r w:rsidR="00EC7CFC">
        <w:rPr>
          <w:rFonts w:ascii="RN House Sans Regular" w:hAnsi="RN House Sans Regular"/>
        </w:rPr>
        <w:t xml:space="preserve"> may be </w:t>
      </w:r>
      <w:r w:rsidR="005674A3" w:rsidRPr="00D07499">
        <w:rPr>
          <w:rFonts w:ascii="RN House Sans Regular" w:hAnsi="RN House Sans Regular"/>
        </w:rPr>
        <w:t xml:space="preserve">extended </w:t>
      </w:r>
      <w:r w:rsidR="000B7D32">
        <w:rPr>
          <w:rFonts w:ascii="RN House Sans Regular" w:hAnsi="RN House Sans Regular"/>
        </w:rPr>
        <w:t xml:space="preserve">to end no later than </w:t>
      </w:r>
      <w:r w:rsidR="00794B26">
        <w:rPr>
          <w:rFonts w:ascii="RN House Sans Regular" w:hAnsi="RN House Sans Regular"/>
        </w:rPr>
        <w:t>22 March 2024</w:t>
      </w:r>
      <w:r w:rsidR="000D53E9">
        <w:rPr>
          <w:rFonts w:ascii="RN House Sans Regular" w:hAnsi="RN House Sans Regular"/>
        </w:rPr>
        <w:t xml:space="preserve"> </w:t>
      </w:r>
      <w:r w:rsidR="00EC7CFC">
        <w:rPr>
          <w:rFonts w:ascii="RN House Sans Regular" w:hAnsi="RN House Sans Regular"/>
        </w:rPr>
        <w:t xml:space="preserve">to account </w:t>
      </w:r>
      <w:r w:rsidR="005674A3" w:rsidRPr="00D07499">
        <w:rPr>
          <w:rFonts w:ascii="RN House Sans Regular" w:hAnsi="RN House Sans Regular"/>
        </w:rPr>
        <w:t xml:space="preserve">for </w:t>
      </w:r>
      <w:r w:rsidR="00EC7CFC">
        <w:rPr>
          <w:rFonts w:ascii="RN House Sans Regular" w:hAnsi="RN House Sans Regular"/>
        </w:rPr>
        <w:t>certain</w:t>
      </w:r>
      <w:r w:rsidR="00EC7CFC" w:rsidRPr="00D07499">
        <w:rPr>
          <w:rFonts w:ascii="RN House Sans Regular" w:hAnsi="RN House Sans Regular"/>
        </w:rPr>
        <w:t xml:space="preserve"> </w:t>
      </w:r>
      <w:r w:rsidR="005674A3" w:rsidRPr="00D07499">
        <w:rPr>
          <w:rFonts w:ascii="RN House Sans Regular" w:hAnsi="RN House Sans Regular"/>
        </w:rPr>
        <w:t>disruption events</w:t>
      </w:r>
      <w:r w:rsidR="00EC7CFC">
        <w:rPr>
          <w:rFonts w:ascii="RN House Sans Regular" w:hAnsi="RN House Sans Regular"/>
        </w:rPr>
        <w:t xml:space="preserve"> during the initial term of the </w:t>
      </w:r>
      <w:r w:rsidR="000B7D32">
        <w:rPr>
          <w:rFonts w:ascii="RN House Sans Regular" w:hAnsi="RN House Sans Regular"/>
        </w:rPr>
        <w:t>Programme</w:t>
      </w:r>
      <w:r w:rsidR="005674A3" w:rsidRPr="00D07499">
        <w:rPr>
          <w:rFonts w:ascii="RN House Sans Regular" w:hAnsi="RN House Sans Regular"/>
        </w:rPr>
        <w:t>.</w:t>
      </w:r>
    </w:p>
    <w:p w14:paraId="392D31AF" w14:textId="2006BF88" w:rsidR="00FA0FDE" w:rsidRDefault="00AC5A4E" w:rsidP="003110F3">
      <w:pPr>
        <w:autoSpaceDE w:val="0"/>
        <w:autoSpaceDN w:val="0"/>
        <w:adjustRightInd w:val="0"/>
        <w:spacing w:after="0" w:line="240" w:lineRule="auto"/>
        <w:rPr>
          <w:rFonts w:ascii="RN House Sans Regular" w:hAnsi="RN House Sans Regular"/>
        </w:rPr>
      </w:pPr>
      <w:r w:rsidRPr="003110F3">
        <w:rPr>
          <w:rFonts w:ascii="RN House Sans Regular" w:hAnsi="RN House Sans Regular"/>
        </w:rPr>
        <w:t xml:space="preserve">The </w:t>
      </w:r>
      <w:r w:rsidR="000B7D32" w:rsidRPr="003110F3">
        <w:rPr>
          <w:rFonts w:ascii="RN House Sans Regular" w:hAnsi="RN House Sans Regular"/>
        </w:rPr>
        <w:t>Programme</w:t>
      </w:r>
      <w:r w:rsidRPr="003110F3">
        <w:rPr>
          <w:rFonts w:ascii="RN House Sans Regular" w:hAnsi="RN House Sans Regular"/>
        </w:rPr>
        <w:t xml:space="preserve">, the purpose </w:t>
      </w:r>
      <w:r w:rsidR="00867445" w:rsidRPr="003110F3">
        <w:rPr>
          <w:rFonts w:ascii="RN House Sans Regular" w:hAnsi="RN House Sans Regular"/>
        </w:rPr>
        <w:t xml:space="preserve">of which is to reduce the </w:t>
      </w:r>
      <w:r w:rsidR="00DD4963">
        <w:rPr>
          <w:rFonts w:ascii="RN House Sans Regular" w:hAnsi="RN House Sans Regular"/>
        </w:rPr>
        <w:t xml:space="preserve">Company’s </w:t>
      </w:r>
      <w:r w:rsidR="00B1099C" w:rsidRPr="003110F3">
        <w:rPr>
          <w:rFonts w:ascii="RN House Sans Regular" w:hAnsi="RN House Sans Regular"/>
        </w:rPr>
        <w:t xml:space="preserve">issued share </w:t>
      </w:r>
      <w:r w:rsidR="00867445" w:rsidRPr="003110F3">
        <w:rPr>
          <w:rFonts w:ascii="RN House Sans Regular" w:hAnsi="RN House Sans Regular"/>
        </w:rPr>
        <w:t xml:space="preserve">capital, </w:t>
      </w:r>
      <w:r w:rsidR="001200CF" w:rsidRPr="003110F3">
        <w:rPr>
          <w:rFonts w:ascii="RN House Sans Regular" w:hAnsi="RN House Sans Regular"/>
        </w:rPr>
        <w:t>will take place within the limitations of</w:t>
      </w:r>
      <w:r w:rsidR="004C47C5" w:rsidRPr="003110F3">
        <w:rPr>
          <w:rFonts w:ascii="RN House Sans Regular" w:hAnsi="RN House Sans Regular"/>
        </w:rPr>
        <w:t xml:space="preserve"> </w:t>
      </w:r>
      <w:r w:rsidR="00867445" w:rsidRPr="003110F3">
        <w:rPr>
          <w:rFonts w:ascii="RN House Sans Regular" w:hAnsi="RN House Sans Regular"/>
        </w:rPr>
        <w:t xml:space="preserve">the authority granted </w:t>
      </w:r>
      <w:r w:rsidRPr="003110F3">
        <w:rPr>
          <w:rFonts w:ascii="RN House Sans Regular" w:hAnsi="RN House Sans Regular"/>
        </w:rPr>
        <w:t xml:space="preserve">by shareholders </w:t>
      </w:r>
      <w:r w:rsidR="00867445" w:rsidRPr="003110F3">
        <w:rPr>
          <w:rFonts w:ascii="RN House Sans Regular" w:hAnsi="RN House Sans Regular"/>
        </w:rPr>
        <w:t xml:space="preserve">to the Board of </w:t>
      </w:r>
      <w:r w:rsidR="00DD4963">
        <w:rPr>
          <w:rFonts w:ascii="RN House Sans Regular" w:hAnsi="RN House Sans Regular"/>
        </w:rPr>
        <w:t xml:space="preserve">the Company </w:t>
      </w:r>
      <w:r w:rsidRPr="003110F3">
        <w:rPr>
          <w:rFonts w:ascii="RN House Sans Regular" w:hAnsi="RN House Sans Regular"/>
        </w:rPr>
        <w:t>at</w:t>
      </w:r>
      <w:r w:rsidR="00867445" w:rsidRPr="003110F3">
        <w:rPr>
          <w:rFonts w:ascii="RN House Sans Regular" w:hAnsi="RN House Sans Regular"/>
        </w:rPr>
        <w:t xml:space="preserve"> its Annual General </w:t>
      </w:r>
      <w:r w:rsidRPr="003110F3">
        <w:rPr>
          <w:rFonts w:ascii="RN House Sans Regular" w:hAnsi="RN House Sans Regular"/>
        </w:rPr>
        <w:t>Meeting</w:t>
      </w:r>
      <w:r w:rsidR="00867445" w:rsidRPr="003110F3">
        <w:rPr>
          <w:rFonts w:ascii="RN House Sans Regular" w:hAnsi="RN House Sans Regular"/>
        </w:rPr>
        <w:t>, held on 2</w:t>
      </w:r>
      <w:r w:rsidR="002F409B">
        <w:rPr>
          <w:rFonts w:ascii="RN House Sans Regular" w:hAnsi="RN House Sans Regular"/>
        </w:rPr>
        <w:t>5</w:t>
      </w:r>
      <w:r w:rsidR="00867445" w:rsidRPr="003110F3">
        <w:rPr>
          <w:rFonts w:ascii="RN House Sans Regular" w:hAnsi="RN House Sans Regular"/>
        </w:rPr>
        <w:t xml:space="preserve"> April </w:t>
      </w:r>
      <w:r w:rsidR="00561ECC">
        <w:rPr>
          <w:rFonts w:ascii="RN House Sans Regular" w:hAnsi="RN House Sans Regular"/>
        </w:rPr>
        <w:t xml:space="preserve">2023 </w:t>
      </w:r>
      <w:r w:rsidR="00B8246A" w:rsidRPr="003110F3">
        <w:rPr>
          <w:rFonts w:ascii="RN House Sans Regular" w:hAnsi="RN House Sans Regular"/>
        </w:rPr>
        <w:t xml:space="preserve">(the </w:t>
      </w:r>
      <w:r w:rsidR="00AB02B4">
        <w:rPr>
          <w:rFonts w:ascii="RN House Sans Regular" w:hAnsi="RN House Sans Regular"/>
        </w:rPr>
        <w:t>“</w:t>
      </w:r>
      <w:r w:rsidR="00B8246A" w:rsidRPr="003110F3">
        <w:rPr>
          <w:rFonts w:ascii="RN House Sans Regular" w:hAnsi="RN House Sans Regular"/>
        </w:rPr>
        <w:t>202</w:t>
      </w:r>
      <w:r w:rsidR="002F409B">
        <w:rPr>
          <w:rFonts w:ascii="RN House Sans Regular" w:hAnsi="RN House Sans Regular"/>
        </w:rPr>
        <w:t>3</w:t>
      </w:r>
      <w:r w:rsidR="00B8246A" w:rsidRPr="003110F3">
        <w:rPr>
          <w:rFonts w:ascii="RN House Sans Regular" w:hAnsi="RN House Sans Regular"/>
        </w:rPr>
        <w:t xml:space="preserve"> Authority</w:t>
      </w:r>
      <w:r w:rsidR="00AB02B4">
        <w:rPr>
          <w:rFonts w:ascii="RN House Sans Regular" w:hAnsi="RN House Sans Regular"/>
        </w:rPr>
        <w:t>”</w:t>
      </w:r>
      <w:r w:rsidR="00B8246A" w:rsidRPr="003110F3">
        <w:rPr>
          <w:rFonts w:ascii="RN House Sans Regular" w:hAnsi="RN House Sans Regular"/>
        </w:rPr>
        <w:t>)</w:t>
      </w:r>
      <w:r w:rsidR="00A10517" w:rsidRPr="003110F3">
        <w:rPr>
          <w:rFonts w:ascii="RN House Sans Regular" w:hAnsi="RN House Sans Regular"/>
        </w:rPr>
        <w:t>.</w:t>
      </w:r>
      <w:r w:rsidR="00B8246A" w:rsidRPr="003110F3">
        <w:rPr>
          <w:rFonts w:ascii="RN House Sans Regular" w:hAnsi="RN House Sans Regular"/>
        </w:rPr>
        <w:t xml:space="preserve">  </w:t>
      </w:r>
      <w:r w:rsidR="008D2B83" w:rsidRPr="003110F3">
        <w:rPr>
          <w:rFonts w:ascii="RN House Sans Regular" w:hAnsi="RN House Sans Regular"/>
        </w:rPr>
        <w:t xml:space="preserve">The </w:t>
      </w:r>
      <w:r w:rsidR="00B8246A" w:rsidRPr="003110F3">
        <w:rPr>
          <w:rFonts w:ascii="RN House Sans Regular" w:hAnsi="RN House Sans Regular"/>
        </w:rPr>
        <w:t>202</w:t>
      </w:r>
      <w:r w:rsidR="002F409B">
        <w:rPr>
          <w:rFonts w:ascii="RN House Sans Regular" w:hAnsi="RN House Sans Regular"/>
        </w:rPr>
        <w:t>3</w:t>
      </w:r>
      <w:r w:rsidR="00B8246A" w:rsidRPr="003110F3">
        <w:rPr>
          <w:rFonts w:ascii="RN House Sans Regular" w:hAnsi="RN House Sans Regular"/>
        </w:rPr>
        <w:t xml:space="preserve"> Authority is due to expir</w:t>
      </w:r>
      <w:r w:rsidR="008D2B83" w:rsidRPr="003110F3">
        <w:rPr>
          <w:rFonts w:ascii="RN House Sans Regular" w:hAnsi="RN House Sans Regular"/>
        </w:rPr>
        <w:t>e</w:t>
      </w:r>
      <w:r w:rsidR="00B8246A" w:rsidRPr="003110F3">
        <w:rPr>
          <w:rFonts w:ascii="RN House Sans Regular" w:hAnsi="RN House Sans Regular"/>
        </w:rPr>
        <w:t xml:space="preserve"> at the conclusion of the 202</w:t>
      </w:r>
      <w:r w:rsidR="002F409B">
        <w:rPr>
          <w:rFonts w:ascii="RN House Sans Regular" w:hAnsi="RN House Sans Regular"/>
        </w:rPr>
        <w:t>4</w:t>
      </w:r>
      <w:r w:rsidR="00B8246A" w:rsidRPr="003110F3">
        <w:rPr>
          <w:rFonts w:ascii="RN House Sans Regular" w:hAnsi="RN House Sans Regular"/>
        </w:rPr>
        <w:t xml:space="preserve"> AGM, or 30 June 202</w:t>
      </w:r>
      <w:r w:rsidR="002F409B">
        <w:rPr>
          <w:rFonts w:ascii="RN House Sans Regular" w:hAnsi="RN House Sans Regular"/>
        </w:rPr>
        <w:t>4</w:t>
      </w:r>
      <w:r w:rsidR="00B8246A" w:rsidRPr="003110F3">
        <w:rPr>
          <w:rFonts w:ascii="RN House Sans Regular" w:hAnsi="RN House Sans Regular"/>
        </w:rPr>
        <w:t>, whichever is earlier</w:t>
      </w:r>
      <w:r w:rsidR="008D2B83" w:rsidRPr="003110F3">
        <w:rPr>
          <w:rFonts w:ascii="RN House Sans Regular" w:hAnsi="RN House Sans Regular"/>
        </w:rPr>
        <w:t>.</w:t>
      </w:r>
      <w:r w:rsidR="00B8246A">
        <w:rPr>
          <w:rFonts w:ascii="RN House Sans Regular" w:hAnsi="RN House Sans Regular"/>
        </w:rPr>
        <w:t xml:space="preserve"> </w:t>
      </w:r>
    </w:p>
    <w:p w14:paraId="503F8D58" w14:textId="77777777" w:rsidR="003110F3" w:rsidRDefault="003110F3" w:rsidP="003110F3">
      <w:pPr>
        <w:autoSpaceDE w:val="0"/>
        <w:autoSpaceDN w:val="0"/>
        <w:adjustRightInd w:val="0"/>
        <w:spacing w:after="0" w:line="240" w:lineRule="auto"/>
        <w:rPr>
          <w:rFonts w:ascii="RN House Sans Regular" w:hAnsi="RN House Sans Regular"/>
        </w:rPr>
      </w:pPr>
    </w:p>
    <w:p w14:paraId="14C088B7" w14:textId="7C927E99" w:rsidR="00FA0FDE" w:rsidRDefault="00FA0FDE" w:rsidP="0051085B">
      <w:pPr>
        <w:rPr>
          <w:rFonts w:ascii="RN House Sans Regular" w:hAnsi="RN House Sans Regular"/>
        </w:rPr>
      </w:pPr>
      <w:r>
        <w:rPr>
          <w:rFonts w:ascii="RN House Sans Regular" w:hAnsi="RN House Sans Regular"/>
        </w:rPr>
        <w:t xml:space="preserve">The maximum number of Ordinary Shares that can be purchased by NWG under the Programme is </w:t>
      </w:r>
      <w:r w:rsidR="009F1289">
        <w:rPr>
          <w:rFonts w:ascii="RN House Sans Regular" w:hAnsi="RN House Sans Regular" w:cs="ArialMT"/>
        </w:rPr>
        <w:t>919,858,</w:t>
      </w:r>
      <w:r w:rsidR="00794B26">
        <w:rPr>
          <w:rFonts w:ascii="RN House Sans Regular" w:hAnsi="RN House Sans Regular" w:cs="ArialMT"/>
        </w:rPr>
        <w:t>922</w:t>
      </w:r>
      <w:r w:rsidRPr="003110F3">
        <w:rPr>
          <w:rFonts w:ascii="RN House Sans Regular" w:hAnsi="RN House Sans Regular"/>
        </w:rPr>
        <w:t>.</w:t>
      </w:r>
      <w:r>
        <w:rPr>
          <w:rFonts w:ascii="RN House Sans Regular" w:hAnsi="RN House Sans Regular"/>
        </w:rPr>
        <w:t xml:space="preserve"> </w:t>
      </w:r>
      <w:r w:rsidR="0041574C">
        <w:rPr>
          <w:rFonts w:ascii="RN House Sans Regular" w:hAnsi="RN House Sans Regular"/>
        </w:rPr>
        <w:t>This number reflects the impact on the 202</w:t>
      </w:r>
      <w:r w:rsidR="002F409B">
        <w:rPr>
          <w:rFonts w:ascii="RN House Sans Regular" w:hAnsi="RN House Sans Regular"/>
        </w:rPr>
        <w:t>3</w:t>
      </w:r>
      <w:r w:rsidR="0041574C">
        <w:rPr>
          <w:rFonts w:ascii="RN House Sans Regular" w:hAnsi="RN House Sans Regular"/>
        </w:rPr>
        <w:t xml:space="preserve"> Authority of the reduction in issued share capital following </w:t>
      </w:r>
      <w:r w:rsidR="005F64EF">
        <w:rPr>
          <w:rFonts w:ascii="RN House Sans Regular" w:hAnsi="RN House Sans Regular"/>
        </w:rPr>
        <w:t xml:space="preserve">the </w:t>
      </w:r>
      <w:r w:rsidR="0041574C">
        <w:rPr>
          <w:rFonts w:ascii="RN House Sans Regular" w:hAnsi="RN House Sans Regular"/>
        </w:rPr>
        <w:t xml:space="preserve">off-market buyback announced on </w:t>
      </w:r>
      <w:r w:rsidR="002F409B">
        <w:rPr>
          <w:rFonts w:ascii="RN House Sans Regular" w:hAnsi="RN House Sans Regular"/>
        </w:rPr>
        <w:t>22 May</w:t>
      </w:r>
      <w:r w:rsidR="0041574C">
        <w:rPr>
          <w:rFonts w:ascii="RN House Sans Regular" w:hAnsi="RN House Sans Regular"/>
        </w:rPr>
        <w:t xml:space="preserve"> 202</w:t>
      </w:r>
      <w:r w:rsidR="002F409B">
        <w:rPr>
          <w:rFonts w:ascii="RN House Sans Regular" w:hAnsi="RN House Sans Regular"/>
        </w:rPr>
        <w:t>3</w:t>
      </w:r>
      <w:r w:rsidR="0041574C">
        <w:rPr>
          <w:rFonts w:ascii="RN House Sans Regular" w:hAnsi="RN House Sans Regular"/>
        </w:rPr>
        <w:t xml:space="preserve">. </w:t>
      </w:r>
    </w:p>
    <w:p w14:paraId="759BBEEF" w14:textId="0ACC098F" w:rsidR="00867445" w:rsidRPr="00023842" w:rsidRDefault="00DD4963" w:rsidP="00023842">
      <w:pPr>
        <w:rPr>
          <w:rFonts w:ascii="RN House Sans Regular" w:hAnsi="RN House Sans Regular"/>
        </w:rPr>
      </w:pPr>
      <w:r>
        <w:rPr>
          <w:rFonts w:ascii="RN House Sans Regular" w:hAnsi="RN House Sans Regular"/>
        </w:rPr>
        <w:t xml:space="preserve">The Company </w:t>
      </w:r>
      <w:r w:rsidR="00867445" w:rsidRPr="00023842">
        <w:rPr>
          <w:rFonts w:ascii="RN House Sans Regular" w:hAnsi="RN House Sans Regular"/>
        </w:rPr>
        <w:t>has entered into non-discretionary instructions with UBS</w:t>
      </w:r>
      <w:r w:rsidR="00023842">
        <w:rPr>
          <w:rFonts w:ascii="RN House Sans Regular" w:hAnsi="RN House Sans Regular"/>
        </w:rPr>
        <w:t xml:space="preserve"> AG, London Branch</w:t>
      </w:r>
      <w:r w:rsidR="00867445" w:rsidRPr="00023842">
        <w:rPr>
          <w:rFonts w:ascii="RN House Sans Regular" w:hAnsi="RN House Sans Regular"/>
        </w:rPr>
        <w:t xml:space="preserve"> to conduct the</w:t>
      </w:r>
      <w:r w:rsidR="00AC5A4E" w:rsidRPr="00023842">
        <w:rPr>
          <w:rFonts w:ascii="RN House Sans Regular" w:hAnsi="RN House Sans Regular"/>
        </w:rPr>
        <w:t xml:space="preserve"> </w:t>
      </w:r>
      <w:r w:rsidR="000B7D32">
        <w:rPr>
          <w:rFonts w:ascii="RN House Sans Regular" w:hAnsi="RN House Sans Regular"/>
        </w:rPr>
        <w:t>Programme</w:t>
      </w:r>
      <w:r w:rsidR="00AC5A4E" w:rsidRPr="00023842">
        <w:rPr>
          <w:rFonts w:ascii="RN House Sans Regular" w:hAnsi="RN House Sans Regular"/>
        </w:rPr>
        <w:t xml:space="preserve"> </w:t>
      </w:r>
      <w:r w:rsidR="00867445" w:rsidRPr="00023842">
        <w:rPr>
          <w:rFonts w:ascii="RN House Sans Regular" w:hAnsi="RN House Sans Regular"/>
        </w:rPr>
        <w:t>on its behalf and to make trading decisions under the</w:t>
      </w:r>
      <w:r w:rsidR="00AC5A4E" w:rsidRPr="00023842">
        <w:rPr>
          <w:rFonts w:ascii="RN House Sans Regular" w:hAnsi="RN House Sans Regular"/>
        </w:rPr>
        <w:t xml:space="preserve"> </w:t>
      </w:r>
      <w:r w:rsidR="000B7D32">
        <w:rPr>
          <w:rFonts w:ascii="RN House Sans Regular" w:hAnsi="RN House Sans Regular"/>
        </w:rPr>
        <w:t>Programme</w:t>
      </w:r>
      <w:r w:rsidR="00AC5A4E" w:rsidRPr="00023842">
        <w:rPr>
          <w:rFonts w:ascii="RN House Sans Regular" w:hAnsi="RN House Sans Regular"/>
        </w:rPr>
        <w:t xml:space="preserve"> </w:t>
      </w:r>
      <w:r w:rsidR="00867445" w:rsidRPr="00023842">
        <w:rPr>
          <w:rFonts w:ascii="RN House Sans Regular" w:hAnsi="RN House Sans Regular"/>
        </w:rPr>
        <w:t xml:space="preserve">independently of </w:t>
      </w:r>
      <w:r>
        <w:rPr>
          <w:rFonts w:ascii="RN House Sans Regular" w:hAnsi="RN House Sans Regular"/>
        </w:rPr>
        <w:t>the Company</w:t>
      </w:r>
      <w:r w:rsidR="00867445" w:rsidRPr="00023842">
        <w:rPr>
          <w:rFonts w:ascii="RN House Sans Regular" w:hAnsi="RN House Sans Regular"/>
        </w:rPr>
        <w:t>.</w:t>
      </w:r>
    </w:p>
    <w:p w14:paraId="09D96392" w14:textId="133DCF90" w:rsidR="00414153" w:rsidRDefault="00DD4963" w:rsidP="00414153">
      <w:pPr>
        <w:spacing w:after="0" w:line="240" w:lineRule="auto"/>
        <w:jc w:val="both"/>
        <w:rPr>
          <w:rFonts w:ascii="RN House Sans Regular" w:hAnsi="RN House Sans Regular"/>
        </w:rPr>
      </w:pPr>
      <w:r>
        <w:rPr>
          <w:rFonts w:ascii="RN House Sans Regular" w:hAnsi="RN House Sans Regular"/>
        </w:rPr>
        <w:t>The Company</w:t>
      </w:r>
      <w:r w:rsidR="00867445" w:rsidRPr="00023842">
        <w:rPr>
          <w:rFonts w:ascii="RN House Sans Regular" w:hAnsi="RN House Sans Regular"/>
        </w:rPr>
        <w:t xml:space="preserve"> intends to cancel the </w:t>
      </w:r>
      <w:r w:rsidR="00610EC4" w:rsidRPr="00023842">
        <w:rPr>
          <w:rFonts w:ascii="RN House Sans Regular" w:hAnsi="RN House Sans Regular"/>
        </w:rPr>
        <w:t>re</w:t>
      </w:r>
      <w:r w:rsidR="00867445" w:rsidRPr="00023842">
        <w:rPr>
          <w:rFonts w:ascii="RN House Sans Regular" w:hAnsi="RN House Sans Regular"/>
        </w:rPr>
        <w:t>purchased Ordinary Shares</w:t>
      </w:r>
      <w:r w:rsidR="00863920">
        <w:rPr>
          <w:rFonts w:ascii="RN House Sans Regular" w:hAnsi="RN House Sans Regular"/>
        </w:rPr>
        <w:t>.</w:t>
      </w:r>
    </w:p>
    <w:p w14:paraId="45509038" w14:textId="77777777" w:rsidR="004059B6" w:rsidRPr="00414153" w:rsidRDefault="004059B6" w:rsidP="00414153">
      <w:pPr>
        <w:spacing w:after="0" w:line="240" w:lineRule="auto"/>
        <w:jc w:val="both"/>
        <w:rPr>
          <w:rFonts w:ascii="RN House Sans Regular" w:eastAsia="Times New Roman" w:hAnsi="RN House Sans Regular" w:cs="Arial"/>
          <w:color w:val="FF0000"/>
          <w:sz w:val="21"/>
          <w:szCs w:val="21"/>
          <w:lang w:val="en" w:eastAsia="en-GB"/>
        </w:rPr>
      </w:pPr>
    </w:p>
    <w:p w14:paraId="5A29B19D" w14:textId="77777777" w:rsidR="004059B6" w:rsidRPr="004059B6" w:rsidRDefault="004059B6" w:rsidP="004059B6">
      <w:pPr>
        <w:spacing w:after="0" w:line="240" w:lineRule="auto"/>
        <w:rPr>
          <w:rFonts w:ascii="RN House Sans Regular" w:eastAsia="Times New Roman" w:hAnsi="RN House Sans Regular" w:cs="Arial"/>
          <w:color w:val="000000"/>
          <w:sz w:val="16"/>
          <w:szCs w:val="16"/>
          <w:lang w:eastAsia="en-GB"/>
        </w:rPr>
      </w:pPr>
      <w:r w:rsidRPr="004059B6">
        <w:rPr>
          <w:rFonts w:ascii="RN House Sans Regular" w:eastAsia="Times New Roman" w:hAnsi="RN House Sans Regular" w:cs="Arial"/>
          <w:b/>
          <w:bCs/>
          <w:color w:val="000000"/>
          <w:sz w:val="16"/>
          <w:szCs w:val="16"/>
          <w:lang w:eastAsia="en-GB"/>
        </w:rPr>
        <w:t>* Note:</w:t>
      </w:r>
      <w:r w:rsidRPr="004059B6">
        <w:rPr>
          <w:rFonts w:ascii="RN House Sans Regular" w:eastAsia="Times New Roman" w:hAnsi="RN House Sans Regular" w:cs="Arial"/>
          <w:color w:val="000000"/>
          <w:sz w:val="16"/>
          <w:szCs w:val="16"/>
          <w:lang w:eastAsia="en-GB"/>
        </w:rPr>
        <w:t xml:space="preserve"> the nominal value of Ordinary Shares without rounding is £1.076923076923077 per share</w:t>
      </w:r>
    </w:p>
    <w:p w14:paraId="5B94A89A" w14:textId="73CD8B5D" w:rsidR="00867445" w:rsidRPr="00023842" w:rsidRDefault="00867445" w:rsidP="00023842">
      <w:pPr>
        <w:rPr>
          <w:rFonts w:ascii="RN House Sans Regular" w:hAnsi="RN House Sans Regular"/>
        </w:rPr>
      </w:pPr>
    </w:p>
    <w:p w14:paraId="74D26C6B" w14:textId="77E7FBA2" w:rsidR="009E769E" w:rsidRPr="00EF695D" w:rsidRDefault="009E769E" w:rsidP="00EF695D">
      <w:pPr>
        <w:spacing w:line="240" w:lineRule="auto"/>
        <w:jc w:val="both"/>
        <w:rPr>
          <w:rFonts w:ascii="RN House Sans Regular" w:eastAsia="Times New Roman" w:hAnsi="RN House Sans Regular"/>
          <w:color w:val="000000"/>
          <w:lang w:val="en" w:eastAsia="en-GB"/>
        </w:rPr>
      </w:pPr>
      <w:r w:rsidRPr="00EF695D">
        <w:rPr>
          <w:rFonts w:ascii="RN House Sans Regular" w:eastAsia="Times New Roman" w:hAnsi="RN House Sans Regular"/>
          <w:color w:val="000000"/>
          <w:lang w:val="en" w:eastAsia="en-GB"/>
        </w:rPr>
        <w:t>Further information:</w:t>
      </w:r>
    </w:p>
    <w:p w14:paraId="47963BB5" w14:textId="77777777" w:rsidR="009E769E" w:rsidRPr="00EF695D" w:rsidRDefault="009E769E" w:rsidP="009E769E">
      <w:pPr>
        <w:spacing w:after="0" w:line="240" w:lineRule="auto"/>
        <w:rPr>
          <w:rFonts w:ascii="RN House Sans Regular" w:eastAsia="Times New Roman" w:hAnsi="RN House Sans Regular" w:cs="Arial"/>
          <w:color w:val="000000"/>
          <w:lang w:val="en" w:eastAsia="en-GB"/>
        </w:rPr>
      </w:pPr>
    </w:p>
    <w:p w14:paraId="697D6BE3" w14:textId="77777777" w:rsidR="009E769E" w:rsidRPr="00EF695D" w:rsidRDefault="009E769E" w:rsidP="009E769E">
      <w:pPr>
        <w:spacing w:after="0" w:line="240" w:lineRule="auto"/>
        <w:rPr>
          <w:rFonts w:ascii="RN House Sans Regular" w:eastAsia="Times New Roman" w:hAnsi="RN House Sans Regular" w:cs="Arial"/>
          <w:color w:val="000000"/>
          <w:lang w:eastAsia="en-GB"/>
        </w:rPr>
      </w:pPr>
      <w:r w:rsidRPr="00EF695D">
        <w:rPr>
          <w:rFonts w:ascii="RN House Sans Regular" w:eastAsia="Times New Roman" w:hAnsi="RN House Sans Regular" w:cs="Arial"/>
          <w:color w:val="000000"/>
          <w:lang w:eastAsia="en-GB"/>
        </w:rPr>
        <w:t>Investor Relations</w:t>
      </w:r>
    </w:p>
    <w:p w14:paraId="0BA0DB34" w14:textId="77777777" w:rsidR="009E769E" w:rsidRPr="00EF695D" w:rsidRDefault="009E769E" w:rsidP="009E769E">
      <w:pPr>
        <w:spacing w:after="0" w:line="240" w:lineRule="auto"/>
        <w:rPr>
          <w:rFonts w:ascii="RN House Sans Regular" w:eastAsia="Times New Roman" w:hAnsi="RN House Sans Regular" w:cs="Arial"/>
          <w:color w:val="000000"/>
          <w:lang w:eastAsia="en-GB"/>
        </w:rPr>
      </w:pPr>
      <w:r w:rsidRPr="00EF695D">
        <w:rPr>
          <w:rFonts w:ascii="RN House Sans Regular" w:eastAsia="Times New Roman" w:hAnsi="RN House Sans Regular" w:cs="Arial"/>
          <w:color w:val="000000"/>
          <w:lang w:eastAsia="en-GB"/>
        </w:rPr>
        <w:t>+ 44 (0)207 672 1758</w:t>
      </w:r>
    </w:p>
    <w:p w14:paraId="35061768" w14:textId="77777777" w:rsidR="009E769E" w:rsidRPr="00EF695D" w:rsidRDefault="009E769E" w:rsidP="009E769E">
      <w:pPr>
        <w:spacing w:after="0" w:line="240" w:lineRule="auto"/>
        <w:rPr>
          <w:rFonts w:ascii="RN House Sans Regular" w:eastAsia="SimSun" w:hAnsi="RN House Sans Regular" w:cs="Arial"/>
          <w:color w:val="000000"/>
          <w:lang w:eastAsia="zh-CN"/>
        </w:rPr>
      </w:pPr>
    </w:p>
    <w:p w14:paraId="45BCCF7E" w14:textId="77777777" w:rsidR="009E769E" w:rsidRPr="00EF695D" w:rsidRDefault="009E769E" w:rsidP="009E769E">
      <w:pPr>
        <w:spacing w:after="0" w:line="240" w:lineRule="auto"/>
        <w:rPr>
          <w:rFonts w:ascii="RN House Sans Regular" w:eastAsia="SimSun" w:hAnsi="RN House Sans Regular" w:cs="Arial"/>
          <w:color w:val="000000"/>
          <w:lang w:eastAsia="zh-CN"/>
        </w:rPr>
      </w:pPr>
      <w:r w:rsidRPr="00EF695D">
        <w:rPr>
          <w:rFonts w:ascii="RN House Sans Regular" w:eastAsia="SimSun" w:hAnsi="RN House Sans Regular" w:cs="Arial"/>
          <w:color w:val="000000"/>
          <w:lang w:eastAsia="zh-CN"/>
        </w:rPr>
        <w:t>Media Relations</w:t>
      </w:r>
    </w:p>
    <w:p w14:paraId="7770DF06" w14:textId="77777777" w:rsidR="009E769E" w:rsidRPr="00EF695D" w:rsidRDefault="009E769E" w:rsidP="009E769E">
      <w:pPr>
        <w:spacing w:after="0" w:line="240" w:lineRule="auto"/>
        <w:rPr>
          <w:rFonts w:ascii="RN House Sans Regular" w:eastAsia="SimSun" w:hAnsi="RN House Sans Regular" w:cs="Arial"/>
          <w:color w:val="000000"/>
          <w:lang w:eastAsia="zh-CN"/>
        </w:rPr>
      </w:pPr>
      <w:r w:rsidRPr="00EF695D">
        <w:rPr>
          <w:rFonts w:ascii="RN House Sans Regular" w:eastAsia="SimSun" w:hAnsi="RN House Sans Regular" w:cs="Arial"/>
          <w:color w:val="000000"/>
          <w:lang w:eastAsia="zh-CN"/>
        </w:rPr>
        <w:t>+44 (0)131 523 4205</w:t>
      </w:r>
    </w:p>
    <w:p w14:paraId="4028E99B" w14:textId="77777777" w:rsidR="009E769E" w:rsidRPr="009E769E" w:rsidRDefault="009E769E" w:rsidP="009E769E">
      <w:pPr>
        <w:spacing w:after="0" w:line="240" w:lineRule="auto"/>
        <w:rPr>
          <w:rFonts w:ascii="RN House Sans Regular" w:eastAsia="SimSun" w:hAnsi="RN House Sans Regular" w:cs="Times New Roman"/>
          <w:color w:val="000000"/>
          <w:sz w:val="21"/>
          <w:szCs w:val="21"/>
          <w:lang w:eastAsia="zh-CN"/>
        </w:rPr>
      </w:pPr>
    </w:p>
    <w:p w14:paraId="7C96C608" w14:textId="2F3F0189" w:rsidR="009E769E" w:rsidRDefault="009E769E" w:rsidP="009E769E">
      <w:pPr>
        <w:spacing w:after="0" w:line="240" w:lineRule="auto"/>
        <w:rPr>
          <w:rFonts w:ascii="Calibri" w:eastAsia="Times New Roman" w:hAnsi="Calibri" w:cs="Calibri"/>
          <w:color w:val="000000"/>
          <w:sz w:val="21"/>
          <w:szCs w:val="21"/>
          <w:lang w:val="en" w:eastAsia="en-GB"/>
        </w:rPr>
      </w:pPr>
      <w:r w:rsidRPr="009E769E">
        <w:rPr>
          <w:rFonts w:ascii="RN House Sans Regular" w:eastAsia="SimSun" w:hAnsi="RN House Sans Regular" w:cs="Times New Roman"/>
          <w:color w:val="000000"/>
          <w:sz w:val="21"/>
          <w:szCs w:val="21"/>
          <w:lang w:val="en" w:eastAsia="zh-CN"/>
        </w:rPr>
        <w:t>Legal Entity Identifier:</w:t>
      </w:r>
      <w:r w:rsidRPr="009E769E">
        <w:rPr>
          <w:rFonts w:ascii="RN House Sans Regular" w:eastAsia="Calibri" w:hAnsi="RN House Sans Regular" w:cs="Arial"/>
          <w:color w:val="000000"/>
          <w:sz w:val="21"/>
          <w:szCs w:val="21"/>
        </w:rPr>
        <w:t xml:space="preserve"> 2138005O9XJIJN4JPN90</w:t>
      </w:r>
      <w:r w:rsidRPr="009E769E">
        <w:rPr>
          <w:rFonts w:ascii="Calibri" w:eastAsia="Times New Roman" w:hAnsi="Calibri" w:cs="Calibri"/>
          <w:color w:val="000000"/>
          <w:sz w:val="21"/>
          <w:szCs w:val="21"/>
          <w:lang w:val="en" w:eastAsia="en-GB"/>
        </w:rPr>
        <w:t> </w:t>
      </w:r>
    </w:p>
    <w:p w14:paraId="1F2AB3F9" w14:textId="46F4FA69" w:rsidR="003D2AB4" w:rsidRDefault="003D2AB4" w:rsidP="009E769E">
      <w:pPr>
        <w:spacing w:after="0" w:line="240" w:lineRule="auto"/>
        <w:rPr>
          <w:rFonts w:ascii="Calibri" w:eastAsia="Times New Roman" w:hAnsi="Calibri" w:cs="Calibri"/>
          <w:color w:val="000000"/>
          <w:sz w:val="21"/>
          <w:szCs w:val="21"/>
          <w:lang w:val="en" w:eastAsia="en-GB"/>
        </w:rPr>
      </w:pPr>
    </w:p>
    <w:p w14:paraId="10025B56" w14:textId="77777777" w:rsidR="003D2AB4" w:rsidRPr="00BD6DC3" w:rsidRDefault="003D2AB4" w:rsidP="00BD6DC3">
      <w:pPr>
        <w:pStyle w:val="fc"/>
        <w:spacing w:before="0" w:beforeAutospacing="0" w:after="0" w:afterAutospacing="0" w:line="260" w:lineRule="atLeast"/>
        <w:jc w:val="both"/>
        <w:rPr>
          <w:rStyle w:val="et"/>
          <w:rFonts w:ascii="RN House Sans Light" w:hAnsi="RN House Sans Light"/>
          <w:b/>
          <w:bCs/>
          <w:sz w:val="17"/>
          <w:szCs w:val="17"/>
        </w:rPr>
      </w:pPr>
      <w:r w:rsidRPr="00BD6DC3">
        <w:rPr>
          <w:rStyle w:val="et"/>
          <w:rFonts w:ascii="RN House Sans Regular" w:hAnsi="RN House Sans Regular"/>
          <w:b/>
          <w:bCs/>
          <w:sz w:val="16"/>
          <w:szCs w:val="16"/>
        </w:rPr>
        <w:t>Disclaimer</w:t>
      </w:r>
    </w:p>
    <w:p w14:paraId="53A5937F" w14:textId="10BDF6FA" w:rsidR="009E391D" w:rsidRDefault="003D2AB4" w:rsidP="00BC47D0">
      <w:pPr>
        <w:spacing w:after="0" w:line="240" w:lineRule="auto"/>
        <w:rPr>
          <w:rFonts w:ascii="RN House Sans Regular" w:hAnsi="RN House Sans Regular" w:cs="Arial"/>
          <w:sz w:val="16"/>
          <w:szCs w:val="16"/>
          <w:lang w:eastAsia="en-GB"/>
        </w:rPr>
      </w:pPr>
      <w:r w:rsidRPr="00155CF5">
        <w:rPr>
          <w:rFonts w:ascii="RN House Sans Regular" w:hAnsi="RN House Sans Regular" w:cs="Arial"/>
          <w:sz w:val="16"/>
          <w:szCs w:val="16"/>
          <w:lang w:eastAsia="en-GB"/>
        </w:rPr>
        <w:t>This announcement is for information purposes only and does not constitute or form a part of an offer to sell or a solicitation of an offer to purchase, or the solicitation to sell, any securities of the Company.</w:t>
      </w:r>
    </w:p>
    <w:p w14:paraId="62B8969B" w14:textId="71802C37" w:rsidR="00BD6DC3" w:rsidRDefault="00BD6DC3" w:rsidP="00BC47D0">
      <w:pPr>
        <w:spacing w:after="0" w:line="240" w:lineRule="auto"/>
        <w:rPr>
          <w:rFonts w:ascii="RN House Sans Regular" w:hAnsi="RN House Sans Regular" w:cs="Arial"/>
          <w:sz w:val="16"/>
          <w:szCs w:val="16"/>
          <w:lang w:eastAsia="en-GB"/>
        </w:rPr>
      </w:pPr>
    </w:p>
    <w:p w14:paraId="5D2D414D" w14:textId="5CC4AC11" w:rsidR="00BD6DC3" w:rsidRPr="00BD6DC3" w:rsidRDefault="00BD6DC3" w:rsidP="00BC47D0">
      <w:pPr>
        <w:spacing w:after="0" w:line="240" w:lineRule="auto"/>
        <w:rPr>
          <w:rFonts w:ascii="RN House Sans Regular" w:hAnsi="RN House Sans Regular" w:cs="Arial"/>
          <w:b/>
          <w:bCs/>
          <w:sz w:val="16"/>
          <w:szCs w:val="16"/>
          <w:lang w:eastAsia="en-GB"/>
        </w:rPr>
      </w:pPr>
      <w:r w:rsidRPr="00BD6DC3">
        <w:rPr>
          <w:rFonts w:ascii="RN House Sans Regular" w:hAnsi="RN House Sans Regular" w:cs="Arial"/>
          <w:b/>
          <w:bCs/>
          <w:sz w:val="16"/>
          <w:szCs w:val="16"/>
          <w:lang w:eastAsia="en-GB"/>
        </w:rPr>
        <w:t>Forward-looking statements</w:t>
      </w:r>
    </w:p>
    <w:p w14:paraId="306AD44B" w14:textId="447B7A33" w:rsidR="000B7D32" w:rsidRPr="00155CF5" w:rsidRDefault="009E391D" w:rsidP="00BC47D0">
      <w:pPr>
        <w:spacing w:after="0" w:line="240" w:lineRule="auto"/>
        <w:rPr>
          <w:rFonts w:ascii="RN House Sans Regular" w:eastAsia="Calibri" w:hAnsi="RN House Sans Regular" w:cs="Arial"/>
          <w:b/>
          <w:bCs/>
          <w:sz w:val="21"/>
          <w:szCs w:val="21"/>
        </w:rPr>
      </w:pPr>
      <w:r w:rsidRPr="009E391D">
        <w:rPr>
          <w:rFonts w:ascii="RN House Sans Regular" w:hAnsi="RN House Sans Regular" w:cs="Arial"/>
          <w:sz w:val="16"/>
          <w:szCs w:val="16"/>
          <w:lang w:eastAsia="en-GB"/>
        </w:rPr>
        <w:t>This announcement may include forward-looking statements within the meaning of the United States Private Securities Litigation Reform Act of 1995, such as statements that include, without limitation, the words ‘expect’, ‘estimate’, ‘project’, ‘anticipate’, ‘commit’, ‘believe’, ‘should’, ‘intend’, ‘will’, ‘plan’, ‘could’, ‘probability’, ‘risk’, ‘Value-at-Risk (</w:t>
      </w:r>
      <w:proofErr w:type="spellStart"/>
      <w:r w:rsidRPr="009E391D">
        <w:rPr>
          <w:rFonts w:ascii="RN House Sans Regular" w:hAnsi="RN House Sans Regular" w:cs="Arial"/>
          <w:sz w:val="16"/>
          <w:szCs w:val="16"/>
          <w:lang w:eastAsia="en-GB"/>
        </w:rPr>
        <w:t>VaR</w:t>
      </w:r>
      <w:proofErr w:type="spellEnd"/>
      <w:r w:rsidRPr="009E391D">
        <w:rPr>
          <w:rFonts w:ascii="RN House Sans Regular" w:hAnsi="RN House Sans Regular" w:cs="Arial"/>
          <w:sz w:val="16"/>
          <w:szCs w:val="16"/>
          <w:lang w:eastAsia="en-GB"/>
        </w:rPr>
        <w:t>)’, ‘target’, ‘goal’, ‘objective’, ‘may’, ‘endeavour’, ‘outlook’, ‘optimistic’, ‘prospects’ and similar expressions or variations on these expressions. These statements concern or may affect future matters, such as NatWest Group's future economic results, business plans and strategies.</w:t>
      </w:r>
      <w:r w:rsidRPr="009E391D">
        <w:rPr>
          <w:rFonts w:ascii="Calibri" w:hAnsi="Calibri" w:cs="Calibri"/>
          <w:sz w:val="16"/>
          <w:szCs w:val="16"/>
          <w:lang w:eastAsia="en-GB"/>
        </w:rPr>
        <w:t> </w:t>
      </w:r>
      <w:r w:rsidRPr="009E391D">
        <w:rPr>
          <w:rFonts w:ascii="RN House Sans Regular" w:hAnsi="RN House Sans Regular" w:cs="Arial"/>
          <w:sz w:val="16"/>
          <w:szCs w:val="16"/>
          <w:lang w:eastAsia="en-GB"/>
        </w:rPr>
        <w:t xml:space="preserve"> In particular, this announcement may include forward-looking statements relating to NatWest Group plc in respect of, but not limited to: </w:t>
      </w:r>
      <w:r>
        <w:rPr>
          <w:rFonts w:ascii="RN House Sans Regular" w:hAnsi="RN House Sans Regular" w:cs="Arial"/>
          <w:sz w:val="16"/>
          <w:szCs w:val="16"/>
          <w:lang w:eastAsia="en-GB"/>
        </w:rPr>
        <w:t>its</w:t>
      </w:r>
      <w:r w:rsidRPr="009E391D">
        <w:rPr>
          <w:rFonts w:ascii="RN House Sans Regular" w:hAnsi="RN House Sans Regular" w:cs="Arial"/>
          <w:sz w:val="16"/>
          <w:szCs w:val="16"/>
          <w:lang w:eastAsia="en-GB"/>
        </w:rPr>
        <w:t xml:space="preserve"> Programme and the details thereto; its economic and political risks, its regulatory capital position and related requirements, its financial position, profitability and financial performance (including financial, capital, cost savings and operational targets), the implementation of its purpose-led strategy, its environmental, social and governance and climate related targets, its access to adequate sources of liquidity and funding, increasing competition from new incumbents and disruptive technologies, its exposure to third party risks, its ongoing compliance with the UK ring-fencing regime and ensuring operational continuity in resolution, its impairment losses and credit exposures under certain specified scenarios, substantial regulation and oversight, ongoing legal, regulatory and governmental actions and investigations, the transition of LIBOR and IBOR rates to replacement risk free rates and NatWest Group’s exposure to operational risk, conduct </w:t>
      </w:r>
      <w:r w:rsidRPr="009E391D">
        <w:rPr>
          <w:rFonts w:ascii="RN House Sans Regular" w:hAnsi="RN House Sans Regular" w:cs="Arial"/>
          <w:sz w:val="16"/>
          <w:szCs w:val="16"/>
          <w:lang w:eastAsia="en-GB"/>
        </w:rPr>
        <w:lastRenderedPageBreak/>
        <w:t>risk, cyber, data and IT risk, financial crime risk, key person risk and credit rating risk.</w:t>
      </w:r>
      <w:r w:rsidRPr="009E391D">
        <w:rPr>
          <w:rFonts w:ascii="Calibri" w:hAnsi="Calibri" w:cs="Calibri"/>
          <w:sz w:val="16"/>
          <w:szCs w:val="16"/>
          <w:lang w:eastAsia="en-GB"/>
        </w:rPr>
        <w:t> </w:t>
      </w:r>
      <w:r w:rsidRPr="009E391D">
        <w:rPr>
          <w:rFonts w:ascii="RN House Sans Regular" w:hAnsi="RN House Sans Regular" w:cs="Arial"/>
          <w:sz w:val="16"/>
          <w:szCs w:val="16"/>
          <w:lang w:eastAsia="en-GB"/>
        </w:rPr>
        <w:t xml:space="preserve">Forward-looking statements are subject to a number of risks and uncertainties that might cause actual results and performance to differ materially from any expected future results or performance expressed or implied by the forward-looking statements. Factors that could cause or contribute to differences in current expectations include, but are not limited to, future growth initiatives (including acquisitions, joint ventures and strategic partnerships), the outcome of legal, regulatory and governmental actions and investigations, the level and extent of future impairments and write-downs, legislative, political, fiscal and regulatory developments, accounting standards, competitive conditions, technological developments, interest and exchange rate fluctuations, general economic and political conditions and the impact of climate-related risks and the transitioning to a net zero economy. These and other factors, risks and uncertainties that may impact any forward-looking statement or NatWest Group plc's actual results are discussed in NatWest Group plc's 2022 Annual Report on Form 20-F, </w:t>
      </w:r>
      <w:bookmarkStart w:id="0" w:name="_Hlk132378324"/>
      <w:r w:rsidRPr="009E391D">
        <w:rPr>
          <w:rFonts w:ascii="RN House Sans Regular" w:hAnsi="RN House Sans Regular" w:cs="Arial"/>
          <w:sz w:val="16"/>
          <w:szCs w:val="16"/>
          <w:lang w:eastAsia="en-GB"/>
        </w:rPr>
        <w:t xml:space="preserve">NatWest Group plc’s </w:t>
      </w:r>
      <w:bookmarkStart w:id="1" w:name="_Hlk133253820"/>
      <w:r w:rsidRPr="009E391D">
        <w:rPr>
          <w:rFonts w:ascii="RN House Sans Regular" w:hAnsi="RN House Sans Regular" w:cs="Arial"/>
          <w:sz w:val="16"/>
          <w:szCs w:val="16"/>
          <w:lang w:eastAsia="en-GB"/>
        </w:rPr>
        <w:t xml:space="preserve">Interim Management Statement </w:t>
      </w:r>
      <w:bookmarkEnd w:id="1"/>
      <w:r w:rsidRPr="009E391D">
        <w:rPr>
          <w:rFonts w:ascii="RN House Sans Regular" w:hAnsi="RN House Sans Regular" w:cs="Arial"/>
          <w:sz w:val="16"/>
          <w:szCs w:val="16"/>
          <w:lang w:eastAsia="en-GB"/>
        </w:rPr>
        <w:t>for Q1 and H1 2023</w:t>
      </w:r>
      <w:bookmarkEnd w:id="0"/>
      <w:r w:rsidRPr="009E391D">
        <w:rPr>
          <w:rFonts w:ascii="RN House Sans Regular" w:hAnsi="RN House Sans Regular" w:cs="Arial"/>
          <w:sz w:val="16"/>
          <w:szCs w:val="16"/>
          <w:lang w:eastAsia="en-GB"/>
        </w:rPr>
        <w:t xml:space="preserve"> on Form 6-K and its other filings with the US Securities and Exchange Commission. The forward-looking statements contained in this announcement speak only as of the date of this announcement and NatWest Group plc does not assume or undertake any obligation or responsibility to update any of the forward-looking statements contained in this announcement, whether as a result of new information, future events or otherwise, except to the extent legally required.</w:t>
      </w:r>
      <w:r w:rsidR="00AB01E2">
        <w:rPr>
          <w:rFonts w:ascii="RN House Sans Regular" w:hAnsi="RN House Sans Regular" w:cs="Arial"/>
          <w:sz w:val="16"/>
          <w:szCs w:val="16"/>
          <w:lang w:eastAsia="en-GB"/>
        </w:rPr>
        <w:br/>
      </w:r>
      <w:r w:rsidR="00AB01E2">
        <w:rPr>
          <w:rFonts w:ascii="RN House Sans Regular" w:hAnsi="RN House Sans Regular" w:cs="Arial"/>
          <w:sz w:val="16"/>
          <w:szCs w:val="16"/>
          <w:lang w:eastAsia="en-GB"/>
        </w:rPr>
        <w:br/>
      </w:r>
      <w:r w:rsidR="000B7D32" w:rsidRPr="00155CF5">
        <w:rPr>
          <w:rFonts w:ascii="RN House Sans Regular" w:eastAsia="Calibri" w:hAnsi="RN House Sans Regular" w:cs="Arial"/>
          <w:b/>
          <w:bCs/>
          <w:sz w:val="21"/>
          <w:szCs w:val="21"/>
        </w:rPr>
        <w:t>No Purchases in the United States and No Purchases of American Depositary Receipts (“ADRs”)</w:t>
      </w:r>
    </w:p>
    <w:p w14:paraId="0D5F13BF" w14:textId="77777777" w:rsidR="000B7D32" w:rsidRPr="00155CF5" w:rsidRDefault="000B7D32" w:rsidP="000B7D32">
      <w:pPr>
        <w:pStyle w:val="Normal4"/>
        <w:rPr>
          <w:rFonts w:ascii="RN House Sans Regular" w:eastAsia="Calibri" w:hAnsi="RN House Sans Regular" w:cs="Arial"/>
          <w:sz w:val="16"/>
          <w:szCs w:val="16"/>
        </w:rPr>
      </w:pPr>
      <w:r w:rsidRPr="00155CF5">
        <w:rPr>
          <w:rFonts w:ascii="RN House Sans Regular" w:eastAsia="Calibri" w:hAnsi="RN House Sans Regular" w:cs="Arial"/>
          <w:sz w:val="16"/>
          <w:szCs w:val="16"/>
        </w:rPr>
        <w:t>Purchases of Ordinary Shares under the Programme will be made outside the United States only. There will be no purchases of Ordinary Shares from within the United States or from persons known to be located in the United States, and there will be no purchases of the Company’s ADRs under the Programme.</w:t>
      </w:r>
    </w:p>
    <w:p w14:paraId="07605B24" w14:textId="77777777" w:rsidR="00D32441" w:rsidRDefault="00D32441" w:rsidP="00D21B1B">
      <w:pPr>
        <w:pStyle w:val="Normal4"/>
        <w:jc w:val="both"/>
        <w:rPr>
          <w:rFonts w:ascii="RN House Sans Regular" w:hAnsi="RN House Sans Regular" w:cs="Arial"/>
          <w:sz w:val="16"/>
          <w:szCs w:val="16"/>
        </w:rPr>
      </w:pPr>
      <w:bookmarkStart w:id="2" w:name="_Hlk66982116"/>
    </w:p>
    <w:bookmarkEnd w:id="2"/>
    <w:p w14:paraId="6C3D7191" w14:textId="77777777" w:rsidR="00D32441" w:rsidRDefault="00D32441" w:rsidP="00D21B1B">
      <w:pPr>
        <w:pStyle w:val="Normal4"/>
        <w:jc w:val="both"/>
        <w:rPr>
          <w:rFonts w:ascii="RN House Sans Regular" w:hAnsi="RN House Sans Regular" w:cs="Arial"/>
          <w:sz w:val="16"/>
          <w:szCs w:val="16"/>
        </w:rPr>
      </w:pPr>
    </w:p>
    <w:sectPr w:rsidR="00D32441" w:rsidSect="007F576B">
      <w:headerReference w:type="even" r:id="rId7"/>
      <w:headerReference w:type="default" r:id="rId8"/>
      <w:footerReference w:type="even" r:id="rId9"/>
      <w:footerReference w:type="default" r:id="rId10"/>
      <w:headerReference w:type="first" r:id="rId11"/>
      <w:footerReference w:type="first" r:id="rId12"/>
      <w:pgSz w:w="11906" w:h="16838" w:code="9"/>
      <w:pgMar w:top="782" w:right="624" w:bottom="709" w:left="624" w:header="283" w:footer="22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4A85EF5" w14:textId="77777777" w:rsidR="00454B89" w:rsidRDefault="00454B89">
      <w:pPr>
        <w:spacing w:after="0" w:line="240" w:lineRule="auto"/>
      </w:pPr>
      <w:r>
        <w:separator/>
      </w:r>
    </w:p>
  </w:endnote>
  <w:endnote w:type="continuationSeparator" w:id="0">
    <w:p w14:paraId="4F8DC97C" w14:textId="77777777" w:rsidR="00454B89" w:rsidRDefault="00454B89">
      <w:pPr>
        <w:spacing w:after="0" w:line="240" w:lineRule="auto"/>
      </w:pPr>
      <w:r>
        <w:continuationSeparator/>
      </w:r>
    </w:p>
  </w:endnote>
  <w:endnote w:type="continuationNotice" w:id="1">
    <w:p w14:paraId="3B57D51E" w14:textId="77777777" w:rsidR="00454B89" w:rsidRDefault="00454B8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RN House Sans">
    <w:altName w:val="Calibri"/>
    <w:panose1 w:val="020B0504020203020204"/>
    <w:charset w:val="4D"/>
    <w:family w:val="swiss"/>
    <w:notTrueType/>
    <w:pitch w:val="variable"/>
    <w:sig w:usb0="00000003" w:usb1="00000000" w:usb2="00000000" w:usb3="00000000" w:csb0="00000101" w:csb1="00000000"/>
  </w:font>
  <w:font w:name="Segoe UI">
    <w:panose1 w:val="020B0502040204020203"/>
    <w:charset w:val="00"/>
    <w:family w:val="swiss"/>
    <w:pitch w:val="variable"/>
    <w:sig w:usb0="E4002EFF" w:usb1="C000E47F" w:usb2="00000009" w:usb3="00000000" w:csb0="000001FF" w:csb1="00000000"/>
  </w:font>
  <w:font w:name="RN House Sans Regular">
    <w:panose1 w:val="020B0504020203020204"/>
    <w:charset w:val="00"/>
    <w:family w:val="swiss"/>
    <w:pitch w:val="variable"/>
    <w:sig w:usb0="A0000003" w:usb1="00000002" w:usb2="00000000" w:usb3="00000000" w:csb0="00000101" w:csb1="00000000"/>
  </w:font>
  <w:font w:name="ArialMT">
    <w:altName w:val="Arial"/>
    <w:panose1 w:val="00000000000000000000"/>
    <w:charset w:val="00"/>
    <w:family w:val="auto"/>
    <w:notTrueType/>
    <w:pitch w:val="default"/>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RN House Sans Light">
    <w:panose1 w:val="020B0404020203020204"/>
    <w:charset w:val="00"/>
    <w:family w:val="swiss"/>
    <w:pitch w:val="variable"/>
    <w:sig w:usb0="A0000003" w:usb1="00000002" w:usb2="00000000" w:usb3="00000000" w:csb0="00000101" w:csb1="00000000"/>
  </w:font>
  <w:font w:name="Cambria">
    <w:panose1 w:val="02040503050406030204"/>
    <w:charset w:val="00"/>
    <w:family w:val="roman"/>
    <w:pitch w:val="variable"/>
    <w:sig w:usb0="E00006FF" w:usb1="420024FF" w:usb2="02000000" w:usb3="00000000" w:csb0="0000019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DB9C77" w14:textId="77777777" w:rsidR="0024316C" w:rsidRDefault="0024316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704370" w14:textId="77777777" w:rsidR="00EF1792" w:rsidRPr="00EF1792" w:rsidRDefault="009E769E" w:rsidP="00EF1792">
    <w:pPr>
      <w:pStyle w:val="Footer"/>
      <w:rPr>
        <w:rFonts w:ascii="Cambria" w:hAnsi="Cambria"/>
      </w:rPr>
    </w:pPr>
    <w:r>
      <w:t xml:space="preserve">Document classification: Secret </w:t>
    </w:r>
    <w:r w:rsidRPr="00EF1792">
      <w:rPr>
        <w:rFonts w:ascii="Cambria" w:hAnsi="Cambria"/>
      </w:rPr>
      <w:fldChar w:fldCharType="begin"/>
    </w:r>
    <w:r w:rsidRPr="00EF1792">
      <w:rPr>
        <w:rFonts w:ascii="Cambria" w:hAnsi="Cambria"/>
      </w:rPr>
      <w:instrText xml:space="preserve"> PAGE   \* MERGEFORMAT </w:instrText>
    </w:r>
    <w:r w:rsidRPr="00EF1792">
      <w:rPr>
        <w:rFonts w:ascii="Cambria" w:hAnsi="Cambria"/>
      </w:rPr>
      <w:fldChar w:fldCharType="separate"/>
    </w:r>
    <w:r>
      <w:rPr>
        <w:rFonts w:ascii="Cambria" w:hAnsi="Cambria"/>
        <w:noProof/>
      </w:rPr>
      <w:t>13</w:t>
    </w:r>
    <w:r w:rsidRPr="00EF1792">
      <w:rPr>
        <w:rFonts w:ascii="Cambria" w:hAnsi="Cambria"/>
      </w:rPr>
      <w:fldChar w:fldCharType="end"/>
    </w:r>
    <w:r w:rsidRPr="00EF1792">
      <w:rPr>
        <w:rFonts w:ascii="Cambria" w:hAnsi="Cambria"/>
      </w:rPr>
      <w:t>/</w:t>
    </w:r>
    <w:r w:rsidRPr="00EF1792">
      <w:rPr>
        <w:rFonts w:ascii="Cambria" w:hAnsi="Cambria"/>
      </w:rPr>
      <w:fldChar w:fldCharType="begin"/>
    </w:r>
    <w:r w:rsidRPr="00EF1792">
      <w:rPr>
        <w:rFonts w:ascii="Cambria" w:hAnsi="Cambria"/>
      </w:rPr>
      <w:instrText xml:space="preserve"> NUMPAGES   \* MERGEFORMAT </w:instrText>
    </w:r>
    <w:r w:rsidRPr="00EF1792">
      <w:rPr>
        <w:rFonts w:ascii="Cambria" w:hAnsi="Cambria"/>
      </w:rPr>
      <w:fldChar w:fldCharType="separate"/>
    </w:r>
    <w:r>
      <w:rPr>
        <w:rFonts w:ascii="Cambria" w:hAnsi="Cambria"/>
        <w:noProof/>
      </w:rPr>
      <w:t>13</w:t>
    </w:r>
    <w:r w:rsidRPr="00EF1792">
      <w:rPr>
        <w:rFonts w:ascii="Cambria" w:hAnsi="Cambria"/>
        <w:noProof/>
      </w:rPr>
      <w:fldChar w:fldCharType="end"/>
    </w:r>
  </w:p>
  <w:p w14:paraId="48004BEA" w14:textId="77777777" w:rsidR="00CD4C95" w:rsidRDefault="00E1761E">
    <w:pPr>
      <w:pStyle w:val="Footer"/>
      <w:spacing w:line="20" w:lineRule="exact"/>
    </w:pPr>
    <w:r>
      <w:rPr>
        <w:noProof/>
        <w:lang w:val="en-US" w:eastAsia="zh-CN"/>
      </w:rPr>
      <w:pict w14:anchorId="0E1F2B1D">
        <v:shapetype id="_x0000_t202" coordsize="21600,21600" o:spt="202" path="m,l,21600r21600,l21600,xe">
          <v:stroke joinstyle="miter"/>
          <v:path gradientshapeok="t" o:connecttype="rect"/>
        </v:shapetype>
        <v:shape id="zzmpTrailer_2832_19" o:spid="_x0000_s1025" type="#_x0000_t202" style="position:absolute;margin-left:0;margin-top:-9.95pt;width:201.6pt;height:20.15pt;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" filled="f" stroked="f">
          <v:textbox inset="0,0,0,0">
            <w:txbxContent>
              <w:p w14:paraId="5CC5B74C" w14:textId="335BBF7B" w:rsidR="00CD4C95" w:rsidRDefault="004E46DD">
                <w:pPr>
                  <w:pStyle w:val="MacPacTrailer"/>
                </w:pPr>
                <w:r>
                  <w:fldChar w:fldCharType="begin"/>
                </w:r>
                <w:r>
                  <w:instrText xml:space="preserve"> DOCPROPERTY  docId </w:instrText>
                </w:r>
                <w:r>
                  <w:fldChar w:fldCharType="separate"/>
                </w:r>
                <w:r w:rsidR="00B10699">
                  <w:rPr>
                    <w:b/>
                    <w:bCs/>
                    <w:lang w:val="en-US"/>
                  </w:rPr>
                  <w:t>Error! Unknown document property name.</w:t>
                </w:r>
                <w:r>
                  <w:fldChar w:fldCharType="end"/>
                </w:r>
                <w:r w:rsidR="00CD4C95">
                  <w:fldChar w:fldCharType="begin"/>
                </w:r>
                <w:r w:rsidR="00CD4C95">
                  <w:instrText xml:space="preserve"> IF </w:instrText>
                </w:r>
                <w:r>
                  <w:fldChar w:fldCharType="begin"/>
                </w:r>
                <w:r>
                  <w:instrText xml:space="preserve"> DOCPROPERTY  docIncludeVersion </w:instrText>
                </w:r>
                <w:r>
                  <w:fldChar w:fldCharType="separate"/>
                </w:r>
                <w:r w:rsidR="00B10699">
                  <w:rPr>
                    <w:b/>
                    <w:bCs/>
                    <w:lang w:val="en-US"/>
                  </w:rPr>
                  <w:instrText>Error! Unknown document property name.</w:instrText>
                </w:r>
                <w:r>
                  <w:fldChar w:fldCharType="end"/>
                </w:r>
                <w:r w:rsidR="00CD4C95">
                  <w:instrText xml:space="preserve"> = true "/</w:instrText>
                </w:r>
                <w:r w:rsidR="00E1761E">
                  <w:fldChar w:fldCharType="begin"/>
                </w:r>
                <w:r w:rsidR="00E1761E">
                  <w:instrText xml:space="preserve"> DOCPROPERTY  docVersion </w:instrText>
                </w:r>
                <w:r w:rsidR="00E1761E">
                  <w:fldChar w:fldCharType="separate"/>
                </w:r>
                <w:r w:rsidR="00E76130">
                  <w:instrText>6</w:instrText>
                </w:r>
                <w:r w:rsidR="00E1761E">
                  <w:fldChar w:fldCharType="end"/>
                </w:r>
                <w:r w:rsidR="00CD4C95">
                  <w:instrText>"</w:instrText>
                </w:r>
                <w:r w:rsidR="00CD4C95">
                  <w:fldChar w:fldCharType="end"/>
                </w:r>
                <w:r w:rsidR="00CD4C95">
                  <w:t xml:space="preserve">   </w:t>
                </w:r>
                <w:r w:rsidR="00CD4C95">
                  <w:fldChar w:fldCharType="begin"/>
                </w:r>
                <w:r w:rsidR="00CD4C95">
                  <w:instrText xml:space="preserve"> IF </w:instrText>
                </w:r>
                <w:r>
                  <w:fldChar w:fldCharType="begin"/>
                </w:r>
                <w:r>
                  <w:instrText xml:space="preserve"> DOCPROPERTY  docIncludeCliMat </w:instrText>
                </w:r>
                <w:r>
                  <w:fldChar w:fldCharType="separate"/>
                </w:r>
                <w:r w:rsidR="00B10699">
                  <w:rPr>
                    <w:b/>
                    <w:bCs/>
                    <w:lang w:val="en-US"/>
                  </w:rPr>
                  <w:instrText>Error! Unknown document property name.</w:instrText>
                </w:r>
                <w:r>
                  <w:fldChar w:fldCharType="end"/>
                </w:r>
                <w:r w:rsidR="00CD4C95">
                  <w:instrText xml:space="preserve"> = true </w:instrText>
                </w:r>
                <w:r w:rsidR="00E1761E">
                  <w:fldChar w:fldCharType="begin"/>
                </w:r>
                <w:r w:rsidR="00E1761E">
                  <w:instrText xml:space="preserve"> DOCPROPERTY  docCliMat </w:instrText>
                </w:r>
                <w:r w:rsidR="00E1761E">
                  <w:fldChar w:fldCharType="separate"/>
                </w:r>
                <w:r w:rsidR="00E76130">
                  <w:instrText>170976-0005</w:instrText>
                </w:r>
                <w:r w:rsidR="00E1761E">
                  <w:fldChar w:fldCharType="end"/>
                </w:r>
                <w:r w:rsidR="00CD4C95">
                  <w:instrText xml:space="preserve">  </w:instrText>
                </w:r>
                <w:r w:rsidR="00E1761E">
                  <w:fldChar w:fldCharType="separate"/>
                </w:r>
                <w:r w:rsidR="00CD4C95">
                  <w:fldChar w:fldCharType="end"/>
                </w:r>
              </w:p>
              <w:p w14:paraId="2815CE8E" w14:textId="11DF6972" w:rsidR="00CD4C95" w:rsidRDefault="00CD4C95">
                <w:pPr>
                  <w:pStyle w:val="MacPacTrailer"/>
                </w:pPr>
              </w:p>
            </w:txbxContent>
          </v:textbox>
          <w10:wrap anchorx="margin"/>
        </v:shape>
      </w:pic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4337AB" w14:textId="77777777" w:rsidR="00CD4C95" w:rsidRDefault="00E1761E">
    <w:pPr>
      <w:pStyle w:val="Footer"/>
      <w:spacing w:line="20" w:lineRule="exact"/>
    </w:pPr>
    <w:r>
      <w:rPr>
        <w:noProof/>
        <w:lang w:val="en-US" w:eastAsia="zh-CN"/>
      </w:rPr>
      <w:pict w14:anchorId="0ADF5DCB">
        <v:shapetype id="_x0000_t202" coordsize="21600,21600" o:spt="202" path="m,l,21600r21600,l21600,xe">
          <v:stroke joinstyle="miter"/>
          <v:path gradientshapeok="t" o:connecttype="rect"/>
        </v:shapetype>
        <v:shape id="zzmpTrailer_2832_1B" o:spid="_x0000_s1026" type="#_x0000_t202" style="position:absolute;margin-left:0;margin-top:-9.95pt;width:201.6pt;height:20.15pt;z-index:-251658239;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" filled="f" stroked="f">
          <v:textbox inset="0,0,0,0">
            <w:txbxContent>
              <w:p w14:paraId="34FDDD65" w14:textId="027FE923" w:rsidR="00CD4C95" w:rsidRDefault="00CD4C95">
                <w:pPr>
                  <w:pStyle w:val="MacPacTrailer"/>
                </w:pPr>
              </w:p>
            </w:txbxContent>
          </v:textbox>
          <w10:wrap anchorx="margin"/>
        </v:shape>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B59512" w14:textId="77777777" w:rsidR="00454B89" w:rsidRDefault="00454B89">
      <w:pPr>
        <w:spacing w:after="0" w:line="240" w:lineRule="auto"/>
      </w:pPr>
      <w:r>
        <w:separator/>
      </w:r>
    </w:p>
  </w:footnote>
  <w:footnote w:type="continuationSeparator" w:id="0">
    <w:p w14:paraId="0047D481" w14:textId="77777777" w:rsidR="00454B89" w:rsidRDefault="00454B89">
      <w:pPr>
        <w:spacing w:after="0" w:line="240" w:lineRule="auto"/>
      </w:pPr>
      <w:r>
        <w:continuationSeparator/>
      </w:r>
    </w:p>
  </w:footnote>
  <w:footnote w:type="continuationNotice" w:id="1">
    <w:p w14:paraId="23323324" w14:textId="77777777" w:rsidR="00454B89" w:rsidRDefault="00454B89">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FFD39C" w14:textId="77777777" w:rsidR="0024316C" w:rsidRDefault="0024316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09DC67" w14:textId="77777777" w:rsidR="0024316C" w:rsidRDefault="0024316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859CB7" w14:textId="4B0D7D5D" w:rsidR="0024316C" w:rsidRDefault="0024316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C8B169F"/>
    <w:multiLevelType w:val="hybridMultilevel"/>
    <w:tmpl w:val="3AD8FCF6"/>
    <w:lvl w:ilvl="0" w:tplc="01B016C0">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72013161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trackRevisions/>
  <w:doNotTrackMoves/>
  <w:doNotTrackFormatting/>
  <w:defaultTabStop w:val="720"/>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ForteTempFile" w:val="C:\Users\s-sgibbons\AppData\Local\Temp\fe11419f-f286-4c80-aaf0-7eb234b7c5ac.docx"/>
    <w:docVar w:name="zzmp10LastTrailerInserted" w:val="^`~#mp!@6'V#&amp;┗┬5&lt;@{śmU⌏ÅH⌑ Ç¦pÏdcÓ1Mºª⌙⌉å!⌚úƚ⌙Î⌏ðüI@_@Òåk⌛¥X`ç-|¿“‡G{R⌏?ƅ⌊Ù`¶ªíOgèJÅ‥․¥¦¯ä,§Y?ˉ‽⌂NÙp]8Í5″&amp;I˟µûºf/AKs․q§Z⌚¸mQ⌚ú§ũ]‽']¶ŤFâæV9j­o†ö[rÐI&gt;{ÒÅf¨ƀ†ý jÐZä‡Þ¿⌅⌍ÞJ=y;@YRX011"/>
    <w:docVar w:name="zzmp10LastTrailerInserted_2832" w:val="^`~#mp!@6'V#&amp;┗┬5&lt;@{śmU⌏ÅH⌑ Ç¦pÏdcÓ1Mºª⌙⌉å!⌚úƚ⌙Î⌏ðüI@_@Òåk⌛¥X`ç-|¿“‡G{R⌏?ƅ⌊Ù`¶ªíOgèJÅ‥․¥¦¯ä,§Y?ˉ‽⌂NÙp]8Í5″&amp;I˟µûºf/AKs․q§Z⌚¸mQ⌚ú§ũ]‽']¶ŤFâæV9j­o†ö[rÐI&gt;{ÒÅf¨ƀ†ý jÐZä‡Þ¿⌅⌍ÞJ=y;@YRX011"/>
    <w:docVar w:name="zzmp10mSEGsValidated" w:val="1"/>
    <w:docVar w:name="zzmpCompatibilityMode" w:val="15"/>
    <w:docVar w:name="zzmpLegacyTrailerRemoved" w:val="True"/>
  </w:docVars>
  <w:rsids>
    <w:rsidRoot w:val="009E769E"/>
    <w:rsid w:val="00023842"/>
    <w:rsid w:val="00032FD1"/>
    <w:rsid w:val="000523FE"/>
    <w:rsid w:val="00082AF0"/>
    <w:rsid w:val="00084605"/>
    <w:rsid w:val="00085966"/>
    <w:rsid w:val="000A5391"/>
    <w:rsid w:val="000B7D32"/>
    <w:rsid w:val="000C2816"/>
    <w:rsid w:val="000C2EC3"/>
    <w:rsid w:val="000D53E9"/>
    <w:rsid w:val="000E1EA9"/>
    <w:rsid w:val="000F01E9"/>
    <w:rsid w:val="00110EB3"/>
    <w:rsid w:val="001200CF"/>
    <w:rsid w:val="001232BB"/>
    <w:rsid w:val="001468F0"/>
    <w:rsid w:val="00155CF5"/>
    <w:rsid w:val="00173D96"/>
    <w:rsid w:val="001A0C76"/>
    <w:rsid w:val="001A3716"/>
    <w:rsid w:val="001B1367"/>
    <w:rsid w:val="001C2DE1"/>
    <w:rsid w:val="001D580F"/>
    <w:rsid w:val="001E41B3"/>
    <w:rsid w:val="001E7D31"/>
    <w:rsid w:val="001F0614"/>
    <w:rsid w:val="001F7BF7"/>
    <w:rsid w:val="00240AD2"/>
    <w:rsid w:val="00242846"/>
    <w:rsid w:val="0024316C"/>
    <w:rsid w:val="00272210"/>
    <w:rsid w:val="00286E15"/>
    <w:rsid w:val="002F409B"/>
    <w:rsid w:val="003110F3"/>
    <w:rsid w:val="00313A10"/>
    <w:rsid w:val="00314878"/>
    <w:rsid w:val="00326572"/>
    <w:rsid w:val="003325E4"/>
    <w:rsid w:val="00335C59"/>
    <w:rsid w:val="003442DD"/>
    <w:rsid w:val="003517F1"/>
    <w:rsid w:val="00354119"/>
    <w:rsid w:val="003821D9"/>
    <w:rsid w:val="003C78D2"/>
    <w:rsid w:val="003D2AB4"/>
    <w:rsid w:val="003D7EDE"/>
    <w:rsid w:val="003E58B2"/>
    <w:rsid w:val="003F0B6C"/>
    <w:rsid w:val="003F5BD1"/>
    <w:rsid w:val="003F7878"/>
    <w:rsid w:val="004059B6"/>
    <w:rsid w:val="00414153"/>
    <w:rsid w:val="00414DB1"/>
    <w:rsid w:val="0041574C"/>
    <w:rsid w:val="00420E8E"/>
    <w:rsid w:val="00440504"/>
    <w:rsid w:val="004504A2"/>
    <w:rsid w:val="00454B89"/>
    <w:rsid w:val="004600DC"/>
    <w:rsid w:val="00463E63"/>
    <w:rsid w:val="004745E2"/>
    <w:rsid w:val="004827A8"/>
    <w:rsid w:val="00497952"/>
    <w:rsid w:val="004B479D"/>
    <w:rsid w:val="004B7AAA"/>
    <w:rsid w:val="004C0C14"/>
    <w:rsid w:val="004C47C5"/>
    <w:rsid w:val="004E46DD"/>
    <w:rsid w:val="004E50AE"/>
    <w:rsid w:val="00504E7B"/>
    <w:rsid w:val="0050558C"/>
    <w:rsid w:val="0051085B"/>
    <w:rsid w:val="00524D17"/>
    <w:rsid w:val="00561ECC"/>
    <w:rsid w:val="005656A9"/>
    <w:rsid w:val="00566A7B"/>
    <w:rsid w:val="005674A3"/>
    <w:rsid w:val="00567BEC"/>
    <w:rsid w:val="0057275E"/>
    <w:rsid w:val="00587BC2"/>
    <w:rsid w:val="005A7E65"/>
    <w:rsid w:val="005C08F2"/>
    <w:rsid w:val="005C6ED6"/>
    <w:rsid w:val="005D7358"/>
    <w:rsid w:val="005E1DAB"/>
    <w:rsid w:val="005F64EF"/>
    <w:rsid w:val="005F6CE4"/>
    <w:rsid w:val="00610EC4"/>
    <w:rsid w:val="00625A88"/>
    <w:rsid w:val="00637431"/>
    <w:rsid w:val="00655A5C"/>
    <w:rsid w:val="00672DB8"/>
    <w:rsid w:val="0069051B"/>
    <w:rsid w:val="006C134F"/>
    <w:rsid w:val="006C2F04"/>
    <w:rsid w:val="006D03A5"/>
    <w:rsid w:val="006D702B"/>
    <w:rsid w:val="006F334A"/>
    <w:rsid w:val="006F3B5A"/>
    <w:rsid w:val="00711993"/>
    <w:rsid w:val="00721E0C"/>
    <w:rsid w:val="00724702"/>
    <w:rsid w:val="0073173A"/>
    <w:rsid w:val="00753580"/>
    <w:rsid w:val="007718A7"/>
    <w:rsid w:val="00794B26"/>
    <w:rsid w:val="007A5748"/>
    <w:rsid w:val="007A6A66"/>
    <w:rsid w:val="007A7083"/>
    <w:rsid w:val="007C2752"/>
    <w:rsid w:val="007C3F76"/>
    <w:rsid w:val="007C47EA"/>
    <w:rsid w:val="007D3F9C"/>
    <w:rsid w:val="00825A16"/>
    <w:rsid w:val="00857ED7"/>
    <w:rsid w:val="008610F5"/>
    <w:rsid w:val="00863920"/>
    <w:rsid w:val="00867445"/>
    <w:rsid w:val="0087283E"/>
    <w:rsid w:val="008751B6"/>
    <w:rsid w:val="00876709"/>
    <w:rsid w:val="00897EE7"/>
    <w:rsid w:val="008A29C7"/>
    <w:rsid w:val="008D2B83"/>
    <w:rsid w:val="009113D9"/>
    <w:rsid w:val="00921A59"/>
    <w:rsid w:val="009317BF"/>
    <w:rsid w:val="009359C9"/>
    <w:rsid w:val="00953A68"/>
    <w:rsid w:val="00954D3B"/>
    <w:rsid w:val="00966E46"/>
    <w:rsid w:val="009B54D7"/>
    <w:rsid w:val="009E391D"/>
    <w:rsid w:val="009E769E"/>
    <w:rsid w:val="009F1289"/>
    <w:rsid w:val="009F7AB6"/>
    <w:rsid w:val="00A10517"/>
    <w:rsid w:val="00A21D86"/>
    <w:rsid w:val="00A41CD8"/>
    <w:rsid w:val="00A53CAF"/>
    <w:rsid w:val="00A91E73"/>
    <w:rsid w:val="00A95080"/>
    <w:rsid w:val="00AB01E2"/>
    <w:rsid w:val="00AB02B4"/>
    <w:rsid w:val="00AB62FB"/>
    <w:rsid w:val="00AB7AD1"/>
    <w:rsid w:val="00AC5A4E"/>
    <w:rsid w:val="00AC7939"/>
    <w:rsid w:val="00AE22D5"/>
    <w:rsid w:val="00AF4A0D"/>
    <w:rsid w:val="00B0281A"/>
    <w:rsid w:val="00B10699"/>
    <w:rsid w:val="00B1099C"/>
    <w:rsid w:val="00B2549E"/>
    <w:rsid w:val="00B36545"/>
    <w:rsid w:val="00B516E0"/>
    <w:rsid w:val="00B8246A"/>
    <w:rsid w:val="00B921A5"/>
    <w:rsid w:val="00BB3F89"/>
    <w:rsid w:val="00BB429E"/>
    <w:rsid w:val="00BC3B98"/>
    <w:rsid w:val="00BC47D0"/>
    <w:rsid w:val="00BD6DC3"/>
    <w:rsid w:val="00C065B4"/>
    <w:rsid w:val="00C20202"/>
    <w:rsid w:val="00C21E20"/>
    <w:rsid w:val="00C313E8"/>
    <w:rsid w:val="00C47522"/>
    <w:rsid w:val="00CA77DB"/>
    <w:rsid w:val="00CD404D"/>
    <w:rsid w:val="00CD4C95"/>
    <w:rsid w:val="00CE09DE"/>
    <w:rsid w:val="00CE7BB2"/>
    <w:rsid w:val="00D009F5"/>
    <w:rsid w:val="00D06B8F"/>
    <w:rsid w:val="00D07499"/>
    <w:rsid w:val="00D17FD1"/>
    <w:rsid w:val="00D21B1B"/>
    <w:rsid w:val="00D260B0"/>
    <w:rsid w:val="00D32441"/>
    <w:rsid w:val="00D376FC"/>
    <w:rsid w:val="00D4052D"/>
    <w:rsid w:val="00D54868"/>
    <w:rsid w:val="00D76100"/>
    <w:rsid w:val="00D94545"/>
    <w:rsid w:val="00DA4284"/>
    <w:rsid w:val="00DA4E56"/>
    <w:rsid w:val="00DB688F"/>
    <w:rsid w:val="00DB6964"/>
    <w:rsid w:val="00DC3803"/>
    <w:rsid w:val="00DD4963"/>
    <w:rsid w:val="00DE3316"/>
    <w:rsid w:val="00DE54AD"/>
    <w:rsid w:val="00E073F1"/>
    <w:rsid w:val="00E1761E"/>
    <w:rsid w:val="00E373B9"/>
    <w:rsid w:val="00E70461"/>
    <w:rsid w:val="00E72654"/>
    <w:rsid w:val="00E76130"/>
    <w:rsid w:val="00E829EE"/>
    <w:rsid w:val="00E94733"/>
    <w:rsid w:val="00EB1262"/>
    <w:rsid w:val="00EC7CFC"/>
    <w:rsid w:val="00ED3423"/>
    <w:rsid w:val="00EF695D"/>
    <w:rsid w:val="00F3511A"/>
    <w:rsid w:val="00F3770A"/>
    <w:rsid w:val="00F47838"/>
    <w:rsid w:val="00F75B0E"/>
    <w:rsid w:val="00F82A1E"/>
    <w:rsid w:val="00F84ED9"/>
    <w:rsid w:val="00F94437"/>
    <w:rsid w:val="00F97F68"/>
    <w:rsid w:val="00FA0B0C"/>
    <w:rsid w:val="00FA0FDE"/>
    <w:rsid w:val="00FC741B"/>
    <w:rsid w:val="61770D6B"/>
  </w:rsids>
  <m:mathPr>
    <m:mathFont m:val="Cambria Math"/>
    <m:brkBin m:val="before"/>
    <m:brkBinSub m:val="--"/>
    <m:smallFrac m:val="0"/>
    <m:dispDef/>
    <m:lMargin m:val="0"/>
    <m:rMargin m:val="0"/>
    <m:defJc m:val="centerGroup"/>
    <m:wrapIndent m:val="1440"/>
    <m:intLim m:val="subSup"/>
    <m:naryLim m:val="undOvr"/>
  </m:mathPr>
  <w:attachedSchema w:val="urn-legalmacpac-data/10"/>
  <w:themeFontLang w:val="en-GB" w:eastAsia="zh-CN" w:bidi="he-I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4A48307"/>
  <w15:chartTrackingRefBased/>
  <w15:docId w15:val="{417F54B9-FC5F-4E71-A0E2-51828F61A6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9E769E"/>
    <w:pPr>
      <w:tabs>
        <w:tab w:val="center" w:pos="4513"/>
        <w:tab w:val="right" w:pos="9026"/>
      </w:tabs>
      <w:spacing w:after="0" w:line="240" w:lineRule="auto"/>
    </w:pPr>
  </w:style>
  <w:style w:type="character" w:customStyle="1" w:styleId="FooterChar">
    <w:name w:val="Footer Char"/>
    <w:basedOn w:val="DefaultParagraphFont"/>
    <w:link w:val="Footer"/>
    <w:uiPriority w:val="99"/>
    <w:rsid w:val="009E769E"/>
  </w:style>
  <w:style w:type="paragraph" w:customStyle="1" w:styleId="HeaderLogo">
    <w:name w:val="Header Logo"/>
    <w:basedOn w:val="Normal"/>
    <w:unhideWhenUsed/>
    <w:rsid w:val="009E769E"/>
    <w:pPr>
      <w:spacing w:after="680" w:line="240" w:lineRule="auto"/>
      <w:jc w:val="right"/>
    </w:pPr>
    <w:rPr>
      <w:rFonts w:ascii="RN House Sans" w:eastAsia="Times New Roman" w:hAnsi="RN House Sans" w:cs="Times New Roman"/>
      <w:color w:val="000000"/>
      <w:sz w:val="20"/>
      <w:szCs w:val="20"/>
      <w:lang w:eastAsia="en-GB"/>
    </w:rPr>
  </w:style>
  <w:style w:type="paragraph" w:styleId="BalloonText">
    <w:name w:val="Balloon Text"/>
    <w:basedOn w:val="Normal"/>
    <w:link w:val="BalloonTextChar"/>
    <w:uiPriority w:val="99"/>
    <w:semiHidden/>
    <w:unhideWhenUsed/>
    <w:rsid w:val="00F84ED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84ED9"/>
    <w:rPr>
      <w:rFonts w:ascii="Segoe UI" w:hAnsi="Segoe UI" w:cs="Segoe UI"/>
      <w:sz w:val="18"/>
      <w:szCs w:val="18"/>
    </w:rPr>
  </w:style>
  <w:style w:type="paragraph" w:styleId="Header">
    <w:name w:val="header"/>
    <w:basedOn w:val="Normal"/>
    <w:link w:val="HeaderChar"/>
    <w:uiPriority w:val="99"/>
    <w:unhideWhenUsed/>
    <w:rsid w:val="00CD4C95"/>
    <w:pPr>
      <w:tabs>
        <w:tab w:val="center" w:pos="4513"/>
        <w:tab w:val="right" w:pos="9026"/>
      </w:tabs>
      <w:spacing w:after="0" w:line="240" w:lineRule="auto"/>
    </w:pPr>
  </w:style>
  <w:style w:type="character" w:customStyle="1" w:styleId="HeaderChar">
    <w:name w:val="Header Char"/>
    <w:basedOn w:val="DefaultParagraphFont"/>
    <w:link w:val="Header"/>
    <w:uiPriority w:val="99"/>
    <w:rsid w:val="00CD4C95"/>
  </w:style>
  <w:style w:type="paragraph" w:customStyle="1" w:styleId="MacPacTrailer">
    <w:name w:val="MacPac Trailer"/>
    <w:rsid w:val="00CD4C95"/>
    <w:pPr>
      <w:widowControl w:val="0"/>
      <w:spacing w:line="170" w:lineRule="exact"/>
    </w:pPr>
    <w:rPr>
      <w:sz w:val="14"/>
    </w:rPr>
  </w:style>
  <w:style w:type="character" w:styleId="PlaceholderText">
    <w:name w:val="Placeholder Text"/>
    <w:basedOn w:val="DefaultParagraphFont"/>
    <w:uiPriority w:val="99"/>
    <w:semiHidden/>
    <w:rsid w:val="00CD4C95"/>
    <w:rPr>
      <w:color w:val="808080"/>
    </w:rPr>
  </w:style>
  <w:style w:type="paragraph" w:customStyle="1" w:styleId="Normal4">
    <w:name w:val="Normal_4"/>
    <w:basedOn w:val="Normal"/>
    <w:rsid w:val="00D21B1B"/>
    <w:pPr>
      <w:spacing w:after="0" w:line="240" w:lineRule="auto"/>
    </w:pPr>
    <w:rPr>
      <w:rFonts w:ascii="Times New Roman" w:eastAsia="Times New Roman" w:hAnsi="Times New Roman" w:cs="Times New Roman"/>
      <w:sz w:val="24"/>
      <w:szCs w:val="24"/>
      <w:lang w:eastAsia="en-GB"/>
    </w:rPr>
  </w:style>
  <w:style w:type="character" w:styleId="CommentReference">
    <w:name w:val="annotation reference"/>
    <w:basedOn w:val="DefaultParagraphFont"/>
    <w:uiPriority w:val="99"/>
    <w:semiHidden/>
    <w:unhideWhenUsed/>
    <w:rsid w:val="00335C59"/>
    <w:rPr>
      <w:sz w:val="16"/>
      <w:szCs w:val="16"/>
    </w:rPr>
  </w:style>
  <w:style w:type="paragraph" w:styleId="CommentText">
    <w:name w:val="annotation text"/>
    <w:basedOn w:val="Normal"/>
    <w:link w:val="CommentTextChar"/>
    <w:uiPriority w:val="99"/>
    <w:semiHidden/>
    <w:unhideWhenUsed/>
    <w:rsid w:val="00335C59"/>
    <w:pPr>
      <w:spacing w:line="240" w:lineRule="auto"/>
    </w:pPr>
    <w:rPr>
      <w:sz w:val="20"/>
      <w:szCs w:val="20"/>
    </w:rPr>
  </w:style>
  <w:style w:type="character" w:customStyle="1" w:styleId="CommentTextChar">
    <w:name w:val="Comment Text Char"/>
    <w:basedOn w:val="DefaultParagraphFont"/>
    <w:link w:val="CommentText"/>
    <w:uiPriority w:val="99"/>
    <w:semiHidden/>
    <w:rsid w:val="00335C59"/>
    <w:rPr>
      <w:sz w:val="20"/>
      <w:szCs w:val="20"/>
    </w:rPr>
  </w:style>
  <w:style w:type="paragraph" w:styleId="CommentSubject">
    <w:name w:val="annotation subject"/>
    <w:basedOn w:val="CommentText"/>
    <w:next w:val="CommentText"/>
    <w:link w:val="CommentSubjectChar"/>
    <w:uiPriority w:val="99"/>
    <w:semiHidden/>
    <w:unhideWhenUsed/>
    <w:rsid w:val="00335C59"/>
    <w:rPr>
      <w:b/>
      <w:bCs/>
    </w:rPr>
  </w:style>
  <w:style w:type="character" w:customStyle="1" w:styleId="CommentSubjectChar">
    <w:name w:val="Comment Subject Char"/>
    <w:basedOn w:val="CommentTextChar"/>
    <w:link w:val="CommentSubject"/>
    <w:uiPriority w:val="99"/>
    <w:semiHidden/>
    <w:rsid w:val="00335C59"/>
    <w:rPr>
      <w:b/>
      <w:bCs/>
      <w:sz w:val="20"/>
      <w:szCs w:val="20"/>
    </w:rPr>
  </w:style>
  <w:style w:type="paragraph" w:customStyle="1" w:styleId="fc">
    <w:name w:val="fc"/>
    <w:basedOn w:val="Normal"/>
    <w:rsid w:val="003D2AB4"/>
    <w:pPr>
      <w:spacing w:before="100" w:beforeAutospacing="1" w:after="100" w:afterAutospacing="1" w:line="240" w:lineRule="auto"/>
    </w:pPr>
    <w:rPr>
      <w:rFonts w:ascii="Times New Roman" w:eastAsia="Times New Roman" w:hAnsi="Times New Roman" w:cs="Times New Roman"/>
      <w:sz w:val="24"/>
      <w:szCs w:val="24"/>
      <w:lang w:eastAsia="zh-CN" w:bidi="he-IL"/>
    </w:rPr>
  </w:style>
  <w:style w:type="character" w:customStyle="1" w:styleId="et">
    <w:name w:val="et"/>
    <w:basedOn w:val="DefaultParagraphFont"/>
    <w:rsid w:val="003D2AB4"/>
  </w:style>
  <w:style w:type="paragraph" w:customStyle="1" w:styleId="Normal00">
    <w:name w:val="Normal_0_0"/>
    <w:rsid w:val="00D32441"/>
    <w:pPr>
      <w:spacing w:after="0" w:line="240" w:lineRule="auto"/>
    </w:pPr>
    <w:rPr>
      <w:rFonts w:ascii="Times New Roman" w:eastAsia="Times New Roman" w:hAnsi="Times New Roman" w:cs="Times New Roman"/>
      <w:sz w:val="24"/>
      <w:szCs w:val="24"/>
      <w:lang w:eastAsia="zh-CN"/>
    </w:rPr>
  </w:style>
  <w:style w:type="paragraph" w:customStyle="1" w:styleId="GCAHeader1140">
    <w:name w:val="~ GCA Header_11_4_0"/>
    <w:link w:val="GCAHeaderChar1140"/>
    <w:rsid w:val="00D32441"/>
    <w:pPr>
      <w:spacing w:after="0" w:line="288" w:lineRule="auto"/>
    </w:pPr>
    <w:rPr>
      <w:rFonts w:ascii="Arial" w:hAnsi="Arial" w:cs="Arial"/>
      <w:b/>
      <w:color w:val="003366"/>
      <w:lang w:eastAsia="ja-JP"/>
    </w:rPr>
  </w:style>
  <w:style w:type="character" w:customStyle="1" w:styleId="GCAHeaderChar1140">
    <w:name w:val="~ GCA Header Char_11_4_0"/>
    <w:link w:val="GCAHeader1140"/>
    <w:locked/>
    <w:rsid w:val="00D32441"/>
    <w:rPr>
      <w:rFonts w:ascii="Arial" w:hAnsi="Arial" w:cs="Arial"/>
      <w:b/>
      <w:color w:val="003366"/>
      <w:lang w:eastAsia="ja-JP"/>
    </w:rPr>
  </w:style>
  <w:style w:type="table" w:styleId="TableGrid">
    <w:name w:val="Table Grid"/>
    <w:basedOn w:val="TableNormal"/>
    <w:uiPriority w:val="39"/>
    <w:rsid w:val="00FC741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DD4963"/>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0132503">
      <w:bodyDiv w:val="1"/>
      <w:marLeft w:val="0"/>
      <w:marRight w:val="0"/>
      <w:marTop w:val="0"/>
      <w:marBottom w:val="0"/>
      <w:divBdr>
        <w:top w:val="none" w:sz="0" w:space="0" w:color="auto"/>
        <w:left w:val="none" w:sz="0" w:space="0" w:color="auto"/>
        <w:bottom w:val="none" w:sz="0" w:space="0" w:color="auto"/>
        <w:right w:val="none" w:sz="0" w:space="0" w:color="auto"/>
      </w:divBdr>
    </w:div>
    <w:div w:id="1094982068">
      <w:bodyDiv w:val="1"/>
      <w:marLeft w:val="0"/>
      <w:marRight w:val="0"/>
      <w:marTop w:val="0"/>
      <w:marBottom w:val="0"/>
      <w:divBdr>
        <w:top w:val="none" w:sz="0" w:space="0" w:color="auto"/>
        <w:left w:val="none" w:sz="0" w:space="0" w:color="auto"/>
        <w:bottom w:val="none" w:sz="0" w:space="0" w:color="auto"/>
        <w:right w:val="none" w:sz="0" w:space="0" w:color="auto"/>
      </w:divBdr>
    </w:div>
    <w:div w:id="16107004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23</TotalTime>
  <Pages>2</Pages>
  <Words>886</Words>
  <Characters>5056</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Moorgb</dc:creator>
  <cp:lastModifiedBy>Grossart, Adam (Legal, Governance and Regulatory Affairs )</cp:lastModifiedBy>
  <cp:revision>9</cp:revision>
  <cp:lastPrinted>2022-02-21T06:33:00Z</cp:lastPrinted>
  <dcterms:created xsi:type="dcterms:W3CDTF">2023-07-25T10:06:00Z</dcterms:created>
  <dcterms:modified xsi:type="dcterms:W3CDTF">2023-07-28T15:23:00Z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MT_Group">
    <vt:lpwstr>17;#Financial Institutions Group|0a66218e-8e88-4df8-9dff-4086e1ae5e09</vt:lpwstr>
  </property>
  <property fmtid="{D5CDD505-2E9C-101B-9397-08002B2CF9AE}" pid="3" name="ContentTypeId">
    <vt:lpwstr>0x010100F3DA492754083E45834DB37B66A75980002DB67858E576174FB6E98961B095D4AB</vt:lpwstr>
  </property>
  <property fmtid="{D5CDD505-2E9C-101B-9397-08002B2CF9AE}" pid="4" name="HMT_SubTeam">
    <vt:lpwstr/>
  </property>
  <property fmtid="{D5CDD505-2E9C-101B-9397-08002B2CF9AE}" pid="5" name="_dlc_DocIdItemGuid">
    <vt:lpwstr>b520b3f0-beff-4015-8589-b08dce44f7df</vt:lpwstr>
  </property>
  <property fmtid="{D5CDD505-2E9C-101B-9397-08002B2CF9AE}" pid="6" name="HMT_Review">
    <vt:bool>false</vt:bool>
  </property>
  <property fmtid="{D5CDD505-2E9C-101B-9397-08002B2CF9AE}" pid="7" name="HMT_DocumentType">
    <vt:lpwstr>1;#Other|b0d0b66a-db31-4d05-af4e-e588f42f8ad8</vt:lpwstr>
  </property>
  <property fmtid="{D5CDD505-2E9C-101B-9397-08002B2CF9AE}" pid="8" name="HMT_Team">
    <vt:lpwstr>18;#FIG|d7c6afcb-f7d0-45d9-bfa9-87475de5f004</vt:lpwstr>
  </property>
  <property fmtid="{D5CDD505-2E9C-101B-9397-08002B2CF9AE}" pid="9" name="HMT_Category">
    <vt:lpwstr>19;#Financial Institutions Group Projects Document Types|a870cdad-2e9c-43d2-b5af-1e3b6968e261</vt:lpwstr>
  </property>
  <property fmtid="{D5CDD505-2E9C-101B-9397-08002B2CF9AE}" pid="10" name="HMT_Classification">
    <vt:lpwstr>3;#Sensitive|6672ab58-b6a0-49e4-be69-7a05e1391d8e</vt:lpwstr>
  </property>
</Properties>
</file>