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FA5D" w14:textId="77CA4AD3" w:rsidR="00882094" w:rsidRPr="00074079" w:rsidRDefault="00F77D43" w:rsidP="00882094">
      <w:pPr>
        <w:pStyle w:val="NormalWeb"/>
        <w:spacing w:before="0" w:beforeAutospacing="0" w:after="120" w:afterAutospacing="0" w:line="276" w:lineRule="auto"/>
        <w:jc w:val="center"/>
        <w:rPr>
          <w:rFonts w:asciiTheme="minorHAnsi" w:hAnsiTheme="minorHAnsi" w:cstheme="minorHAnsi"/>
          <w:color w:val="000000" w:themeColor="text1"/>
        </w:rPr>
      </w:pPr>
      <w:r>
        <w:rPr>
          <w:rFonts w:asciiTheme="minorHAnsi" w:eastAsia="Calibri" w:hAnsiTheme="minorHAnsi" w:cstheme="minorHAnsi"/>
          <w:b/>
          <w:bCs/>
          <w:color w:val="000000" w:themeColor="text1"/>
          <w:kern w:val="24"/>
        </w:rPr>
        <w:t>Key</w:t>
      </w:r>
      <w:r w:rsidR="00882094" w:rsidRPr="00074079">
        <w:rPr>
          <w:rFonts w:asciiTheme="minorHAnsi" w:eastAsia="Calibri" w:hAnsiTheme="minorHAnsi" w:cstheme="minorHAnsi"/>
          <w:b/>
          <w:bCs/>
          <w:color w:val="000000" w:themeColor="text1"/>
          <w:kern w:val="24"/>
        </w:rPr>
        <w:t xml:space="preserve"> findings from Phase 2 of Travers Smith review</w:t>
      </w:r>
    </w:p>
    <w:p w14:paraId="186AA42B"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NatWest Group (</w:t>
      </w:r>
      <w:r w:rsidRPr="00074079">
        <w:rPr>
          <w:rFonts w:asciiTheme="minorHAnsi" w:eastAsia="Calibri" w:hAnsiTheme="minorHAnsi" w:cstheme="minorHAnsi"/>
          <w:b/>
          <w:bCs/>
          <w:color w:val="000000" w:themeColor="text1"/>
          <w:kern w:val="24"/>
          <w:sz w:val="22"/>
          <w:szCs w:val="22"/>
        </w:rPr>
        <w:t>NWG</w:t>
      </w:r>
      <w:r w:rsidRPr="00074079">
        <w:rPr>
          <w:rFonts w:asciiTheme="minorHAnsi" w:eastAsia="Calibri" w:hAnsiTheme="minorHAnsi" w:cstheme="minorHAnsi"/>
          <w:color w:val="000000" w:themeColor="text1"/>
          <w:kern w:val="24"/>
          <w:sz w:val="22"/>
          <w:szCs w:val="22"/>
        </w:rPr>
        <w:t xml:space="preserve">) has today published the key findings and recommendations from Phase 2 of the Travers Smith independent review - commissioned by the Board in July – relating to account closures at Coutts over the 24-month period prior to 28 July 2023. </w:t>
      </w:r>
    </w:p>
    <w:p w14:paraId="4E28CC0E"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The key findings and recommendations report (</w:t>
      </w:r>
      <w:r w:rsidRPr="00074079">
        <w:rPr>
          <w:rFonts w:asciiTheme="minorHAnsi" w:eastAsia="Calibri" w:hAnsiTheme="minorHAnsi" w:cstheme="minorHAnsi"/>
          <w:b/>
          <w:bCs/>
          <w:color w:val="000000" w:themeColor="text1"/>
          <w:kern w:val="24"/>
          <w:sz w:val="22"/>
          <w:szCs w:val="22"/>
        </w:rPr>
        <w:t>the report</w:t>
      </w:r>
      <w:r w:rsidRPr="00074079">
        <w:rPr>
          <w:rFonts w:asciiTheme="minorHAnsi" w:eastAsia="Calibri" w:hAnsiTheme="minorHAnsi" w:cstheme="minorHAnsi"/>
          <w:color w:val="000000" w:themeColor="text1"/>
          <w:kern w:val="24"/>
          <w:sz w:val="22"/>
          <w:szCs w:val="22"/>
        </w:rPr>
        <w:t xml:space="preserve">) published today was compiled by Travers Smith. The Phase 2 review analysed 84 customer account closures – including all relevant PEP cases exited over the relevant period – building a total sample of around 10% of relevant account closures in the period. </w:t>
      </w:r>
    </w:p>
    <w:p w14:paraId="0E29050A"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 xml:space="preserve">The report confirms that decision-making was consistent with relevant standards and otherwise appropriate and that there was no evidence of discrimination due to political views or affiliations, or any other protected characteristic. However, it identifies several areas where Coutts’ policies and procedures governing exit decisions could be improved, including the process by which exit decisions are communicated to customers and the clarity of communications. </w:t>
      </w:r>
    </w:p>
    <w:p w14:paraId="56B2FCD7"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 xml:space="preserve">NatWest Group has accepted – and will implement – all the recommendations contained in Phases 1 and 2 of the review. </w:t>
      </w:r>
    </w:p>
    <w:p w14:paraId="2B9AA464"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b/>
          <w:bCs/>
          <w:color w:val="000000" w:themeColor="text1"/>
          <w:kern w:val="24"/>
          <w:sz w:val="22"/>
          <w:szCs w:val="22"/>
        </w:rPr>
        <w:t>Commenting on the report, Mohammad Syed, Chief Executive of Coutts, said:</w:t>
      </w:r>
    </w:p>
    <w:p w14:paraId="66A15376"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i/>
          <w:iCs/>
          <w:color w:val="000000" w:themeColor="text1"/>
          <w:kern w:val="24"/>
          <w:sz w:val="22"/>
          <w:szCs w:val="22"/>
        </w:rPr>
        <w:t xml:space="preserve">“Following the publication of the Phase 1 reports in October, we recognised the need to improve our customer account closure processes and those improvements are already well under way. Although Travers Smith confirm that, in general, decisions were appropriate and that there was no evidence of discrimination, it is clear there are lessons to be learned. This report reaffirms that there were a number of shortcomings in our approach to account closures at Coutts and, in particular, in the quality and consistency of our communications. The experience of some of our customers fell short of what they should expect, and we apologise to them. </w:t>
      </w:r>
    </w:p>
    <w:p w14:paraId="560BCC7A"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i/>
          <w:iCs/>
          <w:color w:val="000000" w:themeColor="text1"/>
          <w:kern w:val="24"/>
          <w:sz w:val="22"/>
          <w:szCs w:val="22"/>
        </w:rPr>
        <w:t>"We are committed to implementing all of the recommendations made by Travers Smith, including comprehensively reviewing and updating exit and communication processes, so that we deliver a better, more consistent experience for all our customers.”</w:t>
      </w:r>
    </w:p>
    <w:p w14:paraId="001E601B" w14:textId="77777777" w:rsidR="00074079" w:rsidRPr="00074079" w:rsidRDefault="00882094" w:rsidP="00882094">
      <w:pPr>
        <w:pStyle w:val="NormalWeb"/>
        <w:spacing w:before="0" w:beforeAutospacing="0" w:after="120" w:afterAutospacing="0" w:line="276" w:lineRule="auto"/>
        <w:jc w:val="both"/>
        <w:rPr>
          <w:rFonts w:asciiTheme="minorHAnsi" w:eastAsia="Calibri" w:hAnsiTheme="minorHAnsi" w:cstheme="minorHAnsi"/>
          <w:color w:val="000000" w:themeColor="text1"/>
          <w:kern w:val="24"/>
          <w:sz w:val="22"/>
          <w:szCs w:val="22"/>
        </w:rPr>
      </w:pPr>
      <w:r w:rsidRPr="00074079">
        <w:rPr>
          <w:rFonts w:asciiTheme="minorHAnsi" w:eastAsia="Calibri" w:hAnsiTheme="minorHAnsi" w:cstheme="minorHAnsi"/>
          <w:color w:val="000000" w:themeColor="text1"/>
          <w:kern w:val="24"/>
          <w:sz w:val="22"/>
          <w:szCs w:val="22"/>
        </w:rPr>
        <w:t>The report sets out Travers Smith’s key findings and recommendations in full</w:t>
      </w:r>
      <w:r w:rsidR="00074079" w:rsidRPr="00074079">
        <w:rPr>
          <w:rFonts w:asciiTheme="minorHAnsi" w:eastAsia="Calibri" w:hAnsiTheme="minorHAnsi" w:cstheme="minorHAnsi"/>
          <w:color w:val="000000" w:themeColor="text1"/>
          <w:kern w:val="24"/>
          <w:sz w:val="22"/>
          <w:szCs w:val="22"/>
        </w:rPr>
        <w:t xml:space="preserve"> </w:t>
      </w:r>
    </w:p>
    <w:p w14:paraId="1DB052C4" w14:textId="370E6A0F" w:rsidR="00882094" w:rsidRPr="00074079" w:rsidRDefault="00B36BAB" w:rsidP="00882094">
      <w:pPr>
        <w:pStyle w:val="NormalWeb"/>
        <w:spacing w:before="0" w:beforeAutospacing="0" w:after="120" w:afterAutospacing="0" w:line="276" w:lineRule="auto"/>
        <w:jc w:val="both"/>
        <w:rPr>
          <w:rFonts w:asciiTheme="minorHAnsi" w:hAnsiTheme="minorHAnsi" w:cstheme="minorHAnsi"/>
          <w:sz w:val="22"/>
          <w:szCs w:val="22"/>
        </w:rPr>
      </w:pPr>
      <w:hyperlink r:id="rId8" w:history="1">
        <w:r w:rsidR="00074079" w:rsidRPr="00074079">
          <w:rPr>
            <w:rStyle w:val="Hyperlink"/>
            <w:rFonts w:asciiTheme="minorHAnsi" w:hAnsiTheme="minorHAnsi" w:cstheme="minorHAnsi"/>
            <w:sz w:val="22"/>
            <w:szCs w:val="22"/>
          </w:rPr>
          <w:t>https://www.natwestgroup.com/content/dam/natwestgroup_com/natwestgroup/pdf/Travers-Smith-Phase-2-Key-Findings-Recommendations.pdf</w:t>
        </w:r>
      </w:hyperlink>
    </w:p>
    <w:p w14:paraId="3F07A4E1" w14:textId="77777777" w:rsidR="00074079" w:rsidRPr="00074079" w:rsidRDefault="00074079"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p>
    <w:p w14:paraId="1063F901" w14:textId="77777777" w:rsidR="00882094" w:rsidRPr="00074079" w:rsidRDefault="00882094" w:rsidP="00882094">
      <w:pPr>
        <w:pStyle w:val="NormalWeb"/>
        <w:spacing w:before="0" w:beforeAutospacing="0" w:after="120" w:afterAutospacing="0" w:line="276" w:lineRule="auto"/>
        <w:jc w:val="both"/>
        <w:rPr>
          <w:rFonts w:asciiTheme="minorHAnsi" w:hAnsiTheme="minorHAnsi" w:cstheme="minorHAnsi"/>
          <w:color w:val="000000" w:themeColor="text1"/>
          <w:sz w:val="22"/>
          <w:szCs w:val="22"/>
        </w:rPr>
      </w:pPr>
      <w:r w:rsidRPr="00074079">
        <w:rPr>
          <w:rFonts w:asciiTheme="minorHAnsi" w:eastAsia="Calibri" w:hAnsiTheme="minorHAnsi" w:cstheme="minorHAnsi"/>
          <w:b/>
          <w:bCs/>
          <w:color w:val="000000" w:themeColor="text1"/>
          <w:kern w:val="24"/>
          <w:sz w:val="22"/>
          <w:szCs w:val="22"/>
        </w:rPr>
        <w:t xml:space="preserve">In summary, the Phase 2 findings include: </w:t>
      </w:r>
    </w:p>
    <w:p w14:paraId="66545FFF" w14:textId="7948C73E" w:rsidR="00882094" w:rsidRPr="00074079" w:rsidRDefault="00882094" w:rsidP="00882094">
      <w:pPr>
        <w:pStyle w:val="ListParagraph"/>
        <w:numPr>
          <w:ilvl w:val="0"/>
          <w:numId w:val="1"/>
        </w:numPr>
        <w:overflowPunct w:val="0"/>
        <w:spacing w:line="276" w:lineRule="auto"/>
        <w:jc w:val="both"/>
        <w:textAlignment w:val="baseline"/>
        <w:rPr>
          <w:rFonts w:asciiTheme="minorHAnsi" w:hAnsiTheme="minorHAnsi" w:cstheme="minorHAnsi"/>
          <w:color w:val="000000" w:themeColor="text1"/>
          <w:sz w:val="22"/>
          <w:szCs w:val="22"/>
        </w:rPr>
      </w:pPr>
      <w:r w:rsidRPr="00074079">
        <w:rPr>
          <w:rFonts w:asciiTheme="minorHAnsi" w:eastAsia="Calibri" w:hAnsiTheme="minorHAnsi" w:cstheme="minorHAnsi"/>
          <w:b/>
          <w:bCs/>
          <w:color w:val="000000" w:themeColor="text1"/>
          <w:kern w:val="24"/>
          <w:sz w:val="22"/>
          <w:szCs w:val="22"/>
        </w:rPr>
        <w:t xml:space="preserve">Decision-making: </w:t>
      </w:r>
      <w:r w:rsidRPr="00074079">
        <w:rPr>
          <w:rFonts w:asciiTheme="minorHAnsi" w:eastAsia="Calibri" w:hAnsiTheme="minorHAnsi" w:cstheme="minorHAnsi"/>
          <w:color w:val="000000" w:themeColor="text1"/>
          <w:kern w:val="24"/>
          <w:sz w:val="22"/>
          <w:szCs w:val="22"/>
        </w:rPr>
        <w:t xml:space="preserve">in general, exit decisions were made in accordance with relevant bank policies and processes and there was no evidence of discrimination due to political views or affiliations, or any other protected characteristic. Decision-making by Coutts in relation to the exit cases was consistent with relevant standards and otherwise appropriate. However, Travers Smith found that policies and procedures governing exit decisions could be improved in some areas. </w:t>
      </w:r>
    </w:p>
    <w:p w14:paraId="781081DE" w14:textId="77777777" w:rsidR="008D6376" w:rsidRPr="00074079" w:rsidRDefault="008D6376" w:rsidP="008D6376">
      <w:pPr>
        <w:pStyle w:val="ListParagraph"/>
        <w:overflowPunct w:val="0"/>
        <w:spacing w:line="276" w:lineRule="auto"/>
        <w:jc w:val="both"/>
        <w:textAlignment w:val="baseline"/>
        <w:rPr>
          <w:rFonts w:asciiTheme="minorHAnsi" w:hAnsiTheme="minorHAnsi" w:cstheme="minorHAnsi"/>
          <w:color w:val="000000" w:themeColor="text1"/>
          <w:sz w:val="22"/>
          <w:szCs w:val="22"/>
        </w:rPr>
      </w:pPr>
    </w:p>
    <w:p w14:paraId="4DF3A229" w14:textId="745E91DF" w:rsidR="00882094" w:rsidRPr="00074079" w:rsidRDefault="00882094" w:rsidP="00882094">
      <w:pPr>
        <w:pStyle w:val="ListParagraph"/>
        <w:numPr>
          <w:ilvl w:val="0"/>
          <w:numId w:val="1"/>
        </w:numPr>
        <w:overflowPunct w:val="0"/>
        <w:spacing w:line="276" w:lineRule="auto"/>
        <w:jc w:val="both"/>
        <w:textAlignment w:val="baseline"/>
        <w:rPr>
          <w:rFonts w:asciiTheme="minorHAnsi" w:hAnsiTheme="minorHAnsi" w:cstheme="minorHAnsi"/>
          <w:color w:val="000000" w:themeColor="text1"/>
          <w:sz w:val="22"/>
          <w:szCs w:val="22"/>
        </w:rPr>
      </w:pPr>
      <w:r w:rsidRPr="00074079">
        <w:rPr>
          <w:rFonts w:asciiTheme="minorHAnsi" w:eastAsia="Calibri" w:hAnsiTheme="minorHAnsi" w:cstheme="minorHAnsi"/>
          <w:b/>
          <w:bCs/>
          <w:color w:val="000000" w:themeColor="text1"/>
          <w:kern w:val="24"/>
          <w:sz w:val="22"/>
          <w:szCs w:val="22"/>
        </w:rPr>
        <w:t xml:space="preserve">Exit processes: </w:t>
      </w:r>
      <w:r w:rsidRPr="00074079">
        <w:rPr>
          <w:rFonts w:asciiTheme="minorHAnsi" w:eastAsia="Calibri" w:hAnsiTheme="minorHAnsi" w:cstheme="minorHAnsi"/>
          <w:color w:val="000000" w:themeColor="text1"/>
          <w:kern w:val="24"/>
          <w:sz w:val="22"/>
          <w:szCs w:val="22"/>
        </w:rPr>
        <w:t xml:space="preserve">there is little by way of formal procedure or process governing how non-financial crime exits must be carried out by Coutts staff, and there is no formalised set of </w:t>
      </w:r>
      <w:r w:rsidRPr="00074079">
        <w:rPr>
          <w:rFonts w:asciiTheme="minorHAnsi" w:eastAsia="Calibri" w:hAnsiTheme="minorHAnsi" w:cstheme="minorHAnsi"/>
          <w:color w:val="000000" w:themeColor="text1"/>
          <w:kern w:val="24"/>
          <w:sz w:val="22"/>
          <w:szCs w:val="22"/>
        </w:rPr>
        <w:lastRenderedPageBreak/>
        <w:t>definitions for the potential bases for exit or guidance on thresholds to be met for a customer to be exited. Travers Smith also found that:</w:t>
      </w:r>
    </w:p>
    <w:p w14:paraId="6B0F1165" w14:textId="77777777" w:rsidR="00BB2AF0" w:rsidRPr="00074079" w:rsidRDefault="00BB2AF0" w:rsidP="00BB2AF0">
      <w:pPr>
        <w:pStyle w:val="ListParagraph"/>
        <w:overflowPunct w:val="0"/>
        <w:spacing w:line="276" w:lineRule="auto"/>
        <w:jc w:val="both"/>
        <w:textAlignment w:val="baseline"/>
        <w:rPr>
          <w:rFonts w:asciiTheme="minorHAnsi" w:hAnsiTheme="minorHAnsi" w:cstheme="minorHAnsi"/>
          <w:color w:val="000000" w:themeColor="text1"/>
          <w:sz w:val="22"/>
          <w:szCs w:val="22"/>
        </w:rPr>
      </w:pPr>
    </w:p>
    <w:p w14:paraId="16A0E7A6" w14:textId="3814504B" w:rsidR="00882094" w:rsidRPr="00074079" w:rsidRDefault="00882094" w:rsidP="00882094">
      <w:pPr>
        <w:pStyle w:val="ListParagraph"/>
        <w:numPr>
          <w:ilvl w:val="0"/>
          <w:numId w:val="2"/>
        </w:numPr>
        <w:tabs>
          <w:tab w:val="left" w:pos="720"/>
        </w:tabs>
        <w:overflowPunct w:val="0"/>
        <w:spacing w:line="276" w:lineRule="auto"/>
        <w:jc w:val="both"/>
        <w:textAlignment w:val="baseline"/>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In some exit cases, there were deficiencies in the internal process followed, and in the content or format of the exit letter or the process by which that letter was conveyed to the customer;</w:t>
      </w:r>
    </w:p>
    <w:p w14:paraId="7E5927AE" w14:textId="77777777" w:rsidR="00C719F8" w:rsidRPr="00074079" w:rsidRDefault="00C719F8" w:rsidP="00C719F8">
      <w:pPr>
        <w:pStyle w:val="ListParagraph"/>
        <w:overflowPunct w:val="0"/>
        <w:spacing w:line="276" w:lineRule="auto"/>
        <w:jc w:val="both"/>
        <w:textAlignment w:val="baseline"/>
        <w:rPr>
          <w:rFonts w:asciiTheme="minorHAnsi" w:hAnsiTheme="minorHAnsi" w:cstheme="minorHAnsi"/>
          <w:color w:val="000000" w:themeColor="text1"/>
          <w:sz w:val="22"/>
          <w:szCs w:val="22"/>
        </w:rPr>
      </w:pPr>
    </w:p>
    <w:p w14:paraId="7F4BCF7F" w14:textId="77777777" w:rsidR="00C719F8" w:rsidRPr="00074079" w:rsidRDefault="00882094" w:rsidP="00C719F8">
      <w:pPr>
        <w:pStyle w:val="ListParagraph"/>
        <w:numPr>
          <w:ilvl w:val="0"/>
          <w:numId w:val="2"/>
        </w:numPr>
        <w:tabs>
          <w:tab w:val="left" w:pos="720"/>
        </w:tabs>
        <w:overflowPunct w:val="0"/>
        <w:spacing w:line="276" w:lineRule="auto"/>
        <w:jc w:val="both"/>
        <w:textAlignment w:val="baseline"/>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In a small number of cases, by not communicating at least 60 days’ notice of account closure to the customer, Coutts potentially breached Regulation 51(4) of the Payment Services Regulations; an</w:t>
      </w:r>
      <w:r w:rsidR="00C719F8" w:rsidRPr="00074079">
        <w:rPr>
          <w:rFonts w:asciiTheme="minorHAnsi" w:eastAsia="Calibri" w:hAnsiTheme="minorHAnsi" w:cstheme="minorHAnsi"/>
          <w:color w:val="000000" w:themeColor="text1"/>
          <w:kern w:val="24"/>
          <w:sz w:val="22"/>
          <w:szCs w:val="22"/>
        </w:rPr>
        <w:t>d</w:t>
      </w:r>
    </w:p>
    <w:p w14:paraId="1A643C77" w14:textId="77777777" w:rsidR="00C719F8" w:rsidRPr="00074079" w:rsidRDefault="00C719F8" w:rsidP="00C719F8">
      <w:pPr>
        <w:pStyle w:val="ListParagraph"/>
        <w:rPr>
          <w:rFonts w:asciiTheme="minorHAnsi" w:eastAsia="Calibri" w:hAnsiTheme="minorHAnsi" w:cstheme="minorHAnsi"/>
          <w:color w:val="000000" w:themeColor="text1"/>
          <w:kern w:val="24"/>
          <w:sz w:val="22"/>
          <w:szCs w:val="22"/>
        </w:rPr>
      </w:pPr>
    </w:p>
    <w:p w14:paraId="7321D4B9" w14:textId="072DB37F" w:rsidR="00882094" w:rsidRPr="00074079" w:rsidRDefault="0059063A" w:rsidP="00C719F8">
      <w:pPr>
        <w:pStyle w:val="ListParagraph"/>
        <w:numPr>
          <w:ilvl w:val="0"/>
          <w:numId w:val="2"/>
        </w:numPr>
        <w:tabs>
          <w:tab w:val="left" w:pos="720"/>
        </w:tabs>
        <w:overflowPunct w:val="0"/>
        <w:spacing w:line="276" w:lineRule="auto"/>
        <w:jc w:val="both"/>
        <w:textAlignment w:val="baseline"/>
        <w:rPr>
          <w:rFonts w:asciiTheme="minorHAnsi" w:hAnsiTheme="minorHAnsi" w:cstheme="minorHAnsi"/>
          <w:color w:val="000000" w:themeColor="text1"/>
          <w:sz w:val="22"/>
          <w:szCs w:val="22"/>
        </w:rPr>
      </w:pPr>
      <w:r w:rsidRPr="00074079">
        <w:rPr>
          <w:rFonts w:asciiTheme="minorHAnsi" w:eastAsia="Calibri" w:hAnsiTheme="minorHAnsi" w:cstheme="minorHAnsi"/>
          <w:color w:val="000000" w:themeColor="text1"/>
          <w:kern w:val="24"/>
          <w:sz w:val="22"/>
          <w:szCs w:val="22"/>
        </w:rPr>
        <w:t xml:space="preserve">Primarily in relation to the failure by Coutts to provide reasons for exits, </w:t>
      </w:r>
      <w:r w:rsidR="00882094" w:rsidRPr="00074079">
        <w:rPr>
          <w:rFonts w:asciiTheme="minorHAnsi" w:eastAsia="Calibri" w:hAnsiTheme="minorHAnsi" w:cstheme="minorHAnsi"/>
          <w:color w:val="000000" w:themeColor="text1"/>
          <w:kern w:val="24"/>
          <w:sz w:val="22"/>
          <w:szCs w:val="22"/>
        </w:rPr>
        <w:t>Coutts potentially breached FCA rules, including the obligation to treat customers fairly</w:t>
      </w:r>
      <w:r w:rsidRPr="00074079">
        <w:rPr>
          <w:rFonts w:asciiTheme="minorHAnsi" w:eastAsia="Calibri" w:hAnsiTheme="minorHAnsi" w:cstheme="minorHAnsi"/>
          <w:color w:val="000000" w:themeColor="text1"/>
          <w:kern w:val="24"/>
          <w:sz w:val="22"/>
          <w:szCs w:val="22"/>
        </w:rPr>
        <w:t>.</w:t>
      </w:r>
    </w:p>
    <w:p w14:paraId="3BB7A947" w14:textId="77777777" w:rsidR="00882094" w:rsidRPr="00074079" w:rsidRDefault="00882094" w:rsidP="00882094">
      <w:pPr>
        <w:pStyle w:val="ListParagraph"/>
        <w:tabs>
          <w:tab w:val="left" w:pos="720"/>
        </w:tabs>
        <w:overflowPunct w:val="0"/>
        <w:spacing w:line="276" w:lineRule="auto"/>
        <w:jc w:val="both"/>
        <w:textAlignment w:val="baseline"/>
        <w:rPr>
          <w:rFonts w:asciiTheme="minorHAnsi" w:hAnsiTheme="minorHAnsi" w:cstheme="minorHAnsi"/>
          <w:color w:val="000000" w:themeColor="text1"/>
          <w:sz w:val="22"/>
          <w:szCs w:val="22"/>
        </w:rPr>
      </w:pPr>
    </w:p>
    <w:p w14:paraId="2A9CDCA8" w14:textId="77C3DA76" w:rsidR="00882094" w:rsidRPr="00074079" w:rsidRDefault="00882094" w:rsidP="00B36BAB">
      <w:pPr>
        <w:ind w:left="720" w:hanging="360"/>
        <w:rPr>
          <w:rFonts w:cstheme="minorHAnsi"/>
          <w:color w:val="000000" w:themeColor="text1"/>
        </w:rPr>
      </w:pPr>
      <w:r w:rsidRPr="00B36BAB">
        <w:rPr>
          <w:rFonts w:cstheme="minorHAnsi"/>
          <w:color w:val="000000" w:themeColor="text1"/>
        </w:rPr>
        <w:t>iii.</w:t>
      </w:r>
      <w:r w:rsidRPr="00074079">
        <w:rPr>
          <w:rFonts w:cstheme="minorHAnsi"/>
          <w:b/>
          <w:bCs/>
          <w:color w:val="000000" w:themeColor="text1"/>
        </w:rPr>
        <w:t xml:space="preserve"> </w:t>
      </w:r>
      <w:r w:rsidR="00B36BAB">
        <w:rPr>
          <w:rFonts w:cstheme="minorHAnsi"/>
          <w:b/>
          <w:bCs/>
          <w:color w:val="000000" w:themeColor="text1"/>
        </w:rPr>
        <w:tab/>
      </w:r>
      <w:r w:rsidRPr="00074079">
        <w:rPr>
          <w:rFonts w:cstheme="minorHAnsi"/>
          <w:b/>
          <w:bCs/>
          <w:color w:val="000000" w:themeColor="text1"/>
        </w:rPr>
        <w:t xml:space="preserve">Data protection analysis: </w:t>
      </w:r>
      <w:r w:rsidRPr="00074079">
        <w:rPr>
          <w:rFonts w:cstheme="minorHAnsi"/>
          <w:color w:val="000000" w:themeColor="text1"/>
        </w:rPr>
        <w:t xml:space="preserve">the report identified some potential compliance failures and/or best practice shortcomings in Coutts’ data processing in respect of exit decisions. The report also contains a summary of Travers Smith’s data protection analysis relating to Phase 1 of the Travers Smith independent review. </w:t>
      </w:r>
    </w:p>
    <w:p w14:paraId="5EC9D87E" w14:textId="77777777" w:rsidR="00882094" w:rsidRPr="00074079" w:rsidRDefault="00882094" w:rsidP="00882094">
      <w:pPr>
        <w:rPr>
          <w:rFonts w:cstheme="minorHAnsi"/>
          <w:color w:val="000000" w:themeColor="text1"/>
        </w:rPr>
      </w:pPr>
      <w:r w:rsidRPr="00074079">
        <w:rPr>
          <w:rFonts w:cstheme="minorHAnsi"/>
          <w:color w:val="000000" w:themeColor="text1"/>
        </w:rPr>
        <w:t xml:space="preserve">In light of the recommendations made by Travers Smith, and its own internal work, NatWest Group is taking action to ensure better outcomes and experiences for customers across the bank. </w:t>
      </w:r>
      <w:r w:rsidRPr="00074079">
        <w:rPr>
          <w:rFonts w:cstheme="minorHAnsi"/>
          <w:b/>
          <w:bCs/>
          <w:color w:val="000000" w:themeColor="text1"/>
        </w:rPr>
        <w:t>The key steps include:</w:t>
      </w:r>
    </w:p>
    <w:p w14:paraId="00835436" w14:textId="02DA25A1" w:rsidR="00882094" w:rsidRPr="00074079" w:rsidRDefault="00882094" w:rsidP="00882094">
      <w:pPr>
        <w:numPr>
          <w:ilvl w:val="0"/>
          <w:numId w:val="3"/>
        </w:numPr>
        <w:rPr>
          <w:rFonts w:cstheme="minorHAnsi"/>
          <w:color w:val="000000" w:themeColor="text1"/>
        </w:rPr>
      </w:pPr>
      <w:r w:rsidRPr="00074079">
        <w:rPr>
          <w:rFonts w:cstheme="minorHAnsi"/>
          <w:color w:val="000000" w:themeColor="text1"/>
        </w:rPr>
        <w:t>Reviewing and updating exit processes,</w:t>
      </w:r>
      <w:r w:rsidRPr="00074079">
        <w:rPr>
          <w:rFonts w:cstheme="minorHAnsi"/>
          <w:b/>
          <w:bCs/>
          <w:color w:val="000000" w:themeColor="text1"/>
        </w:rPr>
        <w:t xml:space="preserve"> </w:t>
      </w:r>
      <w:r w:rsidRPr="00074079">
        <w:rPr>
          <w:rFonts w:cstheme="minorHAnsi"/>
          <w:color w:val="000000" w:themeColor="text1"/>
        </w:rPr>
        <w:t xml:space="preserve">including a review of exit letters and </w:t>
      </w:r>
      <w:r w:rsidR="00984954" w:rsidRPr="00074079">
        <w:rPr>
          <w:rFonts w:cstheme="minorHAnsi"/>
          <w:color w:val="000000" w:themeColor="text1"/>
        </w:rPr>
        <w:t xml:space="preserve">the introduction of </w:t>
      </w:r>
      <w:r w:rsidRPr="00074079">
        <w:rPr>
          <w:rFonts w:cstheme="minorHAnsi"/>
          <w:color w:val="000000" w:themeColor="text1"/>
        </w:rPr>
        <w:t xml:space="preserve">a commercial exits framework that provides customers with the opportunity to improve their economic contribution where appropriate; </w:t>
      </w:r>
    </w:p>
    <w:p w14:paraId="49424773" w14:textId="044A247B" w:rsidR="00882094" w:rsidRPr="00074079" w:rsidRDefault="00882094" w:rsidP="00882094">
      <w:pPr>
        <w:numPr>
          <w:ilvl w:val="0"/>
          <w:numId w:val="3"/>
        </w:numPr>
        <w:rPr>
          <w:rFonts w:cstheme="minorHAnsi"/>
          <w:color w:val="000000" w:themeColor="text1"/>
        </w:rPr>
      </w:pPr>
      <w:r w:rsidRPr="00074079">
        <w:rPr>
          <w:rFonts w:cstheme="minorHAnsi"/>
          <w:color w:val="000000" w:themeColor="text1"/>
        </w:rPr>
        <w:t xml:space="preserve">The establishment of a new franchise exits process and an appropriate PEP declassification programme; </w:t>
      </w:r>
      <w:r w:rsidR="009E449B" w:rsidRPr="00074079">
        <w:rPr>
          <w:rFonts w:cstheme="minorHAnsi"/>
          <w:color w:val="000000" w:themeColor="text1"/>
        </w:rPr>
        <w:t>and</w:t>
      </w:r>
    </w:p>
    <w:p w14:paraId="3BA77308" w14:textId="5417D554" w:rsidR="009E449B" w:rsidRPr="00074079" w:rsidRDefault="00882094" w:rsidP="009E449B">
      <w:pPr>
        <w:pStyle w:val="ListParagraph"/>
        <w:numPr>
          <w:ilvl w:val="0"/>
          <w:numId w:val="3"/>
        </w:numPr>
        <w:rPr>
          <w:rFonts w:asciiTheme="minorHAnsi" w:hAnsiTheme="minorHAnsi" w:cstheme="minorHAnsi"/>
          <w:color w:val="000000" w:themeColor="text1"/>
          <w:sz w:val="22"/>
          <w:szCs w:val="22"/>
        </w:rPr>
      </w:pPr>
      <w:r w:rsidRPr="00074079">
        <w:rPr>
          <w:rFonts w:asciiTheme="minorHAnsi" w:hAnsiTheme="minorHAnsi" w:cstheme="minorHAnsi"/>
          <w:color w:val="000000" w:themeColor="text1"/>
          <w:sz w:val="22"/>
          <w:szCs w:val="22"/>
        </w:rPr>
        <w:t>Refreshed guidance</w:t>
      </w:r>
      <w:r w:rsidR="0059063A" w:rsidRPr="00074079">
        <w:rPr>
          <w:rFonts w:asciiTheme="minorHAnsi" w:hAnsiTheme="minorHAnsi" w:cstheme="minorHAnsi"/>
          <w:color w:val="000000" w:themeColor="text1"/>
          <w:sz w:val="22"/>
          <w:szCs w:val="22"/>
        </w:rPr>
        <w:t xml:space="preserve"> and mandatory training</w:t>
      </w:r>
      <w:r w:rsidRPr="00074079">
        <w:rPr>
          <w:rFonts w:asciiTheme="minorHAnsi" w:hAnsiTheme="minorHAnsi" w:cstheme="minorHAnsi"/>
          <w:color w:val="000000" w:themeColor="text1"/>
          <w:sz w:val="22"/>
          <w:szCs w:val="22"/>
        </w:rPr>
        <w:t xml:space="preserve"> </w:t>
      </w:r>
      <w:r w:rsidR="009E449B" w:rsidRPr="00074079">
        <w:rPr>
          <w:rFonts w:asciiTheme="minorHAnsi" w:hAnsiTheme="minorHAnsi" w:cstheme="minorHAnsi"/>
          <w:color w:val="000000" w:themeColor="text1"/>
          <w:sz w:val="22"/>
          <w:szCs w:val="22"/>
        </w:rPr>
        <w:t xml:space="preserve">on the complaints process </w:t>
      </w:r>
      <w:r w:rsidRPr="00074079">
        <w:rPr>
          <w:rFonts w:asciiTheme="minorHAnsi" w:hAnsiTheme="minorHAnsi" w:cstheme="minorHAnsi"/>
          <w:color w:val="000000" w:themeColor="text1"/>
          <w:sz w:val="22"/>
          <w:szCs w:val="22"/>
        </w:rPr>
        <w:t>will be issued to the front line, Coutts 24 and all relevant senior leaders</w:t>
      </w:r>
      <w:r w:rsidR="0059063A" w:rsidRPr="00074079">
        <w:rPr>
          <w:rFonts w:asciiTheme="minorHAnsi" w:hAnsiTheme="minorHAnsi" w:cstheme="minorHAnsi"/>
          <w:color w:val="000000" w:themeColor="text1"/>
          <w:sz w:val="22"/>
          <w:szCs w:val="22"/>
        </w:rPr>
        <w:t>.</w:t>
      </w:r>
      <w:r w:rsidR="009E449B" w:rsidRPr="00074079">
        <w:rPr>
          <w:rFonts w:asciiTheme="minorHAnsi" w:hAnsiTheme="minorHAnsi" w:cstheme="minorHAnsi"/>
          <w:color w:val="000000" w:themeColor="text1"/>
          <w:sz w:val="22"/>
          <w:szCs w:val="22"/>
        </w:rPr>
        <w:t xml:space="preserve"> </w:t>
      </w:r>
    </w:p>
    <w:p w14:paraId="5F94AAB3" w14:textId="77777777" w:rsidR="009E449B" w:rsidRPr="00074079" w:rsidRDefault="009E449B" w:rsidP="009E449B">
      <w:pPr>
        <w:pStyle w:val="ListParagraph"/>
        <w:rPr>
          <w:rFonts w:asciiTheme="minorHAnsi" w:hAnsiTheme="minorHAnsi" w:cstheme="minorHAnsi"/>
          <w:color w:val="000000" w:themeColor="text1"/>
          <w:sz w:val="22"/>
          <w:szCs w:val="22"/>
        </w:rPr>
      </w:pPr>
    </w:p>
    <w:p w14:paraId="145B5E9A" w14:textId="653EF770" w:rsidR="00882094" w:rsidRPr="00074079" w:rsidRDefault="00882094" w:rsidP="00882094">
      <w:pPr>
        <w:rPr>
          <w:rFonts w:cstheme="minorHAnsi"/>
          <w:color w:val="000000" w:themeColor="text1"/>
        </w:rPr>
      </w:pPr>
      <w:r w:rsidRPr="00074079">
        <w:rPr>
          <w:rFonts w:cstheme="minorHAnsi"/>
          <w:color w:val="000000" w:themeColor="text1"/>
        </w:rPr>
        <w:t xml:space="preserve">In October, the FCA confirmed that it is undertaking a programme of supervisory work with NatWest Group and Coutts. NatWest Group will continue to work with its peers and regulators and with the UK Government so that it is easier for banks to communicate clearly with customers who are being exited. </w:t>
      </w:r>
    </w:p>
    <w:p w14:paraId="104902EE" w14:textId="77777777" w:rsidR="00882094" w:rsidRPr="00074079" w:rsidRDefault="00882094" w:rsidP="00882094">
      <w:pPr>
        <w:rPr>
          <w:rFonts w:cstheme="minorHAnsi"/>
          <w:color w:val="000000" w:themeColor="text1"/>
        </w:rPr>
      </w:pPr>
      <w:r w:rsidRPr="00074079">
        <w:rPr>
          <w:rFonts w:cstheme="minorHAnsi"/>
          <w:b/>
          <w:bCs/>
          <w:color w:val="000000" w:themeColor="text1"/>
        </w:rPr>
        <w:t>--ENDS--</w:t>
      </w:r>
    </w:p>
    <w:p w14:paraId="5C0214CA" w14:textId="77777777" w:rsidR="00882094" w:rsidRPr="00074079" w:rsidRDefault="00882094" w:rsidP="00882094">
      <w:pPr>
        <w:rPr>
          <w:rFonts w:cstheme="minorHAnsi"/>
          <w:color w:val="000000" w:themeColor="text1"/>
        </w:rPr>
      </w:pPr>
      <w:r w:rsidRPr="00074079">
        <w:rPr>
          <w:rFonts w:cstheme="minorHAnsi"/>
          <w:color w:val="000000" w:themeColor="text1"/>
        </w:rPr>
        <w:t>For more information, please contact:</w:t>
      </w:r>
    </w:p>
    <w:p w14:paraId="56E4694A" w14:textId="77777777" w:rsidR="00882094" w:rsidRPr="00074079" w:rsidRDefault="00882094" w:rsidP="00882094">
      <w:pPr>
        <w:rPr>
          <w:rFonts w:cstheme="minorHAnsi"/>
          <w:color w:val="000000" w:themeColor="text1"/>
        </w:rPr>
      </w:pPr>
      <w:r w:rsidRPr="00074079">
        <w:rPr>
          <w:rFonts w:cstheme="minorHAnsi"/>
          <w:color w:val="000000" w:themeColor="text1"/>
        </w:rPr>
        <w:t>NatWest Group Investor Relations</w:t>
      </w:r>
      <w:r w:rsidRPr="00074079">
        <w:rPr>
          <w:rFonts w:cstheme="minorHAnsi"/>
          <w:color w:val="000000" w:themeColor="text1"/>
        </w:rPr>
        <w:br/>
        <w:t>Alexander Holcroft</w:t>
      </w:r>
      <w:r w:rsidRPr="00074079">
        <w:rPr>
          <w:rFonts w:cstheme="minorHAnsi"/>
          <w:color w:val="000000" w:themeColor="text1"/>
        </w:rPr>
        <w:br/>
        <w:t>Head of Investor Relations</w:t>
      </w:r>
      <w:r w:rsidRPr="00074079">
        <w:rPr>
          <w:rFonts w:cstheme="minorHAnsi"/>
          <w:color w:val="000000" w:themeColor="text1"/>
        </w:rPr>
        <w:br/>
        <w:t>+44 20 7672 1758</w:t>
      </w:r>
    </w:p>
    <w:p w14:paraId="35360AC6" w14:textId="21544E97" w:rsidR="00882094" w:rsidRPr="00074079" w:rsidRDefault="00882094" w:rsidP="00882094">
      <w:pPr>
        <w:rPr>
          <w:rFonts w:cstheme="minorHAnsi"/>
          <w:color w:val="000000" w:themeColor="text1"/>
        </w:rPr>
      </w:pPr>
      <w:r w:rsidRPr="00074079">
        <w:rPr>
          <w:rFonts w:cstheme="minorHAnsi"/>
          <w:color w:val="000000" w:themeColor="text1"/>
        </w:rPr>
        <w:t xml:space="preserve"> NatWest Group Media Relations  </w:t>
      </w:r>
    </w:p>
    <w:p w14:paraId="75481422" w14:textId="77777777" w:rsidR="00882094" w:rsidRPr="00074079" w:rsidRDefault="00882094" w:rsidP="00882094">
      <w:pPr>
        <w:rPr>
          <w:rFonts w:cstheme="minorHAnsi"/>
          <w:color w:val="000000" w:themeColor="text1"/>
        </w:rPr>
      </w:pPr>
      <w:r w:rsidRPr="00074079">
        <w:rPr>
          <w:rFonts w:cstheme="minorHAnsi"/>
          <w:color w:val="000000" w:themeColor="text1"/>
        </w:rPr>
        <w:t>+44(0)131 523 4205</w:t>
      </w:r>
    </w:p>
    <w:p w14:paraId="59C2D832" w14:textId="3A57C48F" w:rsidR="00882094" w:rsidRPr="00074079" w:rsidRDefault="00882094" w:rsidP="00882094">
      <w:pPr>
        <w:rPr>
          <w:rFonts w:cstheme="minorHAnsi"/>
        </w:rPr>
      </w:pPr>
      <w:r w:rsidRPr="00074079">
        <w:rPr>
          <w:rFonts w:cstheme="minorHAnsi"/>
        </w:rPr>
        <w:lastRenderedPageBreak/>
        <w:t> Legal Entity Identifier:  2138005O9XJIJN4JPN90</w:t>
      </w:r>
    </w:p>
    <w:p w14:paraId="6019D058" w14:textId="77777777" w:rsidR="00074079" w:rsidRDefault="00074079" w:rsidP="00331A15">
      <w:pPr>
        <w:pStyle w:val="Normal4"/>
        <w:jc w:val="both"/>
        <w:rPr>
          <w:rFonts w:asciiTheme="minorHAnsi" w:hAnsiTheme="minorHAnsi" w:cstheme="minorHAnsi"/>
          <w:sz w:val="22"/>
          <w:szCs w:val="22"/>
        </w:rPr>
      </w:pPr>
    </w:p>
    <w:p w14:paraId="0B9F0CD3" w14:textId="541C6349" w:rsidR="00331A15" w:rsidRPr="00074079" w:rsidRDefault="00331A15" w:rsidP="00331A15">
      <w:pPr>
        <w:pStyle w:val="Normal4"/>
        <w:jc w:val="both"/>
        <w:rPr>
          <w:rFonts w:asciiTheme="minorHAnsi" w:hAnsiTheme="minorHAnsi" w:cstheme="minorHAnsi"/>
          <w:sz w:val="22"/>
          <w:szCs w:val="22"/>
        </w:rPr>
      </w:pPr>
      <w:r w:rsidRPr="00074079">
        <w:rPr>
          <w:rFonts w:asciiTheme="minorHAnsi" w:hAnsiTheme="minorHAnsi" w:cstheme="minorHAnsi"/>
          <w:sz w:val="22"/>
          <w:szCs w:val="22"/>
        </w:rPr>
        <w:t>This document may include forward-looking statements within the meaning of the United States Private Securities Litigation Reform Act of 1995, such as statements that include, without limitation, the words ‘expect’, ‘estimate’, ‘project’, ‘anticipate’, ‘commit’, ‘believe’, ‘should’, ‘intend’, ‘will’, ‘plan’, ‘could’, ‘probability’, ‘risk’, ‘Value-at-Risk (</w:t>
      </w:r>
      <w:proofErr w:type="spellStart"/>
      <w:r w:rsidRPr="00074079">
        <w:rPr>
          <w:rFonts w:asciiTheme="minorHAnsi" w:hAnsiTheme="minorHAnsi" w:cstheme="minorHAnsi"/>
          <w:sz w:val="22"/>
          <w:szCs w:val="22"/>
        </w:rPr>
        <w:t>VaR</w:t>
      </w:r>
      <w:proofErr w:type="spellEnd"/>
      <w:r w:rsidRPr="00074079">
        <w:rPr>
          <w:rFonts w:asciiTheme="minorHAnsi" w:hAnsiTheme="minorHAnsi" w:cstheme="minorHAnsi"/>
          <w:sz w:val="22"/>
          <w:szCs w:val="22"/>
        </w:rPr>
        <w:t xml:space="preserve">)’, ‘target’, ‘goal’, ‘objective’, ‘may’, ‘endeavour’, ‘outlook’, ‘optimistic’, ‘prospects’ and similar expressions or variations on these expressions. These statements concern or may affect future matters, such as NatWest Group's future economic results, business plans and strategies.  In particular, this document may include forward-looking statements relating to NatWest Group plc in respect of, but not limited to: its economic and political risks, its regulatory capital position and related requirements, its financial position, profitability and financial performance (including financial, capital, cost savings and operational targets), the implementation of its purpose-led strategy, its environmental, social and governance and climate related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w:t>
      </w:r>
      <w:proofErr w:type="spellStart"/>
      <w:r w:rsidRPr="00074079">
        <w:rPr>
          <w:rFonts w:asciiTheme="minorHAnsi" w:hAnsiTheme="minorHAnsi" w:cstheme="minorHAnsi"/>
          <w:sz w:val="22"/>
          <w:szCs w:val="22"/>
        </w:rPr>
        <w:t>legal,</w:t>
      </w:r>
      <w:proofErr w:type="spellEnd"/>
      <w:r w:rsidRPr="00074079">
        <w:rPr>
          <w:rFonts w:asciiTheme="minorHAnsi" w:hAnsiTheme="minorHAnsi" w:cstheme="minorHAnsi"/>
          <w:sz w:val="22"/>
          <w:szCs w:val="22"/>
        </w:rPr>
        <w:t xml:space="preserve"> regulatory and governmental actions and investigations, the transition of LIBOR and IBOR rates to replacement risk free rates and NatWest Group’s exposure to operational risk, conduct risk, cyber, data and IT risk, financial crime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future growth initiatives (including acquisitions, joint ventures and strategic partnerships), the outcome of </w:t>
      </w:r>
      <w:proofErr w:type="spellStart"/>
      <w:r w:rsidRPr="00074079">
        <w:rPr>
          <w:rFonts w:asciiTheme="minorHAnsi" w:hAnsiTheme="minorHAnsi" w:cstheme="minorHAnsi"/>
          <w:sz w:val="22"/>
          <w:szCs w:val="22"/>
        </w:rPr>
        <w:t>legal,</w:t>
      </w:r>
      <w:proofErr w:type="spellEnd"/>
      <w:r w:rsidRPr="00074079">
        <w:rPr>
          <w:rFonts w:asciiTheme="minorHAnsi" w:hAnsiTheme="minorHAnsi" w:cstheme="minorHAnsi"/>
          <w:sz w:val="22"/>
          <w:szCs w:val="22"/>
        </w:rPr>
        <w:t xml:space="preserve"> regulatory and governmental actions and investigations, the level and extent of future impairments and write-downs, legislative, political, fiscal and regulatory developments, accounting standards, competitive conditions, technological developments, interest and exchange rate fluctuations, general economic and political conditions and the impact of climate-related risks and the transitioning to a net zero economy. These and other factors, risks and uncertainties that may impact any forward-looking statement or NatWest Group plc's actual results are discussed in NatWest Group plc's 2022 Annual Report on Form 20-F, </w:t>
      </w:r>
      <w:bookmarkStart w:id="0" w:name="_Hlk132378324"/>
      <w:r w:rsidRPr="00074079">
        <w:rPr>
          <w:rFonts w:asciiTheme="minorHAnsi" w:hAnsiTheme="minorHAnsi" w:cstheme="minorHAnsi"/>
          <w:sz w:val="22"/>
          <w:szCs w:val="22"/>
        </w:rPr>
        <w:t xml:space="preserve">NatWest Group plc’s </w:t>
      </w:r>
      <w:bookmarkStart w:id="1" w:name="_Hlk133253820"/>
      <w:r w:rsidRPr="00074079">
        <w:rPr>
          <w:rFonts w:asciiTheme="minorHAnsi" w:hAnsiTheme="minorHAnsi" w:cstheme="minorHAnsi"/>
          <w:sz w:val="22"/>
          <w:szCs w:val="22"/>
        </w:rPr>
        <w:t xml:space="preserve">Interim Results for H1 2023 on Form 6-K, Natwest Group plc’s Interim Management Statement </w:t>
      </w:r>
      <w:bookmarkEnd w:id="1"/>
      <w:r w:rsidRPr="00074079">
        <w:rPr>
          <w:rFonts w:asciiTheme="minorHAnsi" w:hAnsiTheme="minorHAnsi" w:cstheme="minorHAnsi"/>
          <w:sz w:val="22"/>
          <w:szCs w:val="22"/>
        </w:rPr>
        <w:t>for Q1 and Q3 2023</w:t>
      </w:r>
      <w:bookmarkEnd w:id="0"/>
      <w:r w:rsidRPr="00074079">
        <w:rPr>
          <w:rFonts w:asciiTheme="minorHAnsi" w:hAnsiTheme="minorHAnsi" w:cstheme="minorHAnsi"/>
          <w:sz w:val="22"/>
          <w:szCs w:val="22"/>
        </w:rPr>
        <w:t xml:space="preserve"> on Form 6-K,</w:t>
      </w:r>
      <w:r w:rsidRPr="00074079">
        <w:rPr>
          <w:rFonts w:asciiTheme="minorHAnsi" w:eastAsiaTheme="minorHAnsi" w:hAnsiTheme="minorHAnsi" w:cstheme="minorHAnsi"/>
          <w:sz w:val="22"/>
          <w:szCs w:val="22"/>
        </w:rPr>
        <w:t xml:space="preserve"> </w:t>
      </w:r>
      <w:r w:rsidRPr="00074079">
        <w:rPr>
          <w:rFonts w:asciiTheme="minorHAnsi" w:hAnsiTheme="minorHAnsi" w:cstheme="minorHAnsi"/>
          <w:sz w:val="22"/>
          <w:szCs w:val="22"/>
        </w:rPr>
        <w:t xml:space="preserve">and its other public filings. The forward-looking statements contained in this document speak only as of the date of this document and NatWest Group plc does not assume or undertake any obligation or responsibility to update any of the forward-looking statements contained in this document, whether as a result of new information, future events or otherwise, except to the extent legally required. </w:t>
      </w:r>
    </w:p>
    <w:p w14:paraId="6FBBAC7A" w14:textId="77777777" w:rsidR="00331A15" w:rsidRPr="00C719F8" w:rsidRDefault="00331A15" w:rsidP="00331A15">
      <w:pPr>
        <w:rPr>
          <w:rFonts w:cstheme="minorHAnsi"/>
        </w:rPr>
      </w:pPr>
    </w:p>
    <w:p w14:paraId="73D205C0" w14:textId="719F697E" w:rsidR="00882094" w:rsidRPr="00C719F8" w:rsidRDefault="00882094">
      <w:pPr>
        <w:rPr>
          <w:rFonts w:cstheme="minorHAnsi"/>
        </w:rPr>
      </w:pPr>
    </w:p>
    <w:sectPr w:rsidR="00882094" w:rsidRPr="00C71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32F"/>
    <w:multiLevelType w:val="hybridMultilevel"/>
    <w:tmpl w:val="B05EB890"/>
    <w:lvl w:ilvl="0" w:tplc="05C246E2">
      <w:start w:val="1"/>
      <w:numFmt w:val="bullet"/>
      <w:lvlText w:val="•"/>
      <w:lvlJc w:val="left"/>
      <w:pPr>
        <w:tabs>
          <w:tab w:val="num" w:pos="720"/>
        </w:tabs>
        <w:ind w:left="720" w:hanging="360"/>
      </w:pPr>
      <w:rPr>
        <w:rFonts w:ascii="Arial" w:hAnsi="Arial" w:hint="default"/>
      </w:rPr>
    </w:lvl>
    <w:lvl w:ilvl="1" w:tplc="B8D68668" w:tentative="1">
      <w:start w:val="1"/>
      <w:numFmt w:val="bullet"/>
      <w:lvlText w:val="•"/>
      <w:lvlJc w:val="left"/>
      <w:pPr>
        <w:tabs>
          <w:tab w:val="num" w:pos="1440"/>
        </w:tabs>
        <w:ind w:left="1440" w:hanging="360"/>
      </w:pPr>
      <w:rPr>
        <w:rFonts w:ascii="Arial" w:hAnsi="Arial" w:hint="default"/>
      </w:rPr>
    </w:lvl>
    <w:lvl w:ilvl="2" w:tplc="D0F8495C" w:tentative="1">
      <w:start w:val="1"/>
      <w:numFmt w:val="bullet"/>
      <w:lvlText w:val="•"/>
      <w:lvlJc w:val="left"/>
      <w:pPr>
        <w:tabs>
          <w:tab w:val="num" w:pos="2160"/>
        </w:tabs>
        <w:ind w:left="2160" w:hanging="360"/>
      </w:pPr>
      <w:rPr>
        <w:rFonts w:ascii="Arial" w:hAnsi="Arial" w:hint="default"/>
      </w:rPr>
    </w:lvl>
    <w:lvl w:ilvl="3" w:tplc="A61045E0" w:tentative="1">
      <w:start w:val="1"/>
      <w:numFmt w:val="bullet"/>
      <w:lvlText w:val="•"/>
      <w:lvlJc w:val="left"/>
      <w:pPr>
        <w:tabs>
          <w:tab w:val="num" w:pos="2880"/>
        </w:tabs>
        <w:ind w:left="2880" w:hanging="360"/>
      </w:pPr>
      <w:rPr>
        <w:rFonts w:ascii="Arial" w:hAnsi="Arial" w:hint="default"/>
      </w:rPr>
    </w:lvl>
    <w:lvl w:ilvl="4" w:tplc="2C925896" w:tentative="1">
      <w:start w:val="1"/>
      <w:numFmt w:val="bullet"/>
      <w:lvlText w:val="•"/>
      <w:lvlJc w:val="left"/>
      <w:pPr>
        <w:tabs>
          <w:tab w:val="num" w:pos="3600"/>
        </w:tabs>
        <w:ind w:left="3600" w:hanging="360"/>
      </w:pPr>
      <w:rPr>
        <w:rFonts w:ascii="Arial" w:hAnsi="Arial" w:hint="default"/>
      </w:rPr>
    </w:lvl>
    <w:lvl w:ilvl="5" w:tplc="CA1E6C40" w:tentative="1">
      <w:start w:val="1"/>
      <w:numFmt w:val="bullet"/>
      <w:lvlText w:val="•"/>
      <w:lvlJc w:val="left"/>
      <w:pPr>
        <w:tabs>
          <w:tab w:val="num" w:pos="4320"/>
        </w:tabs>
        <w:ind w:left="4320" w:hanging="360"/>
      </w:pPr>
      <w:rPr>
        <w:rFonts w:ascii="Arial" w:hAnsi="Arial" w:hint="default"/>
      </w:rPr>
    </w:lvl>
    <w:lvl w:ilvl="6" w:tplc="655858DA" w:tentative="1">
      <w:start w:val="1"/>
      <w:numFmt w:val="bullet"/>
      <w:lvlText w:val="•"/>
      <w:lvlJc w:val="left"/>
      <w:pPr>
        <w:tabs>
          <w:tab w:val="num" w:pos="5040"/>
        </w:tabs>
        <w:ind w:left="5040" w:hanging="360"/>
      </w:pPr>
      <w:rPr>
        <w:rFonts w:ascii="Arial" w:hAnsi="Arial" w:hint="default"/>
      </w:rPr>
    </w:lvl>
    <w:lvl w:ilvl="7" w:tplc="28F0070C" w:tentative="1">
      <w:start w:val="1"/>
      <w:numFmt w:val="bullet"/>
      <w:lvlText w:val="•"/>
      <w:lvlJc w:val="left"/>
      <w:pPr>
        <w:tabs>
          <w:tab w:val="num" w:pos="5760"/>
        </w:tabs>
        <w:ind w:left="5760" w:hanging="360"/>
      </w:pPr>
      <w:rPr>
        <w:rFonts w:ascii="Arial" w:hAnsi="Arial" w:hint="default"/>
      </w:rPr>
    </w:lvl>
    <w:lvl w:ilvl="8" w:tplc="9EE68A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6230E4E"/>
    <w:multiLevelType w:val="hybridMultilevel"/>
    <w:tmpl w:val="D45C7A3A"/>
    <w:lvl w:ilvl="0" w:tplc="A0E4E156">
      <w:start w:val="1"/>
      <w:numFmt w:val="decimal"/>
      <w:lvlText w:val="%1."/>
      <w:lvlJc w:val="left"/>
      <w:pPr>
        <w:tabs>
          <w:tab w:val="num" w:pos="720"/>
        </w:tabs>
        <w:ind w:left="720" w:hanging="360"/>
      </w:pPr>
    </w:lvl>
    <w:lvl w:ilvl="1" w:tplc="49D26B9E" w:tentative="1">
      <w:start w:val="1"/>
      <w:numFmt w:val="decimal"/>
      <w:lvlText w:val="%2."/>
      <w:lvlJc w:val="left"/>
      <w:pPr>
        <w:tabs>
          <w:tab w:val="num" w:pos="1440"/>
        </w:tabs>
        <w:ind w:left="1440" w:hanging="360"/>
      </w:pPr>
    </w:lvl>
    <w:lvl w:ilvl="2" w:tplc="EBACDDDE" w:tentative="1">
      <w:start w:val="1"/>
      <w:numFmt w:val="decimal"/>
      <w:lvlText w:val="%3."/>
      <w:lvlJc w:val="left"/>
      <w:pPr>
        <w:tabs>
          <w:tab w:val="num" w:pos="2160"/>
        </w:tabs>
        <w:ind w:left="2160" w:hanging="360"/>
      </w:pPr>
    </w:lvl>
    <w:lvl w:ilvl="3" w:tplc="28628C80" w:tentative="1">
      <w:start w:val="1"/>
      <w:numFmt w:val="decimal"/>
      <w:lvlText w:val="%4."/>
      <w:lvlJc w:val="left"/>
      <w:pPr>
        <w:tabs>
          <w:tab w:val="num" w:pos="2880"/>
        </w:tabs>
        <w:ind w:left="2880" w:hanging="360"/>
      </w:pPr>
    </w:lvl>
    <w:lvl w:ilvl="4" w:tplc="70841A54" w:tentative="1">
      <w:start w:val="1"/>
      <w:numFmt w:val="decimal"/>
      <w:lvlText w:val="%5."/>
      <w:lvlJc w:val="left"/>
      <w:pPr>
        <w:tabs>
          <w:tab w:val="num" w:pos="3600"/>
        </w:tabs>
        <w:ind w:left="3600" w:hanging="360"/>
      </w:pPr>
    </w:lvl>
    <w:lvl w:ilvl="5" w:tplc="8D16F6D0" w:tentative="1">
      <w:start w:val="1"/>
      <w:numFmt w:val="decimal"/>
      <w:lvlText w:val="%6."/>
      <w:lvlJc w:val="left"/>
      <w:pPr>
        <w:tabs>
          <w:tab w:val="num" w:pos="4320"/>
        </w:tabs>
        <w:ind w:left="4320" w:hanging="360"/>
      </w:pPr>
    </w:lvl>
    <w:lvl w:ilvl="6" w:tplc="328A4956" w:tentative="1">
      <w:start w:val="1"/>
      <w:numFmt w:val="decimal"/>
      <w:lvlText w:val="%7."/>
      <w:lvlJc w:val="left"/>
      <w:pPr>
        <w:tabs>
          <w:tab w:val="num" w:pos="5040"/>
        </w:tabs>
        <w:ind w:left="5040" w:hanging="360"/>
      </w:pPr>
    </w:lvl>
    <w:lvl w:ilvl="7" w:tplc="F4807D36" w:tentative="1">
      <w:start w:val="1"/>
      <w:numFmt w:val="decimal"/>
      <w:lvlText w:val="%8."/>
      <w:lvlJc w:val="left"/>
      <w:pPr>
        <w:tabs>
          <w:tab w:val="num" w:pos="5760"/>
        </w:tabs>
        <w:ind w:left="5760" w:hanging="360"/>
      </w:pPr>
    </w:lvl>
    <w:lvl w:ilvl="8" w:tplc="1D62AFB8" w:tentative="1">
      <w:start w:val="1"/>
      <w:numFmt w:val="decimal"/>
      <w:lvlText w:val="%9."/>
      <w:lvlJc w:val="left"/>
      <w:pPr>
        <w:tabs>
          <w:tab w:val="num" w:pos="6480"/>
        </w:tabs>
        <w:ind w:left="6480" w:hanging="360"/>
      </w:pPr>
    </w:lvl>
  </w:abstractNum>
  <w:abstractNum w:abstractNumId="2" w15:restartNumberingAfterBreak="0">
    <w:nsid w:val="763D42C1"/>
    <w:multiLevelType w:val="hybridMultilevel"/>
    <w:tmpl w:val="4AAC1D72"/>
    <w:lvl w:ilvl="0" w:tplc="1FDCA58A">
      <w:start w:val="1"/>
      <w:numFmt w:val="lowerRoman"/>
      <w:lvlText w:val="%1."/>
      <w:lvlJc w:val="right"/>
      <w:pPr>
        <w:tabs>
          <w:tab w:val="num" w:pos="720"/>
        </w:tabs>
        <w:ind w:left="720" w:hanging="360"/>
      </w:pPr>
    </w:lvl>
    <w:lvl w:ilvl="1" w:tplc="2FF63DF8" w:tentative="1">
      <w:start w:val="1"/>
      <w:numFmt w:val="lowerRoman"/>
      <w:lvlText w:val="%2."/>
      <w:lvlJc w:val="right"/>
      <w:pPr>
        <w:tabs>
          <w:tab w:val="num" w:pos="1440"/>
        </w:tabs>
        <w:ind w:left="1440" w:hanging="360"/>
      </w:pPr>
    </w:lvl>
    <w:lvl w:ilvl="2" w:tplc="DD9EA300" w:tentative="1">
      <w:start w:val="1"/>
      <w:numFmt w:val="lowerRoman"/>
      <w:lvlText w:val="%3."/>
      <w:lvlJc w:val="right"/>
      <w:pPr>
        <w:tabs>
          <w:tab w:val="num" w:pos="2160"/>
        </w:tabs>
        <w:ind w:left="2160" w:hanging="360"/>
      </w:pPr>
    </w:lvl>
    <w:lvl w:ilvl="3" w:tplc="E734531A" w:tentative="1">
      <w:start w:val="1"/>
      <w:numFmt w:val="lowerRoman"/>
      <w:lvlText w:val="%4."/>
      <w:lvlJc w:val="right"/>
      <w:pPr>
        <w:tabs>
          <w:tab w:val="num" w:pos="2880"/>
        </w:tabs>
        <w:ind w:left="2880" w:hanging="360"/>
      </w:pPr>
    </w:lvl>
    <w:lvl w:ilvl="4" w:tplc="9F90D70A" w:tentative="1">
      <w:start w:val="1"/>
      <w:numFmt w:val="lowerRoman"/>
      <w:lvlText w:val="%5."/>
      <w:lvlJc w:val="right"/>
      <w:pPr>
        <w:tabs>
          <w:tab w:val="num" w:pos="3600"/>
        </w:tabs>
        <w:ind w:left="3600" w:hanging="360"/>
      </w:pPr>
    </w:lvl>
    <w:lvl w:ilvl="5" w:tplc="311E983A" w:tentative="1">
      <w:start w:val="1"/>
      <w:numFmt w:val="lowerRoman"/>
      <w:lvlText w:val="%6."/>
      <w:lvlJc w:val="right"/>
      <w:pPr>
        <w:tabs>
          <w:tab w:val="num" w:pos="4320"/>
        </w:tabs>
        <w:ind w:left="4320" w:hanging="360"/>
      </w:pPr>
    </w:lvl>
    <w:lvl w:ilvl="6" w:tplc="7FBE30C6" w:tentative="1">
      <w:start w:val="1"/>
      <w:numFmt w:val="lowerRoman"/>
      <w:lvlText w:val="%7."/>
      <w:lvlJc w:val="right"/>
      <w:pPr>
        <w:tabs>
          <w:tab w:val="num" w:pos="5040"/>
        </w:tabs>
        <w:ind w:left="5040" w:hanging="360"/>
      </w:pPr>
    </w:lvl>
    <w:lvl w:ilvl="7" w:tplc="6B644028" w:tentative="1">
      <w:start w:val="1"/>
      <w:numFmt w:val="lowerRoman"/>
      <w:lvlText w:val="%8."/>
      <w:lvlJc w:val="right"/>
      <w:pPr>
        <w:tabs>
          <w:tab w:val="num" w:pos="5760"/>
        </w:tabs>
        <w:ind w:left="5760" w:hanging="360"/>
      </w:pPr>
    </w:lvl>
    <w:lvl w:ilvl="8" w:tplc="A31CF6AC" w:tentative="1">
      <w:start w:val="1"/>
      <w:numFmt w:val="lowerRoman"/>
      <w:lvlText w:val="%9."/>
      <w:lvlJc w:val="right"/>
      <w:pPr>
        <w:tabs>
          <w:tab w:val="num" w:pos="6480"/>
        </w:tabs>
        <w:ind w:left="6480" w:hanging="360"/>
      </w:pPr>
    </w:lvl>
  </w:abstractNum>
  <w:num w:numId="1" w16cid:durableId="1944653152">
    <w:abstractNumId w:val="2"/>
  </w:num>
  <w:num w:numId="2" w16cid:durableId="1119295159">
    <w:abstractNumId w:val="0"/>
  </w:num>
  <w:num w:numId="3" w16cid:durableId="26098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94"/>
    <w:rsid w:val="00074079"/>
    <w:rsid w:val="000C6AC8"/>
    <w:rsid w:val="002E5CCE"/>
    <w:rsid w:val="00331A15"/>
    <w:rsid w:val="0046275C"/>
    <w:rsid w:val="004D79FE"/>
    <w:rsid w:val="0059063A"/>
    <w:rsid w:val="00882094"/>
    <w:rsid w:val="008D6376"/>
    <w:rsid w:val="00984954"/>
    <w:rsid w:val="009E449B"/>
    <w:rsid w:val="00B36BAB"/>
    <w:rsid w:val="00BB2AF0"/>
    <w:rsid w:val="00C50936"/>
    <w:rsid w:val="00C719F8"/>
    <w:rsid w:val="00E62DDF"/>
    <w:rsid w:val="00F7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62AC"/>
  <w15:chartTrackingRefBased/>
  <w15:docId w15:val="{822D4017-51B1-4B5B-B02F-E3A397F0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0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2094"/>
    <w:pPr>
      <w:spacing w:after="0" w:line="240" w:lineRule="auto"/>
      <w:ind w:left="720"/>
      <w:contextualSpacing/>
    </w:pPr>
    <w:rPr>
      <w:rFonts w:ascii="Times New Roman" w:eastAsia="Times New Roman" w:hAnsi="Times New Roman" w:cs="Times New Roman"/>
      <w:sz w:val="24"/>
      <w:szCs w:val="24"/>
      <w:lang w:eastAsia="en-GB"/>
    </w:rPr>
  </w:style>
  <w:style w:type="paragraph" w:styleId="Revision">
    <w:name w:val="Revision"/>
    <w:hidden/>
    <w:uiPriority w:val="99"/>
    <w:semiHidden/>
    <w:rsid w:val="0059063A"/>
    <w:pPr>
      <w:spacing w:after="0" w:line="240" w:lineRule="auto"/>
    </w:pPr>
  </w:style>
  <w:style w:type="paragraph" w:customStyle="1" w:styleId="Normal4">
    <w:name w:val="Normal_4"/>
    <w:basedOn w:val="Normal"/>
    <w:rsid w:val="00331A1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74079"/>
    <w:rPr>
      <w:color w:val="0563C1"/>
      <w:u w:val="single"/>
    </w:rPr>
  </w:style>
  <w:style w:type="character" w:styleId="UnresolvedMention">
    <w:name w:val="Unresolved Mention"/>
    <w:basedOn w:val="DefaultParagraphFont"/>
    <w:uiPriority w:val="99"/>
    <w:semiHidden/>
    <w:unhideWhenUsed/>
    <w:rsid w:val="0007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298727">
      <w:bodyDiv w:val="1"/>
      <w:marLeft w:val="0"/>
      <w:marRight w:val="0"/>
      <w:marTop w:val="0"/>
      <w:marBottom w:val="0"/>
      <w:divBdr>
        <w:top w:val="none" w:sz="0" w:space="0" w:color="auto"/>
        <w:left w:val="none" w:sz="0" w:space="0" w:color="auto"/>
        <w:bottom w:val="none" w:sz="0" w:space="0" w:color="auto"/>
        <w:right w:val="none" w:sz="0" w:space="0" w:color="auto"/>
      </w:divBdr>
      <w:divsChild>
        <w:div w:id="592206320">
          <w:marLeft w:val="446"/>
          <w:marRight w:val="0"/>
          <w:marTop w:val="0"/>
          <w:marBottom w:val="120"/>
          <w:divBdr>
            <w:top w:val="none" w:sz="0" w:space="0" w:color="auto"/>
            <w:left w:val="none" w:sz="0" w:space="0" w:color="auto"/>
            <w:bottom w:val="none" w:sz="0" w:space="0" w:color="auto"/>
            <w:right w:val="none" w:sz="0" w:space="0" w:color="auto"/>
          </w:divBdr>
        </w:div>
        <w:div w:id="1323317759">
          <w:marLeft w:val="446"/>
          <w:marRight w:val="0"/>
          <w:marTop w:val="0"/>
          <w:marBottom w:val="120"/>
          <w:divBdr>
            <w:top w:val="none" w:sz="0" w:space="0" w:color="auto"/>
            <w:left w:val="none" w:sz="0" w:space="0" w:color="auto"/>
            <w:bottom w:val="none" w:sz="0" w:space="0" w:color="auto"/>
            <w:right w:val="none" w:sz="0" w:space="0" w:color="auto"/>
          </w:divBdr>
        </w:div>
        <w:div w:id="2083259956">
          <w:marLeft w:val="547"/>
          <w:marRight w:val="0"/>
          <w:marTop w:val="0"/>
          <w:marBottom w:val="120"/>
          <w:divBdr>
            <w:top w:val="none" w:sz="0" w:space="0" w:color="auto"/>
            <w:left w:val="none" w:sz="0" w:space="0" w:color="auto"/>
            <w:bottom w:val="none" w:sz="0" w:space="0" w:color="auto"/>
            <w:right w:val="none" w:sz="0" w:space="0" w:color="auto"/>
          </w:divBdr>
        </w:div>
        <w:div w:id="78408585">
          <w:marLeft w:val="547"/>
          <w:marRight w:val="0"/>
          <w:marTop w:val="0"/>
          <w:marBottom w:val="120"/>
          <w:divBdr>
            <w:top w:val="none" w:sz="0" w:space="0" w:color="auto"/>
            <w:left w:val="none" w:sz="0" w:space="0" w:color="auto"/>
            <w:bottom w:val="none" w:sz="0" w:space="0" w:color="auto"/>
            <w:right w:val="none" w:sz="0" w:space="0" w:color="auto"/>
          </w:divBdr>
        </w:div>
        <w:div w:id="1159805700">
          <w:marLeft w:val="547"/>
          <w:marRight w:val="0"/>
          <w:marTop w:val="0"/>
          <w:marBottom w:val="120"/>
          <w:divBdr>
            <w:top w:val="none" w:sz="0" w:space="0" w:color="auto"/>
            <w:left w:val="none" w:sz="0" w:space="0" w:color="auto"/>
            <w:bottom w:val="none" w:sz="0" w:space="0" w:color="auto"/>
            <w:right w:val="none" w:sz="0" w:space="0" w:color="auto"/>
          </w:divBdr>
        </w:div>
      </w:divsChild>
    </w:div>
    <w:div w:id="2098817272">
      <w:bodyDiv w:val="1"/>
      <w:marLeft w:val="0"/>
      <w:marRight w:val="0"/>
      <w:marTop w:val="0"/>
      <w:marBottom w:val="0"/>
      <w:divBdr>
        <w:top w:val="none" w:sz="0" w:space="0" w:color="auto"/>
        <w:left w:val="none" w:sz="0" w:space="0" w:color="auto"/>
        <w:bottom w:val="none" w:sz="0" w:space="0" w:color="auto"/>
        <w:right w:val="none" w:sz="0" w:space="0" w:color="auto"/>
      </w:divBdr>
      <w:divsChild>
        <w:div w:id="197202076">
          <w:marLeft w:val="547"/>
          <w:marRight w:val="0"/>
          <w:marTop w:val="0"/>
          <w:marBottom w:val="120"/>
          <w:divBdr>
            <w:top w:val="none" w:sz="0" w:space="0" w:color="auto"/>
            <w:left w:val="none" w:sz="0" w:space="0" w:color="auto"/>
            <w:bottom w:val="none" w:sz="0" w:space="0" w:color="auto"/>
            <w:right w:val="none" w:sz="0" w:space="0" w:color="auto"/>
          </w:divBdr>
        </w:div>
        <w:div w:id="530723664">
          <w:marLeft w:val="547"/>
          <w:marRight w:val="0"/>
          <w:marTop w:val="0"/>
          <w:marBottom w:val="120"/>
          <w:divBdr>
            <w:top w:val="none" w:sz="0" w:space="0" w:color="auto"/>
            <w:left w:val="none" w:sz="0" w:space="0" w:color="auto"/>
            <w:bottom w:val="none" w:sz="0" w:space="0" w:color="auto"/>
            <w:right w:val="none" w:sz="0" w:space="0" w:color="auto"/>
          </w:divBdr>
        </w:div>
        <w:div w:id="1876506853">
          <w:marLeft w:val="547"/>
          <w:marRight w:val="0"/>
          <w:marTop w:val="0"/>
          <w:marBottom w:val="120"/>
          <w:divBdr>
            <w:top w:val="none" w:sz="0" w:space="0" w:color="auto"/>
            <w:left w:val="none" w:sz="0" w:space="0" w:color="auto"/>
            <w:bottom w:val="none" w:sz="0" w:space="0" w:color="auto"/>
            <w:right w:val="none" w:sz="0" w:space="0" w:color="auto"/>
          </w:divBdr>
        </w:div>
        <w:div w:id="116951577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westgroup.com/content/dam/natwestgroup_com/natwestgroup/pdf/Travers-Smith-Phase-2-Key-Findings-Recommendation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0011BF06C114C8357D5ED8CCE20CA" ma:contentTypeVersion="11" ma:contentTypeDescription="Create a new document." ma:contentTypeScope="" ma:versionID="5262ef2653beea0852a70d9144706340">
  <xsd:schema xmlns:xsd="http://www.w3.org/2001/XMLSchema" xmlns:xs="http://www.w3.org/2001/XMLSchema" xmlns:p="http://schemas.microsoft.com/office/2006/metadata/properties" xmlns:ns3="7bea300b-3a61-44d2-a305-09acde88c025" targetNamespace="http://schemas.microsoft.com/office/2006/metadata/properties" ma:root="true" ma:fieldsID="9453fdfb632eac140abad9c07cf9b35e" ns3:_="">
    <xsd:import namespace="7bea300b-3a61-44d2-a305-09acde88c0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a300b-3a61-44d2-a305-09acde88c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ea300b-3a61-44d2-a305-09acde88c025" xsi:nil="true"/>
  </documentManagement>
</p:properties>
</file>

<file path=customXml/itemProps1.xml><?xml version="1.0" encoding="utf-8"?>
<ds:datastoreItem xmlns:ds="http://schemas.openxmlformats.org/officeDocument/2006/customXml" ds:itemID="{8A99DE6A-0E37-4EB1-8288-01AE0EA0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a300b-3a61-44d2-a305-09acde88c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286B3-A9DF-440F-AB2B-5992608DF108}">
  <ds:schemaRefs>
    <ds:schemaRef ds:uri="http://schemas.microsoft.com/sharepoint/v3/contenttype/forms"/>
  </ds:schemaRefs>
</ds:datastoreItem>
</file>

<file path=customXml/itemProps3.xml><?xml version="1.0" encoding="utf-8"?>
<ds:datastoreItem xmlns:ds="http://schemas.openxmlformats.org/officeDocument/2006/customXml" ds:itemID="{EA6167F1-880E-473D-8612-875A84B1AF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ea300b-3a61-44d2-a305-09acde88c0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Paton, Carol (Legal, Governance &amp; Regulatory Affairs)</dc:creator>
  <cp:keywords/>
  <dc:description/>
  <cp:lastModifiedBy>Kelly, Dearbhla (Legal, Governance &amp; Regulatory Affairs)</cp:lastModifiedBy>
  <cp:revision>5</cp:revision>
  <dcterms:created xsi:type="dcterms:W3CDTF">2023-12-14T17:15:00Z</dcterms:created>
  <dcterms:modified xsi:type="dcterms:W3CDTF">2023-12-14T19:13:00Z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0x0101002BA0011BF06C114C8357D5ED8CCE20CA</vt:lpwstr>
  </property>
</Properties>
</file>