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F034" w14:textId="77777777" w:rsidR="0077482D" w:rsidRDefault="0077482D" w:rsidP="0077482D">
      <w:pPr>
        <w:pStyle w:val="cl"/>
        <w:spacing w:before="0" w:beforeAutospacing="0" w:after="0" w:afterAutospacing="0"/>
        <w:jc w:val="both"/>
        <w:rPr>
          <w:b/>
          <w:bCs/>
          <w:color w:val="000000"/>
        </w:rPr>
      </w:pPr>
      <w:r>
        <w:rPr>
          <w:b/>
          <w:bCs/>
          <w:color w:val="000000"/>
        </w:rPr>
        <w:t>NatWest Group plc</w:t>
      </w:r>
    </w:p>
    <w:p w14:paraId="59CDB496" w14:textId="77777777" w:rsidR="0077482D" w:rsidRDefault="0077482D" w:rsidP="0077482D">
      <w:pPr>
        <w:pStyle w:val="cl"/>
        <w:spacing w:before="0" w:beforeAutospacing="0" w:after="0" w:afterAutospacing="0"/>
        <w:jc w:val="both"/>
        <w:rPr>
          <w:b/>
          <w:bCs/>
          <w:color w:val="000000"/>
        </w:rPr>
      </w:pPr>
      <w:r>
        <w:rPr>
          <w:b/>
          <w:bCs/>
          <w:color w:val="000000"/>
        </w:rPr>
        <w:t> </w:t>
      </w:r>
    </w:p>
    <w:p w14:paraId="4395B316" w14:textId="4440DD61" w:rsidR="0077482D" w:rsidRDefault="00C021C1" w:rsidP="007623EB">
      <w:pPr>
        <w:pStyle w:val="cl"/>
        <w:spacing w:before="0" w:beforeAutospacing="0" w:after="0" w:afterAutospacing="0"/>
        <w:jc w:val="both"/>
        <w:rPr>
          <w:b/>
          <w:bCs/>
          <w:color w:val="000000"/>
        </w:rPr>
      </w:pPr>
      <w:r>
        <w:rPr>
          <w:b/>
          <w:bCs/>
          <w:color w:val="000000"/>
        </w:rPr>
        <w:t>13</w:t>
      </w:r>
      <w:r w:rsidR="007623EB">
        <w:rPr>
          <w:b/>
          <w:bCs/>
          <w:color w:val="000000"/>
        </w:rPr>
        <w:t xml:space="preserve"> August</w:t>
      </w:r>
      <w:r w:rsidR="00BC2CC1">
        <w:rPr>
          <w:b/>
          <w:bCs/>
          <w:color w:val="000000"/>
        </w:rPr>
        <w:t xml:space="preserve"> </w:t>
      </w:r>
      <w:r w:rsidR="0077482D">
        <w:rPr>
          <w:b/>
          <w:bCs/>
          <w:color w:val="000000"/>
        </w:rPr>
        <w:t>2024</w:t>
      </w:r>
    </w:p>
    <w:p w14:paraId="61042F9A" w14:textId="77777777" w:rsidR="0077482D" w:rsidRDefault="0077482D" w:rsidP="0077482D">
      <w:pPr>
        <w:pStyle w:val="cm"/>
        <w:spacing w:before="0" w:beforeAutospacing="0" w:after="0" w:afterAutospacing="0"/>
        <w:jc w:val="both"/>
        <w:rPr>
          <w:color w:val="000000"/>
        </w:rPr>
      </w:pPr>
      <w:r>
        <w:rPr>
          <w:color w:val="000000"/>
        </w:rPr>
        <w:t> </w:t>
      </w:r>
    </w:p>
    <w:p w14:paraId="78A31443" w14:textId="4AA5CBBF" w:rsidR="0077482D" w:rsidRDefault="0077482D" w:rsidP="007623EB">
      <w:pPr>
        <w:pStyle w:val="cn"/>
        <w:spacing w:before="0" w:beforeAutospacing="0" w:after="0" w:afterAutospacing="0"/>
        <w:jc w:val="both"/>
        <w:rPr>
          <w:color w:val="000000"/>
        </w:rPr>
      </w:pPr>
      <w:r>
        <w:rPr>
          <w:color w:val="000000"/>
        </w:rPr>
        <w:t>NatWest Group plc (“NWG”) completed the pricing of its </w:t>
      </w:r>
      <w:r>
        <w:t>US</w:t>
      </w:r>
      <w:r w:rsidR="00C021C1">
        <w:t>D 1,250,000,000 4.964</w:t>
      </w:r>
      <w:r>
        <w:t xml:space="preserve">% Senior Callable Fixed-to-Fixed Reset Rate </w:t>
      </w:r>
      <w:r>
        <w:rPr>
          <w:lang w:val="en-GB"/>
        </w:rPr>
        <w:t xml:space="preserve">Notes due </w:t>
      </w:r>
      <w:r w:rsidR="00C021C1" w:rsidRPr="00C021C1">
        <w:t>2030</w:t>
      </w:r>
      <w:r w:rsidR="007623EB" w:rsidRPr="007623EB">
        <w:t xml:space="preserve"> </w:t>
      </w:r>
      <w:r>
        <w:t>(the “</w:t>
      </w:r>
      <w:r>
        <w:rPr>
          <w:color w:val="000000"/>
        </w:rPr>
        <w:t>Fixed Rate</w:t>
      </w:r>
      <w:r>
        <w:t xml:space="preserve"> Notes”)</w:t>
      </w:r>
      <w:r w:rsidR="007623EB">
        <w:t xml:space="preserve"> </w:t>
      </w:r>
      <w:r>
        <w:t>and USD</w:t>
      </w:r>
      <w:r w:rsidR="00C021C1">
        <w:t xml:space="preserve"> 500,000,000</w:t>
      </w:r>
      <w:r w:rsidR="007623EB">
        <w:rPr>
          <w:b/>
          <w:bCs/>
          <w:color w:val="000000"/>
        </w:rPr>
        <w:t xml:space="preserve"> </w:t>
      </w:r>
      <w:r>
        <w:t xml:space="preserve">Senior Callable Floating </w:t>
      </w:r>
      <w:r>
        <w:rPr>
          <w:lang w:val="en-GB"/>
        </w:rPr>
        <w:t>Notes due</w:t>
      </w:r>
      <w:r w:rsidR="00C021C1">
        <w:rPr>
          <w:lang w:val="en-GB"/>
        </w:rPr>
        <w:t xml:space="preserve"> 2028</w:t>
      </w:r>
      <w:r w:rsidR="007623EB" w:rsidRPr="007623EB">
        <w:t xml:space="preserve"> </w:t>
      </w:r>
      <w:r>
        <w:t>(the “Floating Rate Notes” and</w:t>
      </w:r>
      <w:r w:rsidR="00242AF9">
        <w:t>,</w:t>
      </w:r>
      <w:r>
        <w:t xml:space="preserve"> together with the Fixed Rate Notes, the “</w:t>
      </w:r>
      <w:r w:rsidR="008235BA" w:rsidRPr="00D92331">
        <w:t xml:space="preserve">Senior </w:t>
      </w:r>
      <w:r w:rsidRPr="00D92331">
        <w:t>Notes</w:t>
      </w:r>
      <w:r>
        <w:t>”).</w:t>
      </w:r>
    </w:p>
    <w:p w14:paraId="234D4F12" w14:textId="7594DD0A" w:rsidR="0077482D" w:rsidRDefault="0077482D" w:rsidP="007623EB">
      <w:pPr>
        <w:pStyle w:val="by"/>
        <w:rPr>
          <w:color w:val="000000"/>
        </w:rPr>
      </w:pPr>
      <w:r>
        <w:rPr>
          <w:color w:val="000000"/>
        </w:rPr>
        <w:t xml:space="preserve">The proceeds to NWG (before expenses and underwriting discounts) of USD </w:t>
      </w:r>
      <w:r w:rsidR="00C021C1">
        <w:rPr>
          <w:color w:val="000000"/>
        </w:rPr>
        <w:t>1,750,000,000</w:t>
      </w:r>
      <w:r w:rsidR="007623EB">
        <w:rPr>
          <w:b/>
          <w:bCs/>
          <w:color w:val="000000"/>
        </w:rPr>
        <w:t xml:space="preserve"> </w:t>
      </w:r>
      <w:r>
        <w:rPr>
          <w:color w:val="000000"/>
        </w:rPr>
        <w:t>from the Senior Notes will be used to fund NWG’s general banking business. </w:t>
      </w:r>
    </w:p>
    <w:p w14:paraId="67DF1B69" w14:textId="598B67D0" w:rsidR="0077482D" w:rsidRDefault="0077482D" w:rsidP="007623EB">
      <w:pPr>
        <w:pStyle w:val="cm"/>
        <w:spacing w:before="0" w:beforeAutospacing="0" w:after="0" w:afterAutospacing="0"/>
        <w:jc w:val="both"/>
        <w:rPr>
          <w:color w:val="000000"/>
        </w:rPr>
      </w:pPr>
      <w:r>
        <w:rPr>
          <w:color w:val="000000"/>
        </w:rPr>
        <w:t>The offering is scheduled to close on</w:t>
      </w:r>
      <w:r w:rsidR="00C021C1">
        <w:rPr>
          <w:color w:val="000000"/>
        </w:rPr>
        <w:t xml:space="preserve"> 15</w:t>
      </w:r>
      <w:r w:rsidR="007623EB">
        <w:rPr>
          <w:b/>
          <w:bCs/>
          <w:color w:val="000000"/>
        </w:rPr>
        <w:t xml:space="preserve"> </w:t>
      </w:r>
      <w:r w:rsidR="007623EB">
        <w:rPr>
          <w:color w:val="000000"/>
        </w:rPr>
        <w:t>August</w:t>
      </w:r>
      <w:r>
        <w:t xml:space="preserve"> </w:t>
      </w:r>
      <w:r>
        <w:rPr>
          <w:color w:val="000000"/>
        </w:rPr>
        <w:t>2024, subject to the satisfaction of customary conditions.</w:t>
      </w:r>
    </w:p>
    <w:p w14:paraId="752B7BFC" w14:textId="77777777" w:rsidR="0077482D" w:rsidRDefault="0077482D" w:rsidP="0077482D">
      <w:pPr>
        <w:pStyle w:val="cm"/>
        <w:spacing w:before="0" w:beforeAutospacing="0" w:after="0" w:afterAutospacing="0"/>
        <w:jc w:val="both"/>
        <w:rPr>
          <w:color w:val="000000"/>
        </w:rPr>
      </w:pPr>
      <w:r>
        <w:rPr>
          <w:color w:val="000000"/>
        </w:rPr>
        <w:t> </w:t>
      </w:r>
    </w:p>
    <w:p w14:paraId="20406185" w14:textId="77777777" w:rsidR="0077482D" w:rsidRDefault="0077482D" w:rsidP="0077482D">
      <w:pPr>
        <w:pStyle w:val="cm"/>
        <w:spacing w:before="0" w:beforeAutospacing="0" w:after="0" w:afterAutospacing="0"/>
        <w:jc w:val="both"/>
        <w:rPr>
          <w:color w:val="000000"/>
        </w:rPr>
      </w:pPr>
      <w:r>
        <w:rPr>
          <w:color w:val="000000"/>
        </w:rPr>
        <w:t>NWG has filed a registration statement (including a prospectus) with the U.S. Securities and Exchange Commission (the “SEC”) for the offering to which this communication relates.  Investors should read the prospectus in such registration statement and other documents NWG has filed with the SEC for more complete information about NWG and this offering. You may get these documents for free by visiting the SEC website at www.sec.gov.  Alternatively, copies may be obtained from NatWest Markets Securities Inc., toll free at 1</w:t>
      </w:r>
      <w:r>
        <w:t>-800-231-5380</w:t>
      </w:r>
      <w:r>
        <w:rPr>
          <w:color w:val="000000"/>
        </w:rPr>
        <w:t>.</w:t>
      </w:r>
    </w:p>
    <w:p w14:paraId="60E9DF3D" w14:textId="77777777" w:rsidR="0077482D" w:rsidRDefault="0077482D" w:rsidP="0077482D">
      <w:pPr>
        <w:pStyle w:val="cm"/>
        <w:spacing w:before="0" w:beforeAutospacing="0" w:after="0" w:afterAutospacing="0"/>
        <w:jc w:val="both"/>
        <w:rPr>
          <w:color w:val="000000"/>
        </w:rPr>
      </w:pPr>
      <w:r>
        <w:rPr>
          <w:color w:val="000000"/>
        </w:rPr>
        <w:t> </w:t>
      </w:r>
    </w:p>
    <w:p w14:paraId="072622A5" w14:textId="77777777" w:rsidR="0077482D" w:rsidRDefault="0077482D" w:rsidP="0077482D">
      <w:pPr>
        <w:pStyle w:val="co"/>
        <w:spacing w:before="0" w:beforeAutospacing="0" w:after="0" w:afterAutospacing="0"/>
        <w:jc w:val="both"/>
        <w:rPr>
          <w:i/>
          <w:iCs/>
          <w:color w:val="000000"/>
        </w:rPr>
      </w:pPr>
      <w:r>
        <w:rPr>
          <w:i/>
          <w:iCs/>
          <w:color w:val="000000"/>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14:paraId="5D0BD49A" w14:textId="77777777" w:rsidR="0077482D" w:rsidRDefault="0077482D" w:rsidP="0077482D">
      <w:pPr>
        <w:pStyle w:val="cm"/>
        <w:spacing w:before="0" w:beforeAutospacing="0" w:after="0" w:afterAutospacing="0"/>
        <w:jc w:val="both"/>
        <w:rPr>
          <w:color w:val="000000"/>
        </w:rPr>
      </w:pPr>
      <w:r>
        <w:rPr>
          <w:color w:val="000000"/>
        </w:rPr>
        <w:t> </w:t>
      </w:r>
    </w:p>
    <w:p w14:paraId="29E80EC9" w14:textId="77777777" w:rsidR="0077482D" w:rsidRDefault="0077482D" w:rsidP="0077482D">
      <w:pPr>
        <w:pStyle w:val="cm"/>
        <w:spacing w:before="0" w:beforeAutospacing="0" w:after="0" w:afterAutospacing="0"/>
        <w:jc w:val="both"/>
        <w:rPr>
          <w:color w:val="000000"/>
        </w:rPr>
      </w:pPr>
      <w:r>
        <w:rPr>
          <w:color w:val="000000"/>
        </w:rPr>
        <w:t>For further information, please contact:</w:t>
      </w:r>
    </w:p>
    <w:p w14:paraId="468BEBA4" w14:textId="77777777" w:rsidR="0077482D" w:rsidRDefault="0077482D" w:rsidP="0077482D">
      <w:pPr>
        <w:pStyle w:val="cm"/>
        <w:spacing w:before="0" w:beforeAutospacing="0" w:after="0" w:afterAutospacing="0"/>
        <w:jc w:val="both"/>
        <w:rPr>
          <w:color w:val="000000"/>
        </w:rPr>
      </w:pPr>
      <w:r>
        <w:rPr>
          <w:color w:val="000000"/>
        </w:rPr>
        <w:t> </w:t>
      </w:r>
    </w:p>
    <w:p w14:paraId="00DBDC62" w14:textId="541A87B4" w:rsidR="0077482D" w:rsidRDefault="0077482D" w:rsidP="0077482D">
      <w:pPr>
        <w:pStyle w:val="cm"/>
        <w:spacing w:before="0" w:beforeAutospacing="0" w:after="0" w:afterAutospacing="0"/>
        <w:jc w:val="both"/>
        <w:rPr>
          <w:color w:val="000000"/>
        </w:rPr>
      </w:pPr>
      <w:r>
        <w:rPr>
          <w:color w:val="000000"/>
        </w:rPr>
        <w:t>Scott Forrest</w:t>
      </w:r>
    </w:p>
    <w:p w14:paraId="0DA23B00" w14:textId="3F77610D" w:rsidR="0077482D" w:rsidRDefault="0077482D" w:rsidP="0077482D">
      <w:pPr>
        <w:pStyle w:val="cm"/>
        <w:spacing w:before="0" w:beforeAutospacing="0" w:after="0" w:afterAutospacing="0"/>
        <w:jc w:val="both"/>
        <w:rPr>
          <w:color w:val="000000"/>
        </w:rPr>
      </w:pPr>
      <w:r>
        <w:rPr>
          <w:color w:val="000000"/>
        </w:rPr>
        <w:t>Head of NatWest Treasury DCM</w:t>
      </w:r>
    </w:p>
    <w:p w14:paraId="23BE269A" w14:textId="77777777" w:rsidR="0077482D" w:rsidRDefault="0077482D" w:rsidP="0077482D">
      <w:pPr>
        <w:pStyle w:val="cm"/>
        <w:spacing w:before="0" w:beforeAutospacing="0" w:after="0" w:afterAutospacing="0"/>
        <w:jc w:val="both"/>
        <w:rPr>
          <w:color w:val="000000"/>
        </w:rPr>
      </w:pPr>
      <w:r>
        <w:rPr>
          <w:color w:val="000000"/>
        </w:rPr>
        <w:t>NatWest Group plc</w:t>
      </w:r>
    </w:p>
    <w:p w14:paraId="50DB9861" w14:textId="18D4E8DF" w:rsidR="0077482D" w:rsidRDefault="0077482D" w:rsidP="0077482D">
      <w:pPr>
        <w:pStyle w:val="cm"/>
        <w:spacing w:before="0" w:beforeAutospacing="0" w:after="0" w:afterAutospacing="0"/>
        <w:jc w:val="both"/>
        <w:rPr>
          <w:color w:val="000000"/>
        </w:rPr>
      </w:pPr>
      <w:r>
        <w:rPr>
          <w:color w:val="000000"/>
        </w:rPr>
        <w:t>Tel: +44 (0)7747 455969</w:t>
      </w:r>
    </w:p>
    <w:p w14:paraId="1371ACCD" w14:textId="77777777" w:rsidR="0077482D" w:rsidRDefault="0077482D" w:rsidP="0077482D">
      <w:pPr>
        <w:pStyle w:val="cm"/>
        <w:spacing w:before="0" w:beforeAutospacing="0" w:after="0" w:afterAutospacing="0"/>
        <w:jc w:val="both"/>
        <w:rPr>
          <w:color w:val="000000"/>
        </w:rPr>
      </w:pPr>
      <w:r>
        <w:rPr>
          <w:color w:val="000000"/>
        </w:rPr>
        <w:t> </w:t>
      </w:r>
    </w:p>
    <w:p w14:paraId="0AFEF151" w14:textId="77777777" w:rsidR="0077482D" w:rsidRDefault="0077482D" w:rsidP="0077482D">
      <w:pPr>
        <w:pStyle w:val="cp"/>
        <w:spacing w:before="0" w:beforeAutospacing="0" w:after="240" w:afterAutospacing="0"/>
        <w:rPr>
          <w:color w:val="000000"/>
        </w:rPr>
      </w:pPr>
      <w:r>
        <w:rPr>
          <w:rStyle w:val="cg"/>
          <w:rFonts w:ascii="Arial" w:hAnsi="Arial" w:cs="Arial"/>
          <w:color w:val="000000"/>
          <w:sz w:val="16"/>
          <w:szCs w:val="16"/>
        </w:rPr>
        <w:t>Legal Entity Identifier:  2138005O9XJIJN4JPN90</w:t>
      </w:r>
    </w:p>
    <w:p w14:paraId="717C76C8" w14:textId="77777777" w:rsidR="0077482D" w:rsidRDefault="0077482D" w:rsidP="0077482D"/>
    <w:p w14:paraId="686967B8" w14:textId="77777777" w:rsidR="00471DA2" w:rsidRPr="0077482D" w:rsidRDefault="00471DA2" w:rsidP="0077482D"/>
    <w:sectPr w:rsidR="00471DA2" w:rsidRPr="0077482D">
      <w:headerReference w:type="even" r:id="rId6"/>
      <w:headerReference w:type="default" r:id="rId7"/>
      <w:footerReference w:type="even" r:id="rId8"/>
      <w:footerReference w:type="default" r:id="rId9"/>
      <w:headerReference w:type="first" r:id="rId10"/>
      <w:footerReference w:type="first" r:id="rId11"/>
      <w:type w:val="continuous"/>
      <w:pgSz w:w="11910" w:h="16830"/>
      <w:pgMar w:top="1600" w:right="134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EB30" w14:textId="77777777" w:rsidR="00471DA2" w:rsidRDefault="00471DA2" w:rsidP="00471DA2">
      <w:r>
        <w:separator/>
      </w:r>
    </w:p>
  </w:endnote>
  <w:endnote w:type="continuationSeparator" w:id="0">
    <w:p w14:paraId="5F6DB0FF" w14:textId="77777777" w:rsidR="00471DA2" w:rsidRDefault="00471DA2" w:rsidP="0047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0827" w14:textId="77777777" w:rsidR="007623EB" w:rsidRDefault="0076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7120" w14:textId="77777777" w:rsidR="00471DA2" w:rsidRDefault="00471DA2" w:rsidP="00471DA2">
    <w:pPr>
      <w:pStyle w:val="Footer"/>
    </w:pPr>
  </w:p>
  <w:p w14:paraId="4EABB41D" w14:textId="65F5F8C3" w:rsidR="00471DA2" w:rsidRPr="00471DA2" w:rsidRDefault="00471DA2" w:rsidP="00471DA2">
    <w:pPr>
      <w:tabs>
        <w:tab w:val="right" w:pos="9200"/>
      </w:tabs>
      <w:rPr>
        <w:rFonts w:ascii="Times New Roman" w:hAnsi="Times New Roman" w:cs="Times New Roman"/>
        <w:sz w:val="15"/>
      </w:rPr>
    </w:pPr>
    <w:r w:rsidRPr="00471DA2">
      <w:rPr>
        <w:rFonts w:ascii="Times New Roman" w:hAnsi="Times New Roman" w:cs="Times New Roman"/>
        <w:sz w:val="14"/>
      </w:rPr>
      <w:fldChar w:fldCharType="begin"/>
    </w:r>
    <w:r w:rsidRPr="00471DA2">
      <w:rPr>
        <w:rFonts w:ascii="Times New Roman" w:hAnsi="Times New Roman" w:cs="Times New Roman"/>
        <w:sz w:val="14"/>
      </w:rPr>
      <w:instrText xml:space="preserve"> DOCPROPERTY DPWPathText \* MERGEFORMAT </w:instrText>
    </w:r>
    <w:r w:rsidRPr="00471DA2">
      <w:rPr>
        <w:rFonts w:ascii="Times New Roman" w:hAnsi="Times New Roman" w:cs="Times New Roman"/>
        <w:sz w:val="14"/>
      </w:rPr>
      <w:fldChar w:fldCharType="separate"/>
    </w:r>
    <w:r w:rsidR="006D2F7A">
      <w:rPr>
        <w:rFonts w:ascii="Times New Roman" w:hAnsi="Times New Roman" w:cs="Times New Roman"/>
        <w:sz w:val="14"/>
      </w:rPr>
      <w:t>#22251421v3</w:t>
    </w:r>
    <w:r w:rsidRPr="00471DA2">
      <w:rPr>
        <w:rFonts w:ascii="Times New Roman" w:hAnsi="Times New Roman" w:cs="Times New Roman"/>
        <w:sz w:val="14"/>
      </w:rPr>
      <w:fldChar w:fldCharType="end"/>
    </w:r>
    <w:r w:rsidRPr="00471DA2">
      <w:rPr>
        <w:rFonts w:ascii="Times New Roman" w:hAnsi="Times New Roman" w:cs="Times New Roman"/>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A0E7" w14:textId="77777777" w:rsidR="00471DA2" w:rsidRDefault="00471DA2" w:rsidP="00471DA2">
    <w:pPr>
      <w:pStyle w:val="Footer"/>
    </w:pPr>
  </w:p>
  <w:p w14:paraId="77989462" w14:textId="6780F94D" w:rsidR="00471DA2" w:rsidRPr="00471DA2" w:rsidRDefault="00471DA2" w:rsidP="00471DA2">
    <w:pPr>
      <w:tabs>
        <w:tab w:val="right" w:pos="9200"/>
      </w:tabs>
      <w:rPr>
        <w:rFonts w:ascii="Times New Roman" w:hAnsi="Times New Roman" w:cs="Times New Roman"/>
        <w:sz w:val="15"/>
      </w:rPr>
    </w:pPr>
    <w:r w:rsidRPr="00471DA2">
      <w:rPr>
        <w:rFonts w:ascii="Times New Roman" w:hAnsi="Times New Roman" w:cs="Times New Roman"/>
        <w:sz w:val="14"/>
      </w:rPr>
      <w:fldChar w:fldCharType="begin"/>
    </w:r>
    <w:r w:rsidRPr="00471DA2">
      <w:rPr>
        <w:rFonts w:ascii="Times New Roman" w:hAnsi="Times New Roman" w:cs="Times New Roman"/>
        <w:sz w:val="14"/>
      </w:rPr>
      <w:instrText xml:space="preserve"> DOCPROPERTY DPWPathText \* MERGEFORMAT </w:instrText>
    </w:r>
    <w:r w:rsidRPr="00471DA2">
      <w:rPr>
        <w:rFonts w:ascii="Times New Roman" w:hAnsi="Times New Roman" w:cs="Times New Roman"/>
        <w:sz w:val="14"/>
      </w:rPr>
      <w:fldChar w:fldCharType="separate"/>
    </w:r>
    <w:r w:rsidR="006D2F7A">
      <w:rPr>
        <w:rFonts w:ascii="Times New Roman" w:hAnsi="Times New Roman" w:cs="Times New Roman"/>
        <w:sz w:val="14"/>
      </w:rPr>
      <w:t>#22251421v3</w:t>
    </w:r>
    <w:r w:rsidRPr="00471DA2">
      <w:rPr>
        <w:rFonts w:ascii="Times New Roman" w:hAnsi="Times New Roman" w:cs="Times New Roman"/>
        <w:sz w:val="14"/>
      </w:rPr>
      <w:fldChar w:fldCharType="end"/>
    </w:r>
    <w:r w:rsidRPr="00471DA2">
      <w:rPr>
        <w:rFonts w:ascii="Times New Roman" w:hAnsi="Times New Roman" w:cs="Times New Roman"/>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86B1" w14:textId="77777777" w:rsidR="00471DA2" w:rsidRDefault="00471DA2" w:rsidP="00471DA2">
      <w:r>
        <w:separator/>
      </w:r>
    </w:p>
  </w:footnote>
  <w:footnote w:type="continuationSeparator" w:id="0">
    <w:p w14:paraId="66579B7E" w14:textId="77777777" w:rsidR="00471DA2" w:rsidRDefault="00471DA2" w:rsidP="0047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CA45" w14:textId="77777777" w:rsidR="007623EB" w:rsidRDefault="00762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7493" w14:textId="77777777" w:rsidR="007623EB" w:rsidRDefault="0076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14B9" w14:textId="77777777" w:rsidR="007623EB" w:rsidRDefault="00762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5"/>
    <w:rsid w:val="0001707A"/>
    <w:rsid w:val="000334E6"/>
    <w:rsid w:val="001B3E6B"/>
    <w:rsid w:val="001F7DF0"/>
    <w:rsid w:val="00242AF9"/>
    <w:rsid w:val="002927AB"/>
    <w:rsid w:val="00295E4D"/>
    <w:rsid w:val="002C561E"/>
    <w:rsid w:val="002E5175"/>
    <w:rsid w:val="003454E3"/>
    <w:rsid w:val="00380008"/>
    <w:rsid w:val="00396742"/>
    <w:rsid w:val="003C25BD"/>
    <w:rsid w:val="00471DA2"/>
    <w:rsid w:val="004B05D7"/>
    <w:rsid w:val="00545D8A"/>
    <w:rsid w:val="00580B4E"/>
    <w:rsid w:val="005A4EAA"/>
    <w:rsid w:val="005B6A11"/>
    <w:rsid w:val="005B740D"/>
    <w:rsid w:val="005D2C36"/>
    <w:rsid w:val="005E50CE"/>
    <w:rsid w:val="00606C92"/>
    <w:rsid w:val="006169D0"/>
    <w:rsid w:val="00651F5C"/>
    <w:rsid w:val="0069210F"/>
    <w:rsid w:val="006D2F7A"/>
    <w:rsid w:val="006E1690"/>
    <w:rsid w:val="006F1C01"/>
    <w:rsid w:val="007623EB"/>
    <w:rsid w:val="00764875"/>
    <w:rsid w:val="0077482D"/>
    <w:rsid w:val="007934D4"/>
    <w:rsid w:val="007B5795"/>
    <w:rsid w:val="007F7597"/>
    <w:rsid w:val="00815240"/>
    <w:rsid w:val="008235BA"/>
    <w:rsid w:val="008459D1"/>
    <w:rsid w:val="00854D80"/>
    <w:rsid w:val="00887833"/>
    <w:rsid w:val="008B1704"/>
    <w:rsid w:val="008D55CE"/>
    <w:rsid w:val="008E39BC"/>
    <w:rsid w:val="008F2598"/>
    <w:rsid w:val="00910B75"/>
    <w:rsid w:val="0095559E"/>
    <w:rsid w:val="00994655"/>
    <w:rsid w:val="009B0C61"/>
    <w:rsid w:val="009F356A"/>
    <w:rsid w:val="00A1757B"/>
    <w:rsid w:val="00A305F8"/>
    <w:rsid w:val="00A87B3F"/>
    <w:rsid w:val="00AE1198"/>
    <w:rsid w:val="00AF5408"/>
    <w:rsid w:val="00B10214"/>
    <w:rsid w:val="00B473DB"/>
    <w:rsid w:val="00BC2CC1"/>
    <w:rsid w:val="00BE3FA0"/>
    <w:rsid w:val="00BE51F1"/>
    <w:rsid w:val="00BF7B81"/>
    <w:rsid w:val="00C021C1"/>
    <w:rsid w:val="00C3481D"/>
    <w:rsid w:val="00C56FF7"/>
    <w:rsid w:val="00C83434"/>
    <w:rsid w:val="00CB742E"/>
    <w:rsid w:val="00D45E49"/>
    <w:rsid w:val="00D92331"/>
    <w:rsid w:val="00D95428"/>
    <w:rsid w:val="00DA0497"/>
    <w:rsid w:val="00E15DEB"/>
    <w:rsid w:val="00E22EA9"/>
    <w:rsid w:val="00E83F3D"/>
    <w:rsid w:val="00E83F52"/>
    <w:rsid w:val="00EA6757"/>
    <w:rsid w:val="00EE2296"/>
    <w:rsid w:val="00F0129D"/>
    <w:rsid w:val="00F74E09"/>
    <w:rsid w:val="00FC14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37D05D"/>
  <w15:docId w15:val="{5C256018-1683-4CD2-BF89-5E8BD437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semiHidden/>
    <w:qFormat/>
  </w:style>
  <w:style w:type="paragraph" w:customStyle="1" w:styleId="TableParagraph">
    <w:name w:val="Table Paragraph"/>
    <w:basedOn w:val="Normal"/>
    <w:uiPriority w:val="1"/>
    <w:qFormat/>
  </w:style>
  <w:style w:type="character" w:styleId="SubtleEmphasis">
    <w:name w:val="Subtle Emphasis"/>
    <w:basedOn w:val="DefaultParagraphFont"/>
    <w:uiPriority w:val="19"/>
    <w:semiHidden/>
    <w:qFormat/>
    <w:rsid w:val="00471DA2"/>
    <w:rPr>
      <w:i/>
      <w:iCs/>
      <w:color w:val="404040" w:themeColor="text1" w:themeTint="BF"/>
    </w:rPr>
  </w:style>
  <w:style w:type="character" w:styleId="Emphasis">
    <w:name w:val="Emphasis"/>
    <w:basedOn w:val="DefaultParagraphFont"/>
    <w:uiPriority w:val="20"/>
    <w:semiHidden/>
    <w:qFormat/>
    <w:rsid w:val="00471DA2"/>
    <w:rPr>
      <w:i/>
      <w:iCs/>
    </w:rPr>
  </w:style>
  <w:style w:type="character" w:styleId="IntenseEmphasis">
    <w:name w:val="Intense Emphasis"/>
    <w:basedOn w:val="DefaultParagraphFont"/>
    <w:uiPriority w:val="21"/>
    <w:semiHidden/>
    <w:qFormat/>
    <w:rsid w:val="00471DA2"/>
    <w:rPr>
      <w:i/>
      <w:iCs/>
      <w:color w:val="4F81BD" w:themeColor="accent1"/>
    </w:rPr>
  </w:style>
  <w:style w:type="character" w:styleId="Strong">
    <w:name w:val="Strong"/>
    <w:basedOn w:val="DefaultParagraphFont"/>
    <w:uiPriority w:val="22"/>
    <w:semiHidden/>
    <w:qFormat/>
    <w:rsid w:val="00471DA2"/>
    <w:rPr>
      <w:b/>
      <w:bCs/>
    </w:rPr>
  </w:style>
  <w:style w:type="paragraph" w:styleId="Quote">
    <w:name w:val="Quote"/>
    <w:basedOn w:val="Normal"/>
    <w:next w:val="Normal"/>
    <w:link w:val="QuoteChar"/>
    <w:uiPriority w:val="29"/>
    <w:semiHidden/>
    <w:qFormat/>
    <w:rsid w:val="00471D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1DA2"/>
    <w:rPr>
      <w:rFonts w:ascii="Arial" w:eastAsia="Arial" w:hAnsi="Arial" w:cs="Arial"/>
      <w:i/>
      <w:iCs/>
      <w:color w:val="404040" w:themeColor="text1" w:themeTint="BF"/>
    </w:rPr>
  </w:style>
  <w:style w:type="paragraph" w:styleId="IntenseQuote">
    <w:name w:val="Intense Quote"/>
    <w:basedOn w:val="Normal"/>
    <w:next w:val="Normal"/>
    <w:link w:val="IntenseQuoteChar"/>
    <w:uiPriority w:val="30"/>
    <w:semiHidden/>
    <w:qFormat/>
    <w:rsid w:val="00471D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71DA2"/>
    <w:rPr>
      <w:rFonts w:ascii="Arial" w:eastAsia="Arial" w:hAnsi="Arial" w:cs="Arial"/>
      <w:i/>
      <w:iCs/>
      <w:color w:val="4F81BD" w:themeColor="accent1"/>
    </w:rPr>
  </w:style>
  <w:style w:type="character" w:styleId="SubtleReference">
    <w:name w:val="Subtle Reference"/>
    <w:basedOn w:val="DefaultParagraphFont"/>
    <w:uiPriority w:val="31"/>
    <w:semiHidden/>
    <w:qFormat/>
    <w:rsid w:val="00471DA2"/>
    <w:rPr>
      <w:smallCaps/>
      <w:color w:val="5A5A5A" w:themeColor="text1" w:themeTint="A5"/>
    </w:rPr>
  </w:style>
  <w:style w:type="character" w:styleId="IntenseReference">
    <w:name w:val="Intense Reference"/>
    <w:basedOn w:val="DefaultParagraphFont"/>
    <w:uiPriority w:val="32"/>
    <w:semiHidden/>
    <w:qFormat/>
    <w:rsid w:val="00471DA2"/>
    <w:rPr>
      <w:b/>
      <w:bCs/>
      <w:smallCaps/>
      <w:color w:val="4F81BD" w:themeColor="accent1"/>
      <w:spacing w:val="5"/>
    </w:rPr>
  </w:style>
  <w:style w:type="character" w:styleId="BookTitle">
    <w:name w:val="Book Title"/>
    <w:basedOn w:val="DefaultParagraphFont"/>
    <w:uiPriority w:val="33"/>
    <w:semiHidden/>
    <w:qFormat/>
    <w:rsid w:val="00471DA2"/>
    <w:rPr>
      <w:b/>
      <w:bCs/>
      <w:i/>
      <w:iCs/>
      <w:spacing w:val="5"/>
    </w:rPr>
  </w:style>
  <w:style w:type="paragraph" w:styleId="Header">
    <w:name w:val="header"/>
    <w:basedOn w:val="Normal"/>
    <w:link w:val="HeaderChar"/>
    <w:uiPriority w:val="99"/>
    <w:unhideWhenUsed/>
    <w:rsid w:val="00471DA2"/>
    <w:pPr>
      <w:tabs>
        <w:tab w:val="center" w:pos="4680"/>
        <w:tab w:val="right" w:pos="9360"/>
      </w:tabs>
    </w:pPr>
  </w:style>
  <w:style w:type="character" w:customStyle="1" w:styleId="HeaderChar">
    <w:name w:val="Header Char"/>
    <w:basedOn w:val="DefaultParagraphFont"/>
    <w:link w:val="Header"/>
    <w:uiPriority w:val="99"/>
    <w:rsid w:val="00471DA2"/>
    <w:rPr>
      <w:rFonts w:ascii="Arial" w:eastAsia="Arial" w:hAnsi="Arial" w:cs="Arial"/>
    </w:rPr>
  </w:style>
  <w:style w:type="paragraph" w:styleId="Footer">
    <w:name w:val="footer"/>
    <w:basedOn w:val="Normal"/>
    <w:link w:val="FooterChar"/>
    <w:uiPriority w:val="99"/>
    <w:unhideWhenUsed/>
    <w:rsid w:val="00471DA2"/>
    <w:pPr>
      <w:tabs>
        <w:tab w:val="center" w:pos="4680"/>
        <w:tab w:val="right" w:pos="9360"/>
      </w:tabs>
    </w:pPr>
  </w:style>
  <w:style w:type="character" w:customStyle="1" w:styleId="FooterChar">
    <w:name w:val="Footer Char"/>
    <w:basedOn w:val="DefaultParagraphFont"/>
    <w:link w:val="Footer"/>
    <w:uiPriority w:val="99"/>
    <w:rsid w:val="00471DA2"/>
    <w:rPr>
      <w:rFonts w:ascii="Arial" w:eastAsia="Arial" w:hAnsi="Arial" w:cs="Arial"/>
    </w:rPr>
  </w:style>
  <w:style w:type="paragraph" w:customStyle="1" w:styleId="cl">
    <w:name w:val="cl"/>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m">
    <w:name w:val="cm"/>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n">
    <w:name w:val="cn"/>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by">
    <w:name w:val="by"/>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o">
    <w:name w:val="co"/>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p">
    <w:name w:val="cp"/>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character" w:customStyle="1" w:styleId="cg">
    <w:name w:val="cg"/>
    <w:basedOn w:val="DefaultParagraphFont"/>
    <w:rsid w:val="0091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7211">
      <w:bodyDiv w:val="1"/>
      <w:marLeft w:val="0"/>
      <w:marRight w:val="0"/>
      <w:marTop w:val="0"/>
      <w:marBottom w:val="0"/>
      <w:divBdr>
        <w:top w:val="none" w:sz="0" w:space="0" w:color="auto"/>
        <w:left w:val="none" w:sz="0" w:space="0" w:color="auto"/>
        <w:bottom w:val="none" w:sz="0" w:space="0" w:color="auto"/>
        <w:right w:val="none" w:sz="0" w:space="0" w:color="auto"/>
      </w:divBdr>
    </w:div>
    <w:div w:id="103881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Davis Polk &amp; Wardwell</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poonjen</dc:creator>
  <cp:lastModifiedBy>Anwender, Mark (Natwest Treasury)</cp:lastModifiedBy>
  <cp:revision>3</cp:revision>
  <dcterms:created xsi:type="dcterms:W3CDTF">2024-08-13T09:12:00Z</dcterms:created>
  <dcterms:modified xsi:type="dcterms:W3CDTF">2024-08-13T09:13:00Z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Canon iR-ADV C5255  PDF</vt:lpwstr>
  </property>
  <property fmtid="{D5CDD505-2E9C-101B-9397-08002B2CF9AE}" pid="4" name="LastSaved">
    <vt:filetime>2019-03-13T00:00:00Z</vt:filetime>
  </property>
  <property fmtid="{D5CDD505-2E9C-101B-9397-08002B2CF9AE}" pid="6" name="_NewReviewCycle">
    <vt:lpwstr/>
  </property>
  <property fmtid="{D5CDD505-2E9C-101B-9397-08002B2CF9AE}" pid="11" name="DPWPathText">
    <vt:lpwstr>#22251421v3</vt:lpwstr>
  </property>
</Properties>
</file>