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9" w:type="dxa"/>
        <w:tblInd w:w="108" w:type="dxa"/>
        <w:tblLayout w:type="fixed"/>
        <w:tblLook w:val="0000" w:firstRow="0" w:lastRow="0" w:firstColumn="0" w:lastColumn="0" w:noHBand="0" w:noVBand="0"/>
      </w:tblPr>
      <w:tblGrid>
        <w:gridCol w:w="1843"/>
        <w:gridCol w:w="7796"/>
      </w:tblGrid>
      <w:tr w:rsidR="00230FD7" w:rsidRPr="00C334F5" w14:paraId="53E28E07" w14:textId="77777777" w:rsidTr="008D4E97">
        <w:tc>
          <w:tcPr>
            <w:tcW w:w="1843" w:type="dxa"/>
          </w:tcPr>
          <w:p w14:paraId="588F46A5" w14:textId="77777777" w:rsidR="00230FD7" w:rsidRPr="00784DDC" w:rsidRDefault="00230FD7" w:rsidP="008D4E97">
            <w:pPr>
              <w:pStyle w:val="Title"/>
              <w:rPr>
                <w:rFonts w:cs="Arial"/>
                <w:sz w:val="20"/>
              </w:rPr>
            </w:pPr>
          </w:p>
        </w:tc>
        <w:tc>
          <w:tcPr>
            <w:tcW w:w="7796" w:type="dxa"/>
            <w:shd w:val="clear" w:color="auto" w:fill="auto"/>
          </w:tcPr>
          <w:p w14:paraId="0B9619B0" w14:textId="77777777" w:rsidR="00230FD7" w:rsidRPr="00926C97" w:rsidRDefault="00230FD7" w:rsidP="008D4E97">
            <w:pPr>
              <w:jc w:val="center"/>
              <w:rPr>
                <w:rFonts w:ascii="Arial" w:hAnsi="Arial" w:cs="Arial"/>
                <w:b/>
                <w:sz w:val="20"/>
              </w:rPr>
            </w:pPr>
            <w:r w:rsidRPr="00926C97">
              <w:rPr>
                <w:rFonts w:ascii="Arial" w:hAnsi="Arial" w:cs="Arial"/>
                <w:b/>
                <w:sz w:val="20"/>
              </w:rPr>
              <w:t>The Vitec Group plc</w:t>
            </w:r>
          </w:p>
          <w:p w14:paraId="18641E13" w14:textId="77777777" w:rsidR="00230FD7" w:rsidRPr="00926C97" w:rsidRDefault="00230FD7" w:rsidP="008D4E97">
            <w:pPr>
              <w:jc w:val="center"/>
              <w:rPr>
                <w:rFonts w:ascii="Arial" w:hAnsi="Arial" w:cs="Arial"/>
                <w:b/>
                <w:sz w:val="20"/>
                <w:highlight w:val="yellow"/>
              </w:rPr>
            </w:pPr>
          </w:p>
        </w:tc>
      </w:tr>
      <w:tr w:rsidR="00230FD7" w:rsidRPr="00C334F5" w14:paraId="75E7DA50" w14:textId="77777777" w:rsidTr="008D4E97">
        <w:trPr>
          <w:trHeight w:val="344"/>
        </w:trPr>
        <w:tc>
          <w:tcPr>
            <w:tcW w:w="1843" w:type="dxa"/>
          </w:tcPr>
          <w:p w14:paraId="356F7531" w14:textId="77777777" w:rsidR="00230FD7" w:rsidRPr="00463E45" w:rsidRDefault="00230FD7" w:rsidP="008D4E97">
            <w:pPr>
              <w:rPr>
                <w:rFonts w:ascii="Arial" w:hAnsi="Arial" w:cs="Arial"/>
                <w:sz w:val="20"/>
              </w:rPr>
            </w:pPr>
          </w:p>
        </w:tc>
        <w:tc>
          <w:tcPr>
            <w:tcW w:w="7796" w:type="dxa"/>
          </w:tcPr>
          <w:p w14:paraId="0FEF99B1" w14:textId="77777777" w:rsidR="00230FD7" w:rsidRPr="00463E45" w:rsidRDefault="00230FD7" w:rsidP="008D4E97">
            <w:pPr>
              <w:rPr>
                <w:rFonts w:ascii="Arial" w:hAnsi="Arial" w:cs="Arial"/>
                <w:b/>
                <w:sz w:val="20"/>
              </w:rPr>
            </w:pPr>
          </w:p>
        </w:tc>
      </w:tr>
      <w:tr w:rsidR="00230FD7" w:rsidRPr="00C334F5" w14:paraId="7B2CFCB6" w14:textId="77777777" w:rsidTr="008D4E97">
        <w:tc>
          <w:tcPr>
            <w:tcW w:w="1843" w:type="dxa"/>
          </w:tcPr>
          <w:p w14:paraId="5AAF260C" w14:textId="77777777" w:rsidR="00230FD7" w:rsidRPr="00463E45" w:rsidRDefault="00230FD7" w:rsidP="008D4E97">
            <w:pPr>
              <w:jc w:val="center"/>
              <w:rPr>
                <w:rFonts w:ascii="Arial" w:hAnsi="Arial" w:cs="Arial"/>
                <w:sz w:val="20"/>
              </w:rPr>
            </w:pPr>
          </w:p>
        </w:tc>
        <w:tc>
          <w:tcPr>
            <w:tcW w:w="7796" w:type="dxa"/>
            <w:shd w:val="clear" w:color="auto" w:fill="auto"/>
          </w:tcPr>
          <w:p w14:paraId="0C538549" w14:textId="7314401C" w:rsidR="00230FD7" w:rsidRPr="00463E45" w:rsidRDefault="00230FD7" w:rsidP="008D4E97">
            <w:pPr>
              <w:pStyle w:val="Footer"/>
              <w:tabs>
                <w:tab w:val="clear" w:pos="4153"/>
                <w:tab w:val="clear" w:pos="8306"/>
              </w:tabs>
              <w:rPr>
                <w:rFonts w:cs="Arial"/>
                <w:b/>
                <w:sz w:val="20"/>
              </w:rPr>
            </w:pPr>
            <w:r w:rsidRPr="00463E45">
              <w:rPr>
                <w:rFonts w:cs="Arial"/>
                <w:b/>
                <w:sz w:val="20"/>
              </w:rPr>
              <w:t>Extract of the Minutes of the Annual General Meeting of the Company for 20</w:t>
            </w:r>
            <w:r>
              <w:rPr>
                <w:rFonts w:cs="Arial"/>
                <w:b/>
                <w:sz w:val="20"/>
              </w:rPr>
              <w:t>21</w:t>
            </w:r>
            <w:r w:rsidRPr="00463E45">
              <w:rPr>
                <w:rFonts w:cs="Arial"/>
                <w:b/>
                <w:sz w:val="20"/>
              </w:rPr>
              <w:t xml:space="preserve"> held on </w:t>
            </w:r>
            <w:r>
              <w:rPr>
                <w:rFonts w:cs="Arial"/>
                <w:b/>
                <w:sz w:val="20"/>
              </w:rPr>
              <w:t>Thursd</w:t>
            </w:r>
            <w:r w:rsidRPr="00463E45">
              <w:rPr>
                <w:rFonts w:cs="Arial"/>
                <w:b/>
                <w:sz w:val="20"/>
              </w:rPr>
              <w:t xml:space="preserve">ay, </w:t>
            </w:r>
            <w:r>
              <w:rPr>
                <w:rFonts w:cs="Arial"/>
                <w:b/>
                <w:sz w:val="20"/>
              </w:rPr>
              <w:t>6</w:t>
            </w:r>
            <w:r w:rsidRPr="00463E45">
              <w:rPr>
                <w:rFonts w:cs="Arial"/>
                <w:b/>
                <w:sz w:val="20"/>
              </w:rPr>
              <w:t xml:space="preserve"> May 20</w:t>
            </w:r>
            <w:r>
              <w:rPr>
                <w:rFonts w:cs="Arial"/>
                <w:b/>
                <w:sz w:val="20"/>
              </w:rPr>
              <w:t>21</w:t>
            </w:r>
            <w:r w:rsidRPr="00463E45">
              <w:rPr>
                <w:rFonts w:cs="Arial"/>
                <w:b/>
                <w:sz w:val="20"/>
              </w:rPr>
              <w:t xml:space="preserve"> at </w:t>
            </w:r>
            <w:r>
              <w:rPr>
                <w:rFonts w:cs="Arial"/>
                <w:b/>
                <w:sz w:val="20"/>
              </w:rPr>
              <w:t xml:space="preserve">Bridge House, Heron Square, Richmond, TW9 1EN </w:t>
            </w:r>
            <w:r w:rsidRPr="00463E45">
              <w:rPr>
                <w:rFonts w:cs="Arial"/>
                <w:b/>
                <w:sz w:val="20"/>
              </w:rPr>
              <w:t xml:space="preserve">at </w:t>
            </w:r>
            <w:r>
              <w:rPr>
                <w:rFonts w:cs="Arial"/>
                <w:b/>
                <w:sz w:val="20"/>
              </w:rPr>
              <w:t>11</w:t>
            </w:r>
            <w:r w:rsidRPr="00463E45">
              <w:rPr>
                <w:rFonts w:cs="Arial"/>
                <w:b/>
                <w:sz w:val="20"/>
              </w:rPr>
              <w:t>.</w:t>
            </w:r>
            <w:r>
              <w:rPr>
                <w:rFonts w:cs="Arial"/>
                <w:b/>
                <w:sz w:val="20"/>
              </w:rPr>
              <w:t>0</w:t>
            </w:r>
            <w:r w:rsidRPr="00463E45">
              <w:rPr>
                <w:rFonts w:cs="Arial"/>
                <w:b/>
                <w:sz w:val="20"/>
              </w:rPr>
              <w:t>0</w:t>
            </w:r>
            <w:r>
              <w:rPr>
                <w:rFonts w:cs="Arial"/>
                <w:b/>
                <w:sz w:val="20"/>
              </w:rPr>
              <w:t xml:space="preserve"> am</w:t>
            </w:r>
          </w:p>
        </w:tc>
      </w:tr>
      <w:tr w:rsidR="00230FD7" w:rsidRPr="00C334F5" w14:paraId="66F7FCC7" w14:textId="77777777" w:rsidTr="008D4E97">
        <w:tc>
          <w:tcPr>
            <w:tcW w:w="1843" w:type="dxa"/>
          </w:tcPr>
          <w:p w14:paraId="07E7BEFE" w14:textId="77777777" w:rsidR="00230FD7" w:rsidRDefault="00230FD7" w:rsidP="008D4E97">
            <w:pPr>
              <w:jc w:val="center"/>
              <w:rPr>
                <w:rFonts w:ascii="Arial" w:hAnsi="Arial" w:cs="Arial"/>
                <w:sz w:val="20"/>
                <w:highlight w:val="yellow"/>
              </w:rPr>
            </w:pPr>
          </w:p>
          <w:p w14:paraId="6096C6E6" w14:textId="77777777" w:rsidR="00230FD7" w:rsidRPr="00C334F5" w:rsidRDefault="00230FD7" w:rsidP="008D4E97">
            <w:pPr>
              <w:jc w:val="center"/>
              <w:rPr>
                <w:rFonts w:ascii="Arial" w:hAnsi="Arial" w:cs="Arial"/>
                <w:sz w:val="20"/>
                <w:highlight w:val="yellow"/>
              </w:rPr>
            </w:pPr>
          </w:p>
        </w:tc>
        <w:tc>
          <w:tcPr>
            <w:tcW w:w="7796" w:type="dxa"/>
          </w:tcPr>
          <w:p w14:paraId="13596157" w14:textId="77777777" w:rsidR="00230FD7" w:rsidRPr="00926C97" w:rsidRDefault="00230FD7" w:rsidP="008D4E97">
            <w:pPr>
              <w:jc w:val="center"/>
              <w:rPr>
                <w:rFonts w:ascii="Arial" w:hAnsi="Arial" w:cs="Arial"/>
                <w:b/>
                <w:sz w:val="20"/>
                <w:highlight w:val="yellow"/>
              </w:rPr>
            </w:pPr>
          </w:p>
        </w:tc>
      </w:tr>
      <w:tr w:rsidR="00230FD7" w:rsidRPr="00166DAD" w14:paraId="2059310C" w14:textId="77777777" w:rsidTr="008D4E97">
        <w:tc>
          <w:tcPr>
            <w:tcW w:w="1843" w:type="dxa"/>
          </w:tcPr>
          <w:p w14:paraId="52A944A5" w14:textId="77777777" w:rsidR="00230FD7" w:rsidRPr="00C334F5" w:rsidRDefault="00230FD7" w:rsidP="008D4E97">
            <w:pPr>
              <w:jc w:val="center"/>
              <w:rPr>
                <w:rFonts w:ascii="Arial" w:hAnsi="Arial" w:cs="Arial"/>
                <w:sz w:val="20"/>
                <w:highlight w:val="yellow"/>
              </w:rPr>
            </w:pPr>
          </w:p>
        </w:tc>
        <w:tc>
          <w:tcPr>
            <w:tcW w:w="7796" w:type="dxa"/>
          </w:tcPr>
          <w:p w14:paraId="42BB4C6D" w14:textId="77777777" w:rsidR="00230FD7" w:rsidRDefault="00230FD7" w:rsidP="008D4E97">
            <w:pPr>
              <w:rPr>
                <w:rFonts w:ascii="Arial" w:hAnsi="Arial" w:cs="Arial"/>
                <w:sz w:val="20"/>
              </w:rPr>
            </w:pPr>
            <w:r w:rsidRPr="00926C97">
              <w:rPr>
                <w:rFonts w:ascii="Arial" w:hAnsi="Arial" w:cs="Arial"/>
                <w:sz w:val="20"/>
              </w:rPr>
              <w:t>The following resolution</w:t>
            </w:r>
            <w:r>
              <w:rPr>
                <w:rFonts w:ascii="Arial" w:hAnsi="Arial" w:cs="Arial"/>
                <w:sz w:val="20"/>
              </w:rPr>
              <w:t xml:space="preserve">s were </w:t>
            </w:r>
            <w:r w:rsidRPr="00926C97">
              <w:rPr>
                <w:rFonts w:ascii="Arial" w:hAnsi="Arial" w:cs="Arial"/>
                <w:sz w:val="20"/>
              </w:rPr>
              <w:t>passed as special business:</w:t>
            </w:r>
          </w:p>
          <w:p w14:paraId="266FCD50" w14:textId="77777777" w:rsidR="00230FD7" w:rsidRDefault="00230FD7" w:rsidP="008D4E97">
            <w:pPr>
              <w:rPr>
                <w:rFonts w:ascii="Arial" w:hAnsi="Arial" w:cs="Arial"/>
                <w:sz w:val="20"/>
              </w:rPr>
            </w:pPr>
          </w:p>
          <w:p w14:paraId="2A243621" w14:textId="777EF4E0" w:rsidR="00230FD7" w:rsidRPr="00154929" w:rsidRDefault="00230FD7" w:rsidP="008D4E97">
            <w:pPr>
              <w:tabs>
                <w:tab w:val="left" w:pos="1080"/>
              </w:tabs>
              <w:rPr>
                <w:rFonts w:ascii="Arial" w:hAnsi="Arial" w:cs="Arial"/>
                <w:sz w:val="20"/>
                <w:u w:val="single"/>
              </w:rPr>
            </w:pPr>
            <w:r w:rsidRPr="00154929">
              <w:rPr>
                <w:rFonts w:ascii="Arial" w:hAnsi="Arial" w:cs="Arial"/>
                <w:sz w:val="20"/>
                <w:u w:val="single"/>
              </w:rPr>
              <w:t>Resolution 1</w:t>
            </w:r>
            <w:r w:rsidR="00AA11A1">
              <w:rPr>
                <w:rFonts w:ascii="Arial" w:hAnsi="Arial" w:cs="Arial"/>
                <w:sz w:val="20"/>
                <w:u w:val="single"/>
              </w:rPr>
              <w:t>3</w:t>
            </w:r>
          </w:p>
          <w:p w14:paraId="4A3D4F14" w14:textId="77777777" w:rsidR="00230FD7" w:rsidRPr="00154929" w:rsidRDefault="00230FD7" w:rsidP="008D4E97">
            <w:pPr>
              <w:tabs>
                <w:tab w:val="left" w:pos="1080"/>
              </w:tabs>
              <w:rPr>
                <w:rFonts w:ascii="Arial" w:hAnsi="Arial" w:cs="Arial"/>
                <w:sz w:val="20"/>
                <w:u w:val="single"/>
              </w:rPr>
            </w:pPr>
          </w:p>
          <w:p w14:paraId="14806CF1" w14:textId="77777777" w:rsidR="00AA11A1" w:rsidRPr="00154929" w:rsidRDefault="00230FD7" w:rsidP="00AA11A1">
            <w:pPr>
              <w:tabs>
                <w:tab w:val="left" w:pos="0"/>
                <w:tab w:val="left" w:pos="34"/>
              </w:tabs>
              <w:ind w:left="34" w:hanging="34"/>
              <w:rPr>
                <w:rFonts w:ascii="Arial" w:hAnsi="Arial" w:cs="Arial"/>
                <w:sz w:val="20"/>
              </w:rPr>
            </w:pPr>
            <w:r w:rsidRPr="00154929">
              <w:rPr>
                <w:rFonts w:ascii="Arial" w:hAnsi="Arial" w:cs="Arial"/>
                <w:sz w:val="20"/>
              </w:rPr>
              <w:t>Resolution 1</w:t>
            </w:r>
            <w:r w:rsidR="00AA11A1">
              <w:rPr>
                <w:rFonts w:ascii="Arial" w:hAnsi="Arial" w:cs="Arial"/>
                <w:sz w:val="20"/>
              </w:rPr>
              <w:t>3</w:t>
            </w:r>
            <w:r w:rsidRPr="00154929">
              <w:rPr>
                <w:rFonts w:ascii="Arial" w:hAnsi="Arial" w:cs="Arial"/>
                <w:sz w:val="20"/>
              </w:rPr>
              <w:t xml:space="preserve"> was proposed to the meeting and it was resolved on a poll that </w:t>
            </w:r>
            <w:r w:rsidR="00AA11A1" w:rsidRPr="00154929">
              <w:rPr>
                <w:rFonts w:ascii="Arial" w:hAnsi="Arial" w:cs="Arial"/>
                <w:sz w:val="20"/>
              </w:rPr>
              <w:t>the</w:t>
            </w:r>
            <w:r w:rsidR="00AA11A1">
              <w:rPr>
                <w:rFonts w:ascii="Arial" w:hAnsi="Arial" w:cs="Arial"/>
                <w:sz w:val="20"/>
              </w:rPr>
              <w:t xml:space="preserve"> </w:t>
            </w:r>
            <w:r w:rsidR="00AA11A1" w:rsidRPr="00154929">
              <w:rPr>
                <w:rFonts w:ascii="Arial" w:hAnsi="Arial" w:cs="Arial"/>
                <w:sz w:val="20"/>
              </w:rPr>
              <w:t xml:space="preserve">directors be and they are hereby generally and unconditionally authorised to exercise all the powers of the Company to allot </w:t>
            </w:r>
            <w:r w:rsidR="00AA11A1" w:rsidRPr="00154929">
              <w:rPr>
                <w:rFonts w:ascii="Arial" w:eastAsiaTheme="minorHAnsi" w:hAnsi="Arial" w:cs="Arial"/>
                <w:sz w:val="20"/>
                <w:lang w:eastAsia="en-US"/>
              </w:rPr>
              <w:t>shares in the Company and to grant rights to subscribe for or convert any security into shares in the Company up to a nominal amount of £</w:t>
            </w:r>
            <w:r w:rsidR="00AA11A1">
              <w:rPr>
                <w:rFonts w:ascii="Arial" w:eastAsiaTheme="minorHAnsi" w:hAnsi="Arial" w:cs="Arial"/>
                <w:sz w:val="20"/>
                <w:lang w:eastAsia="en-US"/>
              </w:rPr>
              <w:t>915,555.24</w:t>
            </w:r>
            <w:r w:rsidR="00AA11A1" w:rsidRPr="00154929">
              <w:rPr>
                <w:rFonts w:ascii="Arial" w:eastAsiaTheme="minorHAnsi" w:hAnsi="Arial" w:cs="Arial"/>
                <w:sz w:val="20"/>
                <w:lang w:eastAsia="en-US"/>
              </w:rPr>
              <w:t xml:space="preserve"> </w:t>
            </w:r>
            <w:r w:rsidR="00AA11A1" w:rsidRPr="00154929">
              <w:rPr>
                <w:rFonts w:ascii="Arial" w:hAnsi="Arial" w:cs="Arial"/>
                <w:sz w:val="20"/>
              </w:rPr>
              <w:t xml:space="preserve">so that the Board may impose any limits or restrictions and make any arrangements which it considers necessary or appropriate to deal with treasury shares, fractional entitlements, record dates, legal, regulatory or practical problems in, or under the laws of, any territory or any other matter, such authority to expire at the conclusion of next year’s </w:t>
            </w:r>
            <w:r w:rsidR="00AA11A1">
              <w:rPr>
                <w:rFonts w:ascii="Arial" w:hAnsi="Arial" w:cs="Arial"/>
                <w:sz w:val="20"/>
              </w:rPr>
              <w:t>AGM</w:t>
            </w:r>
            <w:r w:rsidR="00AA11A1" w:rsidRPr="00154929">
              <w:rPr>
                <w:rFonts w:ascii="Arial" w:hAnsi="Arial" w:cs="Arial"/>
                <w:sz w:val="20"/>
              </w:rPr>
              <w:t xml:space="preserve"> (or, if earli</w:t>
            </w:r>
            <w:r w:rsidR="00AA11A1">
              <w:rPr>
                <w:rFonts w:ascii="Arial" w:hAnsi="Arial" w:cs="Arial"/>
                <w:sz w:val="20"/>
              </w:rPr>
              <w:t>er, on the close of business on 5</w:t>
            </w:r>
            <w:r w:rsidR="00AA11A1" w:rsidRPr="00154929">
              <w:rPr>
                <w:rFonts w:ascii="Arial" w:hAnsi="Arial" w:cs="Arial"/>
                <w:sz w:val="20"/>
              </w:rPr>
              <w:t xml:space="preserve"> August 20</w:t>
            </w:r>
            <w:r w:rsidR="00AA11A1">
              <w:rPr>
                <w:rFonts w:ascii="Arial" w:hAnsi="Arial" w:cs="Arial"/>
                <w:sz w:val="20"/>
              </w:rPr>
              <w:t>22</w:t>
            </w:r>
            <w:r w:rsidR="00AA11A1" w:rsidRPr="00154929">
              <w:rPr>
                <w:rFonts w:ascii="Arial" w:hAnsi="Arial" w:cs="Arial"/>
                <w:sz w:val="20"/>
              </w:rPr>
              <w:t>) save that the Company may, before such expiry, make offers and enter into agreements during the relevant period which would, or might, require shares to be allotted or rights to subscribe for or convert securities into shares to be granted after such expiry and the Directors may allot shares or grant rights to subscribe for or convert securities into shares under any such offer or agreement as if the authority had not ended.</w:t>
            </w:r>
          </w:p>
          <w:p w14:paraId="1DE0199E" w14:textId="77777777" w:rsidR="00AA11A1" w:rsidRPr="00154929" w:rsidRDefault="00AA11A1" w:rsidP="00AA11A1">
            <w:pPr>
              <w:tabs>
                <w:tab w:val="left" w:pos="0"/>
                <w:tab w:val="left" w:pos="34"/>
              </w:tabs>
              <w:ind w:left="34" w:hanging="34"/>
              <w:jc w:val="both"/>
              <w:rPr>
                <w:rFonts w:ascii="Arial" w:hAnsi="Arial" w:cs="Arial"/>
                <w:sz w:val="20"/>
              </w:rPr>
            </w:pPr>
          </w:p>
          <w:p w14:paraId="3943817D" w14:textId="77777777" w:rsidR="00AA11A1" w:rsidRPr="00154929" w:rsidRDefault="00AA11A1" w:rsidP="00AA11A1">
            <w:pPr>
              <w:tabs>
                <w:tab w:val="left" w:pos="0"/>
                <w:tab w:val="left" w:pos="34"/>
              </w:tabs>
              <w:ind w:left="34" w:hanging="34"/>
              <w:jc w:val="both"/>
              <w:rPr>
                <w:rFonts w:ascii="Arial" w:hAnsi="Arial" w:cs="Arial"/>
                <w:sz w:val="20"/>
              </w:rPr>
            </w:pPr>
            <w:r w:rsidRPr="00154929">
              <w:rPr>
                <w:rFonts w:ascii="Arial" w:hAnsi="Arial" w:cs="Arial"/>
                <w:sz w:val="20"/>
              </w:rPr>
              <w:t>This resolution shall not authorise the Directors to exercise powers of the Company to allot any equity securities in connection with an offer by way of a rights issue.</w:t>
            </w:r>
          </w:p>
          <w:p w14:paraId="48287D5C" w14:textId="6DCB7000" w:rsidR="00230FD7" w:rsidRDefault="00230FD7" w:rsidP="00AA11A1">
            <w:pPr>
              <w:rPr>
                <w:rFonts w:ascii="Arial" w:hAnsi="Arial" w:cs="Arial"/>
                <w:sz w:val="20"/>
              </w:rPr>
            </w:pPr>
          </w:p>
          <w:p w14:paraId="545E145A" w14:textId="77777777" w:rsidR="00230FD7" w:rsidRDefault="00230FD7" w:rsidP="008D4E97">
            <w:pPr>
              <w:rPr>
                <w:rFonts w:ascii="Arial" w:hAnsi="Arial" w:cs="Arial"/>
                <w:sz w:val="20"/>
              </w:rPr>
            </w:pPr>
          </w:p>
          <w:p w14:paraId="383FAA0C" w14:textId="7B403923" w:rsidR="00230FD7" w:rsidRPr="00154929" w:rsidRDefault="00230FD7" w:rsidP="008D4E97">
            <w:pPr>
              <w:tabs>
                <w:tab w:val="left" w:pos="1080"/>
              </w:tabs>
              <w:rPr>
                <w:rFonts w:ascii="Arial" w:hAnsi="Arial" w:cs="Arial"/>
                <w:sz w:val="20"/>
                <w:u w:val="single"/>
              </w:rPr>
            </w:pPr>
            <w:r w:rsidRPr="00154929">
              <w:rPr>
                <w:rFonts w:ascii="Arial" w:hAnsi="Arial" w:cs="Arial"/>
                <w:sz w:val="20"/>
                <w:u w:val="single"/>
              </w:rPr>
              <w:t>Resolution 1</w:t>
            </w:r>
            <w:r w:rsidR="00AA11A1">
              <w:rPr>
                <w:rFonts w:ascii="Arial" w:hAnsi="Arial" w:cs="Arial"/>
                <w:sz w:val="20"/>
                <w:u w:val="single"/>
              </w:rPr>
              <w:t>4</w:t>
            </w:r>
          </w:p>
          <w:p w14:paraId="7D6B50AB" w14:textId="77777777" w:rsidR="00230FD7" w:rsidRPr="00154929" w:rsidRDefault="00230FD7" w:rsidP="008D4E97">
            <w:pPr>
              <w:tabs>
                <w:tab w:val="left" w:pos="1080"/>
              </w:tabs>
              <w:rPr>
                <w:rFonts w:ascii="Arial" w:hAnsi="Arial" w:cs="Arial"/>
                <w:sz w:val="20"/>
                <w:u w:val="single"/>
              </w:rPr>
            </w:pPr>
          </w:p>
          <w:p w14:paraId="6D10D02A" w14:textId="02EA71C4" w:rsidR="00AA11A1" w:rsidRPr="00154929" w:rsidRDefault="00230FD7" w:rsidP="00AA11A1">
            <w:pPr>
              <w:rPr>
                <w:rFonts w:ascii="Arial" w:hAnsi="Arial" w:cs="Arial"/>
                <w:sz w:val="20"/>
              </w:rPr>
            </w:pPr>
            <w:r w:rsidRPr="00154929">
              <w:rPr>
                <w:rFonts w:ascii="Arial" w:hAnsi="Arial" w:cs="Arial"/>
                <w:sz w:val="20"/>
              </w:rPr>
              <w:t>Resolution 1</w:t>
            </w:r>
            <w:r w:rsidR="00AA11A1">
              <w:rPr>
                <w:rFonts w:ascii="Arial" w:hAnsi="Arial" w:cs="Arial"/>
                <w:sz w:val="20"/>
              </w:rPr>
              <w:t>4</w:t>
            </w:r>
            <w:r w:rsidRPr="00154929">
              <w:rPr>
                <w:rFonts w:ascii="Arial" w:hAnsi="Arial" w:cs="Arial"/>
                <w:sz w:val="20"/>
              </w:rPr>
              <w:t xml:space="preserve"> was proposed to the meeting and it was resolved on a poll </w:t>
            </w:r>
            <w:r w:rsidR="00AA11A1" w:rsidRPr="00154929">
              <w:rPr>
                <w:rFonts w:ascii="Arial" w:hAnsi="Arial" w:cs="Arial"/>
                <w:sz w:val="20"/>
              </w:rPr>
              <w:t>as a special resolution that the Directors be given power to allot equity securities (as defined in the Companies Act 2006) for cash under the authority given by resolution 1</w:t>
            </w:r>
            <w:r w:rsidR="00AA11A1">
              <w:rPr>
                <w:rFonts w:ascii="Arial" w:hAnsi="Arial" w:cs="Arial"/>
                <w:sz w:val="20"/>
              </w:rPr>
              <w:t>4</w:t>
            </w:r>
            <w:r w:rsidR="00AA11A1" w:rsidRPr="00154929">
              <w:rPr>
                <w:rFonts w:ascii="Arial" w:hAnsi="Arial" w:cs="Arial"/>
                <w:sz w:val="20"/>
              </w:rPr>
              <w:t xml:space="preserve"> and/or where the allotment is treated as an allotment of equity securities under section 560(3) of the Companies Act 2006, free of the restriction in section 561(1) of the Companies Act 2006; such power to be limited in the case of the authority granted under resolution 1</w:t>
            </w:r>
            <w:r w:rsidR="00AA11A1">
              <w:rPr>
                <w:rFonts w:ascii="Arial" w:hAnsi="Arial" w:cs="Arial"/>
                <w:sz w:val="20"/>
              </w:rPr>
              <w:t>3</w:t>
            </w:r>
            <w:r w:rsidR="00AA11A1" w:rsidRPr="00154929">
              <w:rPr>
                <w:rFonts w:ascii="Arial" w:hAnsi="Arial" w:cs="Arial"/>
                <w:sz w:val="20"/>
              </w:rPr>
              <w:t xml:space="preserve"> and/or in the case of any sale of treasury shares which is treated as an allotment of equity securities under section 560(3) of the Companies Act 2006, to the allotment of equity securities up to a nominal amount of £</w:t>
            </w:r>
            <w:r w:rsidR="00AA11A1">
              <w:rPr>
                <w:rFonts w:ascii="Arial" w:hAnsi="Arial" w:cs="Arial"/>
                <w:sz w:val="20"/>
              </w:rPr>
              <w:t>45</w:t>
            </w:r>
            <w:r w:rsidR="00F668C2">
              <w:rPr>
                <w:rFonts w:ascii="Arial" w:hAnsi="Arial" w:cs="Arial"/>
                <w:sz w:val="20"/>
              </w:rPr>
              <w:t>5</w:t>
            </w:r>
            <w:r w:rsidR="00AA11A1">
              <w:rPr>
                <w:rFonts w:ascii="Arial" w:hAnsi="Arial" w:cs="Arial"/>
                <w:sz w:val="20"/>
              </w:rPr>
              <w:t>,777.62</w:t>
            </w:r>
            <w:r w:rsidR="00AA11A1" w:rsidRPr="00154929">
              <w:rPr>
                <w:rFonts w:ascii="Arial" w:hAnsi="Arial" w:cs="Arial"/>
                <w:sz w:val="20"/>
              </w:rPr>
              <w:t xml:space="preserve"> such power to expire at the conclusion of next year’s </w:t>
            </w:r>
            <w:r w:rsidR="00AA11A1">
              <w:rPr>
                <w:rFonts w:ascii="Arial" w:hAnsi="Arial" w:cs="Arial"/>
                <w:sz w:val="20"/>
              </w:rPr>
              <w:t>AGM</w:t>
            </w:r>
            <w:r w:rsidR="00AA11A1" w:rsidRPr="00154929">
              <w:rPr>
                <w:rFonts w:ascii="Arial" w:hAnsi="Arial" w:cs="Arial"/>
                <w:sz w:val="20"/>
              </w:rPr>
              <w:t xml:space="preserve"> (or, if earlier, on the close of business on</w:t>
            </w:r>
            <w:r w:rsidR="00AA11A1">
              <w:rPr>
                <w:rFonts w:ascii="Arial" w:hAnsi="Arial" w:cs="Arial"/>
                <w:sz w:val="20"/>
              </w:rPr>
              <w:t xml:space="preserve"> 5</w:t>
            </w:r>
            <w:r w:rsidR="00AA11A1" w:rsidRPr="00154929">
              <w:rPr>
                <w:rFonts w:ascii="Arial" w:hAnsi="Arial" w:cs="Arial"/>
                <w:sz w:val="20"/>
              </w:rPr>
              <w:t xml:space="preserve"> August 20</w:t>
            </w:r>
            <w:r w:rsidR="00AA11A1">
              <w:rPr>
                <w:rFonts w:ascii="Arial" w:hAnsi="Arial" w:cs="Arial"/>
                <w:sz w:val="20"/>
              </w:rPr>
              <w:t>22</w:t>
            </w:r>
            <w:r w:rsidR="00AA11A1" w:rsidRPr="00154929">
              <w:rPr>
                <w:rFonts w:ascii="Arial" w:hAnsi="Arial" w:cs="Arial"/>
                <w:sz w:val="20"/>
              </w:rPr>
              <w:t>) save that the Company may, before such expiry, make offers, and enter into agreements, which would, or might, require equity securities to be allotted or treasury shares to be sold after such expiry and the Directors may allot equity securities and sell treasury shares in pursuance of such offer or agreement as if the power conferred hereby had not expired.</w:t>
            </w:r>
          </w:p>
          <w:p w14:paraId="1840D529" w14:textId="0A3E51A7" w:rsidR="00AA11A1" w:rsidRDefault="00AA11A1" w:rsidP="00AA11A1">
            <w:pPr>
              <w:rPr>
                <w:rFonts w:ascii="Arial" w:hAnsi="Arial" w:cs="Arial"/>
                <w:sz w:val="20"/>
              </w:rPr>
            </w:pPr>
          </w:p>
          <w:p w14:paraId="13CF1949" w14:textId="77777777" w:rsidR="00AA11A1" w:rsidRPr="00926C97" w:rsidRDefault="00AA11A1" w:rsidP="00AA11A1">
            <w:pPr>
              <w:rPr>
                <w:rFonts w:ascii="Arial" w:hAnsi="Arial" w:cs="Arial"/>
                <w:sz w:val="20"/>
              </w:rPr>
            </w:pPr>
          </w:p>
          <w:p w14:paraId="0288BB79" w14:textId="7901F817" w:rsidR="00230FD7" w:rsidRDefault="00230FD7" w:rsidP="008D4E97">
            <w:pPr>
              <w:tabs>
                <w:tab w:val="left" w:pos="0"/>
                <w:tab w:val="left" w:pos="34"/>
              </w:tabs>
              <w:ind w:left="34" w:hanging="34"/>
              <w:rPr>
                <w:rFonts w:ascii="Arial" w:hAnsi="Arial" w:cs="Arial"/>
                <w:sz w:val="20"/>
                <w:u w:val="single"/>
              </w:rPr>
            </w:pPr>
            <w:r w:rsidRPr="00C82404">
              <w:rPr>
                <w:rFonts w:ascii="Arial" w:hAnsi="Arial" w:cs="Arial"/>
                <w:sz w:val="20"/>
                <w:u w:val="single"/>
              </w:rPr>
              <w:t>Resolution 1</w:t>
            </w:r>
            <w:r w:rsidR="00AA11A1">
              <w:rPr>
                <w:rFonts w:ascii="Arial" w:hAnsi="Arial" w:cs="Arial"/>
                <w:sz w:val="20"/>
                <w:u w:val="single"/>
              </w:rPr>
              <w:t>5</w:t>
            </w:r>
          </w:p>
          <w:p w14:paraId="5B978C34" w14:textId="5FEA9ED9" w:rsidR="00D136EF" w:rsidRDefault="00D136EF" w:rsidP="008D4E97">
            <w:pPr>
              <w:tabs>
                <w:tab w:val="left" w:pos="0"/>
                <w:tab w:val="left" w:pos="34"/>
              </w:tabs>
              <w:ind w:left="34" w:hanging="34"/>
              <w:rPr>
                <w:rFonts w:ascii="Arial" w:hAnsi="Arial" w:cs="Arial"/>
                <w:sz w:val="20"/>
                <w:u w:val="single"/>
              </w:rPr>
            </w:pPr>
          </w:p>
          <w:p w14:paraId="2314F6BF" w14:textId="77777777" w:rsidR="00D136EF" w:rsidRPr="00154929" w:rsidRDefault="00D136EF" w:rsidP="00D136EF">
            <w:pPr>
              <w:tabs>
                <w:tab w:val="left" w:pos="1080"/>
              </w:tabs>
              <w:rPr>
                <w:rFonts w:ascii="Arial" w:hAnsi="Arial" w:cs="Arial"/>
                <w:sz w:val="20"/>
              </w:rPr>
            </w:pPr>
            <w:r w:rsidRPr="00154929">
              <w:rPr>
                <w:rFonts w:ascii="Arial" w:hAnsi="Arial" w:cs="Arial"/>
                <w:sz w:val="20"/>
              </w:rPr>
              <w:t>Resolution 1</w:t>
            </w:r>
            <w:r>
              <w:rPr>
                <w:rFonts w:ascii="Arial" w:hAnsi="Arial" w:cs="Arial"/>
                <w:sz w:val="20"/>
              </w:rPr>
              <w:t>5</w:t>
            </w:r>
            <w:r w:rsidRPr="00154929">
              <w:rPr>
                <w:rFonts w:ascii="Arial" w:hAnsi="Arial" w:cs="Arial"/>
                <w:sz w:val="20"/>
              </w:rPr>
              <w:t xml:space="preserve"> was proposed to the meeting and it was resolved on a poll as a special resolution that the Company be and is hereby generally and unconditionally authorised for the purposes of section 701 of the Companies Act 2006 to make one or more market purchases (as defined in section 693(4) of the Companies Act 2006) of its ordinary shares of 20 pence each (“ordinary shares”), such power to be limited:</w:t>
            </w:r>
          </w:p>
          <w:p w14:paraId="764AC8C3" w14:textId="77777777" w:rsidR="00D136EF" w:rsidRPr="00154929" w:rsidRDefault="00D136EF" w:rsidP="00D136EF">
            <w:pPr>
              <w:tabs>
                <w:tab w:val="left" w:pos="1080"/>
              </w:tabs>
              <w:ind w:left="1080"/>
              <w:rPr>
                <w:rFonts w:ascii="Arial" w:hAnsi="Arial" w:cs="Arial"/>
                <w:sz w:val="20"/>
              </w:rPr>
            </w:pPr>
          </w:p>
          <w:p w14:paraId="2E04D6B4" w14:textId="0473EE74" w:rsidR="00D136EF" w:rsidRPr="00154929" w:rsidRDefault="00D136EF" w:rsidP="00D136EF">
            <w:pPr>
              <w:tabs>
                <w:tab w:val="left" w:pos="584"/>
                <w:tab w:val="left" w:pos="1080"/>
              </w:tabs>
              <w:rPr>
                <w:rFonts w:ascii="Arial" w:hAnsi="Arial" w:cs="Arial"/>
                <w:sz w:val="20"/>
              </w:rPr>
            </w:pPr>
            <w:r w:rsidRPr="00154929">
              <w:rPr>
                <w:rFonts w:ascii="Arial" w:hAnsi="Arial" w:cs="Arial"/>
                <w:sz w:val="20"/>
              </w:rPr>
              <w:t>(1)</w:t>
            </w:r>
            <w:r w:rsidRPr="00154929">
              <w:rPr>
                <w:rFonts w:ascii="Arial" w:hAnsi="Arial" w:cs="Arial"/>
                <w:sz w:val="20"/>
              </w:rPr>
              <w:tab/>
              <w:t xml:space="preserve">To a maximum number of </w:t>
            </w:r>
            <w:r w:rsidR="00F668C2">
              <w:rPr>
                <w:rFonts w:ascii="Arial" w:hAnsi="Arial" w:cs="Arial"/>
                <w:sz w:val="20"/>
              </w:rPr>
              <w:t>4,577,776</w:t>
            </w:r>
            <w:r w:rsidRPr="00D136EF">
              <w:rPr>
                <w:rFonts w:ascii="Arial" w:hAnsi="Arial" w:cs="Arial"/>
                <w:color w:val="FF0000"/>
                <w:sz w:val="20"/>
              </w:rPr>
              <w:t xml:space="preserve"> </w:t>
            </w:r>
            <w:r w:rsidRPr="00154929">
              <w:rPr>
                <w:rFonts w:ascii="Arial" w:hAnsi="Arial" w:cs="Arial"/>
                <w:sz w:val="20"/>
              </w:rPr>
              <w:t>ordinary shares;</w:t>
            </w:r>
          </w:p>
          <w:p w14:paraId="0AAD8698" w14:textId="77777777" w:rsidR="00D136EF" w:rsidRPr="00154929" w:rsidRDefault="00D136EF" w:rsidP="00D136EF">
            <w:pPr>
              <w:tabs>
                <w:tab w:val="left" w:pos="584"/>
                <w:tab w:val="left" w:pos="1080"/>
              </w:tabs>
              <w:rPr>
                <w:rFonts w:ascii="Arial" w:hAnsi="Arial" w:cs="Arial"/>
                <w:sz w:val="20"/>
              </w:rPr>
            </w:pPr>
          </w:p>
          <w:p w14:paraId="3E112878" w14:textId="77777777" w:rsidR="00D136EF" w:rsidRPr="00154929" w:rsidRDefault="00D136EF" w:rsidP="00D136EF">
            <w:pPr>
              <w:tabs>
                <w:tab w:val="left" w:pos="584"/>
                <w:tab w:val="left" w:pos="1080"/>
              </w:tabs>
              <w:rPr>
                <w:rFonts w:ascii="Arial" w:hAnsi="Arial" w:cs="Arial"/>
                <w:sz w:val="20"/>
              </w:rPr>
            </w:pPr>
            <w:r w:rsidRPr="00154929">
              <w:rPr>
                <w:rFonts w:ascii="Arial" w:hAnsi="Arial" w:cs="Arial"/>
                <w:sz w:val="20"/>
              </w:rPr>
              <w:t>(2)</w:t>
            </w:r>
            <w:r w:rsidRPr="00154929">
              <w:rPr>
                <w:rFonts w:ascii="Arial" w:hAnsi="Arial" w:cs="Arial"/>
                <w:sz w:val="20"/>
              </w:rPr>
              <w:tab/>
              <w:t xml:space="preserve">By the condition that the minimum price which may be paid for an ordinary </w:t>
            </w:r>
            <w:r w:rsidRPr="00154929">
              <w:rPr>
                <w:rFonts w:ascii="Arial" w:hAnsi="Arial" w:cs="Arial"/>
                <w:sz w:val="20"/>
              </w:rPr>
              <w:tab/>
              <w:t xml:space="preserve">share is 20 pence and the maximum price which may be paid for an ordinary </w:t>
            </w:r>
            <w:r w:rsidRPr="00154929">
              <w:rPr>
                <w:rFonts w:ascii="Arial" w:hAnsi="Arial" w:cs="Arial"/>
                <w:sz w:val="20"/>
              </w:rPr>
              <w:tab/>
              <w:t xml:space="preserve">share is the highest of: </w:t>
            </w:r>
          </w:p>
          <w:p w14:paraId="334A66BA" w14:textId="77777777" w:rsidR="00D136EF" w:rsidRPr="00154929" w:rsidRDefault="00D136EF" w:rsidP="00D136EF">
            <w:pPr>
              <w:tabs>
                <w:tab w:val="left" w:pos="584"/>
                <w:tab w:val="left" w:pos="1080"/>
              </w:tabs>
              <w:rPr>
                <w:rFonts w:ascii="Arial" w:hAnsi="Arial" w:cs="Arial"/>
                <w:sz w:val="20"/>
              </w:rPr>
            </w:pPr>
          </w:p>
          <w:p w14:paraId="4853ACF6" w14:textId="77777777" w:rsidR="00D136EF" w:rsidRPr="00154929" w:rsidRDefault="00D136EF" w:rsidP="00D136EF">
            <w:pPr>
              <w:tabs>
                <w:tab w:val="left" w:pos="584"/>
                <w:tab w:val="left" w:pos="1080"/>
              </w:tabs>
              <w:rPr>
                <w:rFonts w:ascii="Arial" w:hAnsi="Arial" w:cs="Arial"/>
                <w:sz w:val="20"/>
              </w:rPr>
            </w:pPr>
            <w:r w:rsidRPr="00154929">
              <w:rPr>
                <w:rFonts w:ascii="Arial" w:hAnsi="Arial" w:cs="Arial"/>
                <w:sz w:val="20"/>
              </w:rPr>
              <w:tab/>
              <w:t>(</w:t>
            </w:r>
            <w:proofErr w:type="spellStart"/>
            <w:r w:rsidRPr="00154929">
              <w:rPr>
                <w:rFonts w:ascii="Arial" w:hAnsi="Arial" w:cs="Arial"/>
                <w:sz w:val="20"/>
              </w:rPr>
              <w:t>i</w:t>
            </w:r>
            <w:proofErr w:type="spellEnd"/>
            <w:r w:rsidRPr="00154929">
              <w:rPr>
                <w:rFonts w:ascii="Arial" w:hAnsi="Arial" w:cs="Arial"/>
                <w:sz w:val="20"/>
              </w:rPr>
              <w:t xml:space="preserve">) </w:t>
            </w:r>
            <w:r w:rsidRPr="00154929">
              <w:rPr>
                <w:rFonts w:ascii="Arial" w:hAnsi="Arial" w:cs="Arial"/>
                <w:sz w:val="20"/>
              </w:rPr>
              <w:tab/>
              <w:t>an amount equal to 5% above the average market value f</w:t>
            </w:r>
            <w:r>
              <w:rPr>
                <w:rFonts w:ascii="Arial" w:hAnsi="Arial" w:cs="Arial"/>
                <w:sz w:val="20"/>
              </w:rPr>
              <w:t>or</w:t>
            </w:r>
            <w:r w:rsidRPr="00154929">
              <w:rPr>
                <w:rFonts w:ascii="Arial" w:hAnsi="Arial" w:cs="Arial"/>
                <w:sz w:val="20"/>
              </w:rPr>
              <w:t xml:space="preserve"> an </w:t>
            </w:r>
            <w:r w:rsidRPr="00154929">
              <w:rPr>
                <w:rFonts w:ascii="Arial" w:hAnsi="Arial" w:cs="Arial"/>
                <w:sz w:val="20"/>
              </w:rPr>
              <w:tab/>
            </w:r>
            <w:r w:rsidRPr="00154929">
              <w:rPr>
                <w:rFonts w:ascii="Arial" w:hAnsi="Arial" w:cs="Arial"/>
                <w:sz w:val="20"/>
              </w:rPr>
              <w:tab/>
              <w:t xml:space="preserve">ordinary share for the five business days immediately preceding the day </w:t>
            </w:r>
            <w:r w:rsidRPr="00154929">
              <w:rPr>
                <w:rFonts w:ascii="Arial" w:hAnsi="Arial" w:cs="Arial"/>
                <w:sz w:val="20"/>
              </w:rPr>
              <w:tab/>
            </w:r>
            <w:r w:rsidRPr="00154929">
              <w:rPr>
                <w:rFonts w:ascii="Arial" w:hAnsi="Arial" w:cs="Arial"/>
                <w:sz w:val="20"/>
              </w:rPr>
              <w:tab/>
              <w:t>on which that ordinary share is contracted to be purchased; and</w:t>
            </w:r>
          </w:p>
          <w:p w14:paraId="4D1F2678" w14:textId="77777777" w:rsidR="00D136EF" w:rsidRPr="00154929" w:rsidRDefault="00D136EF" w:rsidP="00D136EF">
            <w:pPr>
              <w:tabs>
                <w:tab w:val="left" w:pos="584"/>
                <w:tab w:val="left" w:pos="1080"/>
              </w:tabs>
              <w:rPr>
                <w:rFonts w:ascii="Arial" w:hAnsi="Arial" w:cs="Arial"/>
                <w:sz w:val="20"/>
              </w:rPr>
            </w:pPr>
          </w:p>
          <w:p w14:paraId="3F139FE9" w14:textId="77777777" w:rsidR="00D136EF" w:rsidRPr="00154929" w:rsidRDefault="00D136EF" w:rsidP="00D136EF">
            <w:pPr>
              <w:tabs>
                <w:tab w:val="left" w:pos="601"/>
                <w:tab w:val="left" w:pos="1080"/>
              </w:tabs>
              <w:rPr>
                <w:rFonts w:ascii="Arial" w:hAnsi="Arial" w:cs="Arial"/>
                <w:sz w:val="20"/>
              </w:rPr>
            </w:pPr>
            <w:r w:rsidRPr="00154929">
              <w:rPr>
                <w:rFonts w:ascii="Arial" w:hAnsi="Arial" w:cs="Arial"/>
                <w:sz w:val="20"/>
              </w:rPr>
              <w:tab/>
              <w:t>(ii)</w:t>
            </w:r>
            <w:r w:rsidRPr="00154929">
              <w:rPr>
                <w:rFonts w:ascii="Arial" w:hAnsi="Arial" w:cs="Arial"/>
                <w:sz w:val="20"/>
              </w:rPr>
              <w:tab/>
              <w:t xml:space="preserve">the higher of the price of the last independent trade and the highest </w:t>
            </w:r>
            <w:r w:rsidRPr="00154929">
              <w:rPr>
                <w:rFonts w:ascii="Arial" w:hAnsi="Arial" w:cs="Arial"/>
                <w:sz w:val="20"/>
              </w:rPr>
              <w:tab/>
            </w:r>
            <w:r w:rsidRPr="00154929">
              <w:rPr>
                <w:rFonts w:ascii="Arial" w:hAnsi="Arial" w:cs="Arial"/>
                <w:sz w:val="20"/>
              </w:rPr>
              <w:tab/>
              <w:t xml:space="preserve">current independent bid on the trading venues where the purchase is </w:t>
            </w:r>
            <w:r w:rsidRPr="00154929">
              <w:rPr>
                <w:rFonts w:ascii="Arial" w:hAnsi="Arial" w:cs="Arial"/>
                <w:sz w:val="20"/>
              </w:rPr>
              <w:tab/>
            </w:r>
            <w:r w:rsidRPr="00154929">
              <w:rPr>
                <w:rFonts w:ascii="Arial" w:hAnsi="Arial" w:cs="Arial"/>
                <w:sz w:val="20"/>
              </w:rPr>
              <w:tab/>
              <w:t>carried out;</w:t>
            </w:r>
          </w:p>
          <w:p w14:paraId="6EEA9112" w14:textId="77777777" w:rsidR="00D136EF" w:rsidRPr="00154929" w:rsidRDefault="00D136EF" w:rsidP="00D136EF">
            <w:pPr>
              <w:tabs>
                <w:tab w:val="left" w:pos="1080"/>
              </w:tabs>
              <w:rPr>
                <w:rFonts w:ascii="Arial" w:hAnsi="Arial" w:cs="Arial"/>
                <w:sz w:val="20"/>
              </w:rPr>
            </w:pPr>
          </w:p>
          <w:p w14:paraId="528CCFAC" w14:textId="5BFC9AB7" w:rsidR="00230FD7" w:rsidRDefault="00D136EF" w:rsidP="00D136EF">
            <w:pPr>
              <w:tabs>
                <w:tab w:val="left" w:pos="1080"/>
              </w:tabs>
              <w:rPr>
                <w:rFonts w:ascii="Arial" w:hAnsi="Arial" w:cs="Arial"/>
                <w:sz w:val="20"/>
              </w:rPr>
            </w:pPr>
            <w:r w:rsidRPr="00154929">
              <w:rPr>
                <w:rFonts w:ascii="Arial" w:hAnsi="Arial" w:cs="Arial"/>
                <w:sz w:val="20"/>
              </w:rPr>
              <w:t xml:space="preserve">in each case, exclusive of expenses, such power to expire at the conclusion of next year’s </w:t>
            </w:r>
            <w:r>
              <w:rPr>
                <w:rFonts w:ascii="Arial" w:hAnsi="Arial" w:cs="Arial"/>
                <w:sz w:val="20"/>
              </w:rPr>
              <w:t>AGM</w:t>
            </w:r>
            <w:r w:rsidRPr="00154929">
              <w:rPr>
                <w:rFonts w:ascii="Arial" w:hAnsi="Arial" w:cs="Arial"/>
                <w:sz w:val="20"/>
              </w:rPr>
              <w:t xml:space="preserve"> (or, if earlier, on the close of business on </w:t>
            </w:r>
            <w:r>
              <w:rPr>
                <w:rFonts w:ascii="Arial" w:hAnsi="Arial" w:cs="Arial"/>
                <w:sz w:val="20"/>
              </w:rPr>
              <w:t>5</w:t>
            </w:r>
            <w:r w:rsidRPr="00154929">
              <w:rPr>
                <w:rFonts w:ascii="Arial" w:hAnsi="Arial" w:cs="Arial"/>
                <w:sz w:val="20"/>
              </w:rPr>
              <w:t xml:space="preserve"> August 20</w:t>
            </w:r>
            <w:r>
              <w:rPr>
                <w:rFonts w:ascii="Arial" w:hAnsi="Arial" w:cs="Arial"/>
                <w:sz w:val="20"/>
              </w:rPr>
              <w:t>22</w:t>
            </w:r>
            <w:r w:rsidRPr="00154929">
              <w:rPr>
                <w:rFonts w:ascii="Arial" w:hAnsi="Arial" w:cs="Arial"/>
                <w:sz w:val="20"/>
              </w:rPr>
              <w:t>) save that, in each case, the Company may enter into a contract or contracts to purchase ordinary shares which will or may be completed or executed wholly or partly after the expiry of such power and the Company may purchase ordinary shares pursuant to any such contract as if the power had not ended.</w:t>
            </w:r>
          </w:p>
          <w:p w14:paraId="04C851F3" w14:textId="77777777" w:rsidR="00D136EF" w:rsidRPr="00D136EF" w:rsidRDefault="00D136EF" w:rsidP="00D136EF">
            <w:pPr>
              <w:tabs>
                <w:tab w:val="left" w:pos="1080"/>
              </w:tabs>
              <w:rPr>
                <w:rFonts w:ascii="Arial" w:hAnsi="Arial" w:cs="Arial"/>
                <w:sz w:val="20"/>
              </w:rPr>
            </w:pPr>
          </w:p>
          <w:p w14:paraId="765E43D7" w14:textId="77777777" w:rsidR="00230FD7" w:rsidRDefault="00230FD7" w:rsidP="008D4E97">
            <w:pPr>
              <w:tabs>
                <w:tab w:val="left" w:pos="0"/>
                <w:tab w:val="left" w:pos="34"/>
              </w:tabs>
              <w:ind w:left="34" w:hanging="34"/>
              <w:jc w:val="both"/>
              <w:rPr>
                <w:rFonts w:ascii="Arial" w:hAnsi="Arial" w:cs="Arial"/>
                <w:sz w:val="20"/>
              </w:rPr>
            </w:pPr>
          </w:p>
          <w:p w14:paraId="456C17C1" w14:textId="75524C6D" w:rsidR="00230FD7" w:rsidRPr="000951C4" w:rsidRDefault="00230FD7" w:rsidP="000951C4">
            <w:pPr>
              <w:rPr>
                <w:rFonts w:ascii="Arial" w:hAnsi="Arial" w:cs="Arial"/>
                <w:sz w:val="20"/>
                <w:u w:val="single"/>
              </w:rPr>
            </w:pPr>
            <w:r w:rsidRPr="00154929">
              <w:rPr>
                <w:rFonts w:ascii="Arial" w:hAnsi="Arial" w:cs="Arial"/>
                <w:sz w:val="20"/>
                <w:u w:val="single"/>
              </w:rPr>
              <w:t>Resolution 1</w:t>
            </w:r>
            <w:r w:rsidR="00AA11A1">
              <w:rPr>
                <w:rFonts w:ascii="Arial" w:hAnsi="Arial" w:cs="Arial"/>
                <w:sz w:val="20"/>
                <w:u w:val="single"/>
              </w:rPr>
              <w:t>6</w:t>
            </w:r>
          </w:p>
          <w:p w14:paraId="5ED81DCE" w14:textId="77777777" w:rsidR="00230FD7" w:rsidRPr="00154929" w:rsidRDefault="00230FD7" w:rsidP="008D4E97">
            <w:pPr>
              <w:ind w:left="1080"/>
              <w:rPr>
                <w:rFonts w:ascii="Arial" w:hAnsi="Arial" w:cs="Arial"/>
                <w:sz w:val="20"/>
              </w:rPr>
            </w:pPr>
          </w:p>
          <w:p w14:paraId="111D5E68" w14:textId="77777777" w:rsidR="00230FD7" w:rsidRDefault="00230FD7" w:rsidP="008D4E97">
            <w:pPr>
              <w:tabs>
                <w:tab w:val="left" w:pos="1080"/>
              </w:tabs>
              <w:rPr>
                <w:rFonts w:ascii="Arial" w:hAnsi="Arial" w:cs="Arial"/>
                <w:sz w:val="20"/>
              </w:rPr>
            </w:pPr>
            <w:r w:rsidRPr="00154929">
              <w:rPr>
                <w:rFonts w:ascii="Arial" w:hAnsi="Arial" w:cs="Arial"/>
                <w:sz w:val="20"/>
              </w:rPr>
              <w:t>Resolution 1</w:t>
            </w:r>
            <w:r w:rsidR="000951C4">
              <w:rPr>
                <w:rFonts w:ascii="Arial" w:hAnsi="Arial" w:cs="Arial"/>
                <w:sz w:val="20"/>
              </w:rPr>
              <w:t>6</w:t>
            </w:r>
            <w:r w:rsidRPr="00154929">
              <w:rPr>
                <w:rFonts w:ascii="Arial" w:hAnsi="Arial" w:cs="Arial"/>
                <w:sz w:val="20"/>
              </w:rPr>
              <w:t xml:space="preserve"> was proposed to the meeting and it was resolved on a poll as a special resolution that a general meeting other than an annual general meeting may be called on not less than 14 clear days’ notice.</w:t>
            </w:r>
          </w:p>
          <w:p w14:paraId="66C212FE" w14:textId="77777777" w:rsidR="00F668C2" w:rsidRDefault="00F668C2" w:rsidP="008D4E97">
            <w:pPr>
              <w:tabs>
                <w:tab w:val="left" w:pos="1080"/>
              </w:tabs>
              <w:rPr>
                <w:rFonts w:ascii="Arial" w:hAnsi="Arial" w:cs="Arial"/>
                <w:sz w:val="20"/>
              </w:rPr>
            </w:pPr>
          </w:p>
          <w:p w14:paraId="724EE7AA" w14:textId="77777777" w:rsidR="00F668C2" w:rsidRDefault="00F668C2" w:rsidP="008D4E97">
            <w:pPr>
              <w:tabs>
                <w:tab w:val="left" w:pos="1080"/>
              </w:tabs>
              <w:rPr>
                <w:rFonts w:ascii="Arial" w:hAnsi="Arial" w:cs="Arial"/>
                <w:sz w:val="20"/>
              </w:rPr>
            </w:pPr>
          </w:p>
          <w:p w14:paraId="1A49034C" w14:textId="77777777" w:rsidR="00F668C2" w:rsidRPr="00572F09" w:rsidRDefault="00F668C2" w:rsidP="00F668C2">
            <w:pPr>
              <w:tabs>
                <w:tab w:val="left" w:pos="1080"/>
              </w:tabs>
              <w:rPr>
                <w:rFonts w:ascii="Arial" w:hAnsi="Arial" w:cs="Arial"/>
                <w:sz w:val="20"/>
              </w:rPr>
            </w:pPr>
            <w:r w:rsidRPr="00572F09">
              <w:rPr>
                <w:rFonts w:ascii="Arial" w:hAnsi="Arial" w:cs="Arial"/>
                <w:sz w:val="20"/>
                <w:u w:val="single"/>
              </w:rPr>
              <w:t>Resolution 1</w:t>
            </w:r>
            <w:r>
              <w:rPr>
                <w:rFonts w:ascii="Arial" w:hAnsi="Arial" w:cs="Arial"/>
                <w:sz w:val="20"/>
                <w:u w:val="single"/>
              </w:rPr>
              <w:t>7</w:t>
            </w:r>
          </w:p>
          <w:p w14:paraId="7E102FBB" w14:textId="77777777" w:rsidR="00F668C2" w:rsidRPr="00572F09" w:rsidRDefault="00F668C2" w:rsidP="00F668C2">
            <w:pPr>
              <w:ind w:left="1080"/>
              <w:rPr>
                <w:rFonts w:ascii="Arial" w:hAnsi="Arial" w:cs="Arial"/>
                <w:sz w:val="20"/>
              </w:rPr>
            </w:pPr>
          </w:p>
          <w:p w14:paraId="4E0410D1" w14:textId="77777777" w:rsidR="00F668C2" w:rsidRDefault="00F668C2" w:rsidP="00F668C2">
            <w:pPr>
              <w:tabs>
                <w:tab w:val="left" w:pos="1080"/>
              </w:tabs>
              <w:rPr>
                <w:rFonts w:ascii="Arial" w:hAnsi="Arial" w:cs="Arial"/>
                <w:sz w:val="20"/>
              </w:rPr>
            </w:pPr>
            <w:r w:rsidRPr="00DC3BA9">
              <w:rPr>
                <w:rFonts w:ascii="Arial" w:hAnsi="Arial" w:cs="Arial"/>
                <w:sz w:val="20"/>
              </w:rPr>
              <w:t xml:space="preserve">Resolution </w:t>
            </w:r>
            <w:r>
              <w:rPr>
                <w:rFonts w:ascii="Arial" w:hAnsi="Arial" w:cs="Arial"/>
                <w:sz w:val="20"/>
              </w:rPr>
              <w:t>17</w:t>
            </w:r>
            <w:r w:rsidRPr="00DC3BA9">
              <w:rPr>
                <w:rFonts w:ascii="Arial" w:hAnsi="Arial" w:cs="Arial"/>
                <w:sz w:val="20"/>
              </w:rPr>
              <w:t xml:space="preserve"> was proposed to the meeting and it was resolved on a </w:t>
            </w:r>
            <w:r>
              <w:rPr>
                <w:rFonts w:ascii="Arial" w:hAnsi="Arial" w:cs="Arial"/>
                <w:sz w:val="20"/>
              </w:rPr>
              <w:t>poll</w:t>
            </w:r>
            <w:r w:rsidRPr="00DC3BA9">
              <w:rPr>
                <w:rFonts w:ascii="Arial" w:hAnsi="Arial" w:cs="Arial"/>
                <w:sz w:val="20"/>
              </w:rPr>
              <w:t xml:space="preserve"> as a</w:t>
            </w:r>
            <w:r>
              <w:rPr>
                <w:rFonts w:ascii="Arial" w:hAnsi="Arial" w:cs="Arial"/>
                <w:sz w:val="20"/>
              </w:rPr>
              <w:t xml:space="preserve"> special</w:t>
            </w:r>
            <w:r w:rsidRPr="00DC3BA9">
              <w:rPr>
                <w:rFonts w:ascii="Arial" w:hAnsi="Arial" w:cs="Arial"/>
                <w:sz w:val="20"/>
              </w:rPr>
              <w:t xml:space="preserve"> resolution that</w:t>
            </w:r>
            <w:r w:rsidRPr="00C51550">
              <w:rPr>
                <w:rFonts w:ascii="Arial" w:hAnsi="Arial" w:cs="Arial"/>
                <w:sz w:val="20"/>
              </w:rPr>
              <w:t xml:space="preserve"> the Company and its subsidiary companies at any time during the period for which this resolution is effective</w:t>
            </w:r>
            <w:r>
              <w:rPr>
                <w:rFonts w:ascii="Arial" w:hAnsi="Arial" w:cs="Arial"/>
                <w:sz w:val="20"/>
              </w:rPr>
              <w:t xml:space="preserve"> </w:t>
            </w:r>
            <w:r w:rsidRPr="00C51550">
              <w:rPr>
                <w:rFonts w:ascii="Arial" w:hAnsi="Arial" w:cs="Arial"/>
                <w:sz w:val="20"/>
              </w:rPr>
              <w:t>are authorised, in aggregate, to:</w:t>
            </w:r>
          </w:p>
          <w:p w14:paraId="0D0613BF" w14:textId="77777777" w:rsidR="00F668C2" w:rsidRPr="00C51550" w:rsidRDefault="00F668C2" w:rsidP="00F668C2">
            <w:pPr>
              <w:tabs>
                <w:tab w:val="left" w:pos="1080"/>
              </w:tabs>
              <w:rPr>
                <w:rFonts w:ascii="Arial" w:hAnsi="Arial" w:cs="Arial"/>
                <w:sz w:val="20"/>
              </w:rPr>
            </w:pPr>
          </w:p>
          <w:p w14:paraId="3D30367E" w14:textId="77777777" w:rsidR="00F668C2" w:rsidRPr="00C51550" w:rsidRDefault="00F668C2" w:rsidP="00F668C2">
            <w:pPr>
              <w:tabs>
                <w:tab w:val="left" w:pos="749"/>
                <w:tab w:val="left" w:pos="1080"/>
              </w:tabs>
              <w:rPr>
                <w:rFonts w:ascii="Arial" w:hAnsi="Arial" w:cs="Arial"/>
                <w:sz w:val="20"/>
              </w:rPr>
            </w:pPr>
            <w:r>
              <w:rPr>
                <w:rFonts w:ascii="Arial" w:hAnsi="Arial" w:cs="Arial"/>
                <w:sz w:val="20"/>
              </w:rPr>
              <w:t>(</w:t>
            </w:r>
            <w:proofErr w:type="spellStart"/>
            <w:r>
              <w:rPr>
                <w:rFonts w:ascii="Arial" w:hAnsi="Arial" w:cs="Arial"/>
                <w:sz w:val="20"/>
              </w:rPr>
              <w:t>i</w:t>
            </w:r>
            <w:proofErr w:type="spellEnd"/>
            <w:r>
              <w:rPr>
                <w:rFonts w:ascii="Arial" w:hAnsi="Arial" w:cs="Arial"/>
                <w:sz w:val="20"/>
              </w:rPr>
              <w:t xml:space="preserve">)     </w:t>
            </w:r>
            <w:r>
              <w:rPr>
                <w:rFonts w:ascii="Arial" w:hAnsi="Arial" w:cs="Arial"/>
                <w:sz w:val="20"/>
              </w:rPr>
              <w:tab/>
              <w:t>M</w:t>
            </w:r>
            <w:r w:rsidRPr="00C51550">
              <w:rPr>
                <w:rFonts w:ascii="Arial" w:hAnsi="Arial" w:cs="Arial"/>
                <w:sz w:val="20"/>
              </w:rPr>
              <w:t xml:space="preserve">ake political donations to political parties and/or independent election </w:t>
            </w:r>
            <w:r>
              <w:rPr>
                <w:rFonts w:ascii="Arial" w:hAnsi="Arial" w:cs="Arial"/>
                <w:sz w:val="20"/>
              </w:rPr>
              <w:tab/>
            </w:r>
            <w:r w:rsidRPr="00C51550">
              <w:rPr>
                <w:rFonts w:ascii="Arial" w:hAnsi="Arial" w:cs="Arial"/>
                <w:sz w:val="20"/>
              </w:rPr>
              <w:t>candidates not exceeding £30,000 in total;</w:t>
            </w:r>
          </w:p>
          <w:p w14:paraId="7DA74AC6" w14:textId="77777777" w:rsidR="00F668C2" w:rsidRPr="00C51550" w:rsidRDefault="00F668C2" w:rsidP="00F668C2">
            <w:pPr>
              <w:tabs>
                <w:tab w:val="left" w:pos="749"/>
                <w:tab w:val="left" w:pos="1080"/>
              </w:tabs>
              <w:rPr>
                <w:rFonts w:ascii="Arial" w:hAnsi="Arial" w:cs="Arial"/>
                <w:sz w:val="20"/>
              </w:rPr>
            </w:pPr>
            <w:r w:rsidRPr="00C51550">
              <w:rPr>
                <w:rFonts w:ascii="Arial" w:hAnsi="Arial" w:cs="Arial"/>
                <w:sz w:val="20"/>
              </w:rPr>
              <w:t>(</w:t>
            </w:r>
            <w:r>
              <w:rPr>
                <w:rFonts w:ascii="Arial" w:hAnsi="Arial" w:cs="Arial"/>
                <w:sz w:val="20"/>
              </w:rPr>
              <w:t>ii</w:t>
            </w:r>
            <w:r w:rsidRPr="00C51550">
              <w:rPr>
                <w:rFonts w:ascii="Arial" w:hAnsi="Arial" w:cs="Arial"/>
                <w:sz w:val="20"/>
              </w:rPr>
              <w:t>)</w:t>
            </w:r>
            <w:r w:rsidRPr="00C51550">
              <w:rPr>
                <w:rFonts w:ascii="Arial" w:hAnsi="Arial" w:cs="Arial"/>
                <w:sz w:val="20"/>
              </w:rPr>
              <w:tab/>
              <w:t xml:space="preserve">Make political donations to political organisations other than political parties </w:t>
            </w:r>
            <w:r>
              <w:rPr>
                <w:rFonts w:ascii="Arial" w:hAnsi="Arial" w:cs="Arial"/>
                <w:sz w:val="20"/>
              </w:rPr>
              <w:tab/>
            </w:r>
            <w:r w:rsidRPr="00C51550">
              <w:rPr>
                <w:rFonts w:ascii="Arial" w:hAnsi="Arial" w:cs="Arial"/>
                <w:sz w:val="20"/>
              </w:rPr>
              <w:t>not exceeding £30,000 in total; and</w:t>
            </w:r>
          </w:p>
          <w:p w14:paraId="15EC8751" w14:textId="77777777" w:rsidR="00F668C2" w:rsidRPr="00C51550" w:rsidRDefault="00F668C2" w:rsidP="00F668C2">
            <w:pPr>
              <w:tabs>
                <w:tab w:val="left" w:pos="749"/>
                <w:tab w:val="left" w:pos="1080"/>
              </w:tabs>
              <w:rPr>
                <w:rFonts w:ascii="Arial" w:hAnsi="Arial" w:cs="Arial"/>
                <w:sz w:val="20"/>
              </w:rPr>
            </w:pPr>
            <w:r w:rsidRPr="00C51550">
              <w:rPr>
                <w:rFonts w:ascii="Arial" w:hAnsi="Arial" w:cs="Arial"/>
                <w:sz w:val="20"/>
              </w:rPr>
              <w:t>(</w:t>
            </w:r>
            <w:r>
              <w:rPr>
                <w:rFonts w:ascii="Arial" w:hAnsi="Arial" w:cs="Arial"/>
                <w:sz w:val="20"/>
              </w:rPr>
              <w:t>iii</w:t>
            </w:r>
            <w:r w:rsidRPr="00C51550">
              <w:rPr>
                <w:rFonts w:ascii="Arial" w:hAnsi="Arial" w:cs="Arial"/>
                <w:sz w:val="20"/>
              </w:rPr>
              <w:t>)</w:t>
            </w:r>
            <w:r w:rsidRPr="00C51550">
              <w:rPr>
                <w:rFonts w:ascii="Arial" w:hAnsi="Arial" w:cs="Arial"/>
                <w:sz w:val="20"/>
              </w:rPr>
              <w:tab/>
              <w:t>Incur political expenditure not exceeding £30,000 in total</w:t>
            </w:r>
            <w:r>
              <w:rPr>
                <w:rFonts w:ascii="Arial" w:hAnsi="Arial" w:cs="Arial"/>
                <w:sz w:val="20"/>
              </w:rPr>
              <w:t xml:space="preserve">, </w:t>
            </w:r>
          </w:p>
          <w:p w14:paraId="2E0FEBCB" w14:textId="77777777" w:rsidR="00F668C2" w:rsidRPr="00C51550" w:rsidRDefault="00F668C2" w:rsidP="00F668C2">
            <w:pPr>
              <w:tabs>
                <w:tab w:val="left" w:pos="749"/>
                <w:tab w:val="left" w:pos="1080"/>
              </w:tabs>
              <w:rPr>
                <w:rFonts w:ascii="Arial" w:hAnsi="Arial" w:cs="Arial"/>
                <w:sz w:val="20"/>
              </w:rPr>
            </w:pPr>
            <w:r w:rsidRPr="00C51550">
              <w:rPr>
                <w:rFonts w:ascii="Arial" w:hAnsi="Arial" w:cs="Arial"/>
                <w:sz w:val="20"/>
              </w:rPr>
              <w:tab/>
            </w:r>
          </w:p>
          <w:p w14:paraId="33D59B85" w14:textId="77777777" w:rsidR="00F668C2" w:rsidRPr="00C51550" w:rsidRDefault="00F668C2" w:rsidP="00F668C2">
            <w:pPr>
              <w:tabs>
                <w:tab w:val="left" w:pos="749"/>
                <w:tab w:val="left" w:pos="1080"/>
              </w:tabs>
              <w:rPr>
                <w:rFonts w:ascii="Arial" w:hAnsi="Arial" w:cs="Arial"/>
                <w:sz w:val="20"/>
              </w:rPr>
            </w:pPr>
            <w:r w:rsidRPr="00C51550">
              <w:rPr>
                <w:rFonts w:ascii="Arial" w:hAnsi="Arial" w:cs="Arial"/>
                <w:sz w:val="20"/>
              </w:rPr>
              <w:t>during the period beginning with the date of the passing of this resolution up to and including the conclusion of the AGM to be held in 20</w:t>
            </w:r>
            <w:r>
              <w:rPr>
                <w:rFonts w:ascii="Arial" w:hAnsi="Arial" w:cs="Arial"/>
                <w:sz w:val="20"/>
              </w:rPr>
              <w:t>25</w:t>
            </w:r>
            <w:r w:rsidRPr="00C51550">
              <w:rPr>
                <w:rFonts w:ascii="Arial" w:hAnsi="Arial" w:cs="Arial"/>
                <w:sz w:val="20"/>
              </w:rPr>
              <w:t xml:space="preserve"> or </w:t>
            </w:r>
            <w:r>
              <w:rPr>
                <w:rFonts w:ascii="Arial" w:hAnsi="Arial" w:cs="Arial"/>
                <w:sz w:val="20"/>
              </w:rPr>
              <w:t>Tuesda</w:t>
            </w:r>
            <w:r w:rsidRPr="00C51550">
              <w:rPr>
                <w:rFonts w:ascii="Arial" w:hAnsi="Arial" w:cs="Arial"/>
                <w:sz w:val="20"/>
              </w:rPr>
              <w:t xml:space="preserve">y, </w:t>
            </w:r>
            <w:r>
              <w:rPr>
                <w:rFonts w:ascii="Arial" w:hAnsi="Arial" w:cs="Arial"/>
                <w:sz w:val="20"/>
              </w:rPr>
              <w:t>5</w:t>
            </w:r>
            <w:r w:rsidRPr="00C51550">
              <w:rPr>
                <w:rFonts w:ascii="Arial" w:hAnsi="Arial" w:cs="Arial"/>
                <w:sz w:val="20"/>
              </w:rPr>
              <w:t xml:space="preserve"> </w:t>
            </w:r>
            <w:r>
              <w:rPr>
                <w:rFonts w:ascii="Arial" w:hAnsi="Arial" w:cs="Arial"/>
                <w:sz w:val="20"/>
              </w:rPr>
              <w:t xml:space="preserve">August </w:t>
            </w:r>
            <w:r w:rsidRPr="00C51550">
              <w:rPr>
                <w:rFonts w:ascii="Arial" w:hAnsi="Arial" w:cs="Arial"/>
                <w:sz w:val="20"/>
              </w:rPr>
              <w:t>20</w:t>
            </w:r>
            <w:r>
              <w:rPr>
                <w:rFonts w:ascii="Arial" w:hAnsi="Arial" w:cs="Arial"/>
                <w:sz w:val="20"/>
              </w:rPr>
              <w:t>25</w:t>
            </w:r>
            <w:r w:rsidRPr="00C51550">
              <w:rPr>
                <w:rFonts w:ascii="Arial" w:hAnsi="Arial" w:cs="Arial"/>
                <w:sz w:val="20"/>
              </w:rPr>
              <w:t>, whichever is earlier.</w:t>
            </w:r>
          </w:p>
          <w:p w14:paraId="24BC0FD0" w14:textId="77777777" w:rsidR="00F668C2" w:rsidRPr="00C51550" w:rsidRDefault="00F668C2" w:rsidP="00F668C2">
            <w:pPr>
              <w:tabs>
                <w:tab w:val="left" w:pos="1080"/>
              </w:tabs>
              <w:rPr>
                <w:rFonts w:ascii="Arial" w:hAnsi="Arial" w:cs="Arial"/>
                <w:sz w:val="20"/>
              </w:rPr>
            </w:pPr>
          </w:p>
          <w:p w14:paraId="5DB777E0" w14:textId="77777777" w:rsidR="00F668C2" w:rsidRDefault="00F668C2" w:rsidP="00F668C2">
            <w:pPr>
              <w:tabs>
                <w:tab w:val="left" w:pos="1080"/>
              </w:tabs>
              <w:rPr>
                <w:rFonts w:ascii="Arial" w:hAnsi="Arial" w:cs="Arial"/>
                <w:sz w:val="20"/>
              </w:rPr>
            </w:pPr>
            <w:r w:rsidRPr="00C51550">
              <w:rPr>
                <w:rFonts w:ascii="Arial" w:hAnsi="Arial" w:cs="Arial"/>
                <w:sz w:val="20"/>
              </w:rPr>
              <w:t>The authorised sums referred to in paragraphs (</w:t>
            </w:r>
            <w:proofErr w:type="spellStart"/>
            <w:r>
              <w:rPr>
                <w:rFonts w:ascii="Arial" w:hAnsi="Arial" w:cs="Arial"/>
                <w:sz w:val="20"/>
              </w:rPr>
              <w:t>i</w:t>
            </w:r>
            <w:proofErr w:type="spellEnd"/>
            <w:r w:rsidRPr="00C51550">
              <w:rPr>
                <w:rFonts w:ascii="Arial" w:hAnsi="Arial" w:cs="Arial"/>
                <w:sz w:val="20"/>
              </w:rPr>
              <w:t>), (</w:t>
            </w:r>
            <w:r>
              <w:rPr>
                <w:rFonts w:ascii="Arial" w:hAnsi="Arial" w:cs="Arial"/>
                <w:sz w:val="20"/>
              </w:rPr>
              <w:t>ii</w:t>
            </w:r>
            <w:r w:rsidRPr="00C51550">
              <w:rPr>
                <w:rFonts w:ascii="Arial" w:hAnsi="Arial" w:cs="Arial"/>
                <w:sz w:val="20"/>
              </w:rPr>
              <w:t>) and (</w:t>
            </w:r>
            <w:r>
              <w:rPr>
                <w:rFonts w:ascii="Arial" w:hAnsi="Arial" w:cs="Arial"/>
                <w:sz w:val="20"/>
              </w:rPr>
              <w:t>iii</w:t>
            </w:r>
            <w:r w:rsidRPr="00C51550">
              <w:rPr>
                <w:rFonts w:ascii="Arial" w:hAnsi="Arial" w:cs="Arial"/>
                <w:sz w:val="20"/>
              </w:rPr>
              <w:t>) may be comprised of one or more amounts in different currencies which, for the purposes of calculating the sai</w:t>
            </w:r>
            <w:r>
              <w:rPr>
                <w:rFonts w:ascii="Arial" w:hAnsi="Arial" w:cs="Arial"/>
                <w:sz w:val="20"/>
              </w:rPr>
              <w:t>d sum, shall be converted into S</w:t>
            </w:r>
            <w:r w:rsidRPr="00C51550">
              <w:rPr>
                <w:rFonts w:ascii="Arial" w:hAnsi="Arial" w:cs="Arial"/>
                <w:sz w:val="20"/>
              </w:rPr>
              <w:t>terling at the exchange rate published in the London edition of the Financial Times on the day on which the relevant donation is made or expenditure incurred (or the first business day thereafter) or, if earlier, on the day on which the relevant company enters into any contract or undertaking relating to the same.  Any terms which are defined in Part 14 of the Companies Act 2006 shall bear the same meaning when used in this resolution.</w:t>
            </w:r>
          </w:p>
          <w:p w14:paraId="23FC47BF" w14:textId="3E5F8A71" w:rsidR="00F668C2" w:rsidRPr="008D2C9E" w:rsidRDefault="00F668C2" w:rsidP="008D4E97">
            <w:pPr>
              <w:tabs>
                <w:tab w:val="left" w:pos="1080"/>
              </w:tabs>
              <w:rPr>
                <w:rFonts w:ascii="Arial" w:hAnsi="Arial" w:cs="Arial"/>
                <w:sz w:val="20"/>
              </w:rPr>
            </w:pPr>
          </w:p>
        </w:tc>
      </w:tr>
    </w:tbl>
    <w:p w14:paraId="31CB6299" w14:textId="77777777" w:rsidR="00DC23BC" w:rsidRDefault="00DC23BC"/>
    <w:sectPr w:rsidR="00DC23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FD7"/>
    <w:rsid w:val="000951C4"/>
    <w:rsid w:val="00230FD7"/>
    <w:rsid w:val="00AA11A1"/>
    <w:rsid w:val="00D136EF"/>
    <w:rsid w:val="00DC23BC"/>
    <w:rsid w:val="00F66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D6430"/>
  <w15:chartTrackingRefBased/>
  <w15:docId w15:val="{25DE3D06-31B4-4E10-9E88-F61F15174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FD7"/>
    <w:pPr>
      <w:spacing w:after="0" w:line="240" w:lineRule="auto"/>
    </w:pPr>
    <w:rPr>
      <w:rFonts w:ascii="Times New Roman" w:eastAsia="Times New Roman" w:hAnsi="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30FD7"/>
    <w:pPr>
      <w:ind w:left="1080"/>
      <w:jc w:val="center"/>
    </w:pPr>
    <w:rPr>
      <w:rFonts w:ascii="Arial" w:hAnsi="Arial"/>
      <w:b/>
      <w:sz w:val="24"/>
    </w:rPr>
  </w:style>
  <w:style w:type="character" w:customStyle="1" w:styleId="TitleChar">
    <w:name w:val="Title Char"/>
    <w:basedOn w:val="DefaultParagraphFont"/>
    <w:link w:val="Title"/>
    <w:rsid w:val="00230FD7"/>
    <w:rPr>
      <w:rFonts w:ascii="Arial" w:eastAsia="Times New Roman" w:hAnsi="Arial" w:cs="Times New Roman"/>
      <w:b/>
      <w:sz w:val="24"/>
      <w:szCs w:val="20"/>
      <w:lang w:eastAsia="en-GB"/>
    </w:rPr>
  </w:style>
  <w:style w:type="paragraph" w:styleId="Footer">
    <w:name w:val="footer"/>
    <w:basedOn w:val="Normal"/>
    <w:link w:val="FooterChar"/>
    <w:rsid w:val="00230FD7"/>
    <w:pPr>
      <w:tabs>
        <w:tab w:val="center" w:pos="4153"/>
        <w:tab w:val="right" w:pos="8306"/>
      </w:tabs>
    </w:pPr>
    <w:rPr>
      <w:rFonts w:ascii="Arial" w:hAnsi="Arial"/>
      <w:sz w:val="24"/>
      <w:lang w:eastAsia="en-US"/>
    </w:rPr>
  </w:style>
  <w:style w:type="character" w:customStyle="1" w:styleId="FooterChar">
    <w:name w:val="Footer Char"/>
    <w:basedOn w:val="DefaultParagraphFont"/>
    <w:link w:val="Footer"/>
    <w:rsid w:val="00230FD7"/>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Poonam Kang</dc:creator>
  <cp:keywords/>
  <dc:description/>
  <cp:lastModifiedBy>Maninder Dhiman</cp:lastModifiedBy>
  <cp:revision>3</cp:revision>
  <dcterms:created xsi:type="dcterms:W3CDTF">2021-04-29T16:19:00Z</dcterms:created>
  <dcterms:modified xsi:type="dcterms:W3CDTF">2021-04-30T15:54:00Z</dcterms:modified>
</cp:coreProperties>
</file>