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D003" w14:textId="0256DEBC" w:rsidR="001423CD" w:rsidRPr="00892EF1" w:rsidRDefault="007D1B8B" w:rsidP="001423CD">
      <w:pPr>
        <w:spacing w:after="0" w:line="240" w:lineRule="auto"/>
        <w:rPr>
          <w:rFonts w:ascii="Arial" w:hAnsi="Arial" w:cs="Arial"/>
          <w:b/>
          <w:bCs/>
          <w:sz w:val="20"/>
          <w:szCs w:val="20"/>
        </w:rPr>
      </w:pPr>
      <w:r>
        <w:rPr>
          <w:rFonts w:ascii="Arial" w:hAnsi="Arial" w:cs="Arial"/>
          <w:b/>
          <w:bCs/>
          <w:sz w:val="20"/>
          <w:szCs w:val="20"/>
        </w:rPr>
        <w:t>19 June 2024</w:t>
      </w:r>
    </w:p>
    <w:p w14:paraId="538AA82E" w14:textId="77777777" w:rsidR="001423CD" w:rsidRPr="00892EF1" w:rsidRDefault="001423CD" w:rsidP="001423CD">
      <w:pPr>
        <w:spacing w:after="0" w:line="240" w:lineRule="auto"/>
        <w:jc w:val="center"/>
        <w:rPr>
          <w:rFonts w:ascii="Arial" w:hAnsi="Arial" w:cs="Arial"/>
          <w:b/>
          <w:bCs/>
          <w:sz w:val="20"/>
          <w:szCs w:val="20"/>
        </w:rPr>
      </w:pPr>
    </w:p>
    <w:p w14:paraId="0962C32F" w14:textId="126F344F" w:rsidR="001423CD" w:rsidRPr="00892EF1" w:rsidRDefault="00391D86" w:rsidP="001423CD">
      <w:pPr>
        <w:spacing w:after="0" w:line="240" w:lineRule="auto"/>
        <w:jc w:val="center"/>
        <w:rPr>
          <w:rFonts w:ascii="Arial" w:hAnsi="Arial" w:cs="Arial"/>
          <w:b/>
          <w:bCs/>
          <w:sz w:val="20"/>
          <w:szCs w:val="20"/>
        </w:rPr>
      </w:pPr>
      <w:r>
        <w:rPr>
          <w:rFonts w:ascii="Arial" w:hAnsi="Arial" w:cs="Arial"/>
          <w:b/>
          <w:bCs/>
          <w:sz w:val="20"/>
          <w:szCs w:val="20"/>
        </w:rPr>
        <w:t>Videndum</w:t>
      </w:r>
      <w:r w:rsidR="001423CD" w:rsidRPr="00892EF1">
        <w:rPr>
          <w:rFonts w:ascii="Arial" w:hAnsi="Arial" w:cs="Arial"/>
          <w:b/>
          <w:bCs/>
          <w:sz w:val="20"/>
          <w:szCs w:val="20"/>
        </w:rPr>
        <w:t xml:space="preserve"> plc</w:t>
      </w:r>
      <w:r w:rsidR="00440488">
        <w:rPr>
          <w:rFonts w:ascii="Arial" w:hAnsi="Arial" w:cs="Arial"/>
          <w:b/>
          <w:bCs/>
          <w:sz w:val="20"/>
          <w:szCs w:val="20"/>
        </w:rPr>
        <w:br/>
      </w:r>
    </w:p>
    <w:p w14:paraId="22CAED81" w14:textId="77777777" w:rsidR="001423CD" w:rsidRPr="00892EF1" w:rsidRDefault="001423CD" w:rsidP="001423CD">
      <w:pPr>
        <w:spacing w:after="0" w:line="240" w:lineRule="auto"/>
        <w:jc w:val="center"/>
        <w:rPr>
          <w:rFonts w:ascii="Arial" w:hAnsi="Arial" w:cs="Arial"/>
          <w:b/>
          <w:bCs/>
          <w:sz w:val="20"/>
          <w:szCs w:val="20"/>
        </w:rPr>
      </w:pPr>
    </w:p>
    <w:p w14:paraId="5E062B3A" w14:textId="22B0E032" w:rsidR="00AA050C" w:rsidRDefault="00C02F30" w:rsidP="00C11018">
      <w:pPr>
        <w:spacing w:after="120" w:line="240" w:lineRule="auto"/>
        <w:jc w:val="center"/>
        <w:rPr>
          <w:rFonts w:ascii="Arial" w:hAnsi="Arial" w:cs="Arial"/>
          <w:b/>
          <w:bCs/>
          <w:sz w:val="20"/>
          <w:szCs w:val="20"/>
        </w:rPr>
      </w:pPr>
      <w:r w:rsidRPr="00892EF1">
        <w:rPr>
          <w:rFonts w:ascii="Arial" w:hAnsi="Arial" w:cs="Arial"/>
          <w:b/>
          <w:bCs/>
          <w:sz w:val="20"/>
          <w:szCs w:val="20"/>
        </w:rPr>
        <w:t>Result</w:t>
      </w:r>
      <w:r w:rsidR="001423CD" w:rsidRPr="00892EF1">
        <w:rPr>
          <w:rFonts w:ascii="Arial" w:hAnsi="Arial" w:cs="Arial"/>
          <w:b/>
          <w:bCs/>
          <w:sz w:val="20"/>
          <w:szCs w:val="20"/>
        </w:rPr>
        <w:t xml:space="preserve"> of </w:t>
      </w:r>
      <w:r w:rsidR="00377C1D" w:rsidRPr="00892EF1">
        <w:rPr>
          <w:rFonts w:ascii="Arial" w:hAnsi="Arial" w:cs="Arial"/>
          <w:b/>
          <w:bCs/>
          <w:sz w:val="20"/>
          <w:szCs w:val="20"/>
        </w:rPr>
        <w:t>20</w:t>
      </w:r>
      <w:r w:rsidR="00892EF1" w:rsidRPr="00892EF1">
        <w:rPr>
          <w:rFonts w:ascii="Arial" w:hAnsi="Arial" w:cs="Arial"/>
          <w:b/>
          <w:bCs/>
          <w:sz w:val="20"/>
          <w:szCs w:val="20"/>
        </w:rPr>
        <w:t>2</w:t>
      </w:r>
      <w:r w:rsidR="007D1B8B">
        <w:rPr>
          <w:rFonts w:ascii="Arial" w:hAnsi="Arial" w:cs="Arial"/>
          <w:b/>
          <w:bCs/>
          <w:sz w:val="20"/>
          <w:szCs w:val="20"/>
        </w:rPr>
        <w:t>4</w:t>
      </w:r>
      <w:r w:rsidR="00377C1D" w:rsidRPr="00892EF1">
        <w:rPr>
          <w:rFonts w:ascii="Arial" w:hAnsi="Arial" w:cs="Arial"/>
          <w:b/>
          <w:bCs/>
          <w:sz w:val="20"/>
          <w:szCs w:val="20"/>
        </w:rPr>
        <w:t xml:space="preserve"> Annual General Meeting</w:t>
      </w:r>
    </w:p>
    <w:p w14:paraId="2DB54735" w14:textId="77777777" w:rsidR="00AA050C" w:rsidRPr="00892EF1" w:rsidRDefault="00AA050C" w:rsidP="001423CD">
      <w:pPr>
        <w:spacing w:after="0" w:line="240" w:lineRule="auto"/>
        <w:jc w:val="center"/>
        <w:rPr>
          <w:rFonts w:ascii="Arial" w:hAnsi="Arial" w:cs="Arial"/>
          <w:b/>
          <w:bCs/>
          <w:sz w:val="20"/>
          <w:szCs w:val="20"/>
        </w:rPr>
      </w:pPr>
    </w:p>
    <w:p w14:paraId="1E798EC1" w14:textId="4D3E0C46" w:rsidR="001E1BF3" w:rsidRPr="00892EF1" w:rsidRDefault="00391D86" w:rsidP="001423CD">
      <w:pPr>
        <w:spacing w:after="0" w:line="240" w:lineRule="auto"/>
        <w:rPr>
          <w:rFonts w:ascii="Arial" w:hAnsi="Arial" w:cs="Arial"/>
          <w:sz w:val="20"/>
          <w:szCs w:val="20"/>
        </w:rPr>
      </w:pPr>
      <w:r w:rsidRPr="009D117F">
        <w:rPr>
          <w:rFonts w:ascii="Arial" w:hAnsi="Arial" w:cs="Arial"/>
          <w:sz w:val="20"/>
          <w:szCs w:val="20"/>
        </w:rPr>
        <w:t>Videndum</w:t>
      </w:r>
      <w:r w:rsidR="00AA050C" w:rsidRPr="009D117F">
        <w:rPr>
          <w:rFonts w:ascii="Arial" w:hAnsi="Arial" w:cs="Arial"/>
          <w:sz w:val="20"/>
          <w:szCs w:val="20"/>
        </w:rPr>
        <w:t xml:space="preserve"> plc </w:t>
      </w:r>
      <w:r w:rsidR="00440488" w:rsidRPr="009D117F">
        <w:rPr>
          <w:rFonts w:ascii="Arial" w:hAnsi="Arial" w:cs="Arial"/>
          <w:sz w:val="20"/>
          <w:szCs w:val="20"/>
        </w:rPr>
        <w:t xml:space="preserve">(the “Company”) </w:t>
      </w:r>
      <w:r w:rsidR="00AA050C" w:rsidRPr="009D117F">
        <w:rPr>
          <w:rFonts w:ascii="Arial" w:hAnsi="Arial" w:cs="Arial"/>
          <w:sz w:val="20"/>
          <w:szCs w:val="20"/>
        </w:rPr>
        <w:t>announces that at the Annual General Meeting held today</w:t>
      </w:r>
      <w:r w:rsidR="00710076">
        <w:rPr>
          <w:rFonts w:ascii="Arial" w:hAnsi="Arial" w:cs="Arial"/>
          <w:sz w:val="20"/>
          <w:szCs w:val="20"/>
        </w:rPr>
        <w:t>,</w:t>
      </w:r>
      <w:r w:rsidR="00AA050C" w:rsidRPr="009D117F">
        <w:rPr>
          <w:rFonts w:ascii="Arial" w:hAnsi="Arial" w:cs="Arial"/>
          <w:sz w:val="20"/>
          <w:szCs w:val="20"/>
        </w:rPr>
        <w:t xml:space="preserve"> all resolutions as set out in the </w:t>
      </w:r>
      <w:r w:rsidR="00CF74DB" w:rsidRPr="009D117F">
        <w:rPr>
          <w:rFonts w:ascii="Arial" w:hAnsi="Arial" w:cs="Arial"/>
          <w:sz w:val="20"/>
          <w:szCs w:val="20"/>
        </w:rPr>
        <w:t>N</w:t>
      </w:r>
      <w:r w:rsidR="00AA050C" w:rsidRPr="009D117F">
        <w:rPr>
          <w:rFonts w:ascii="Arial" w:hAnsi="Arial" w:cs="Arial"/>
          <w:sz w:val="20"/>
          <w:szCs w:val="20"/>
        </w:rPr>
        <w:t xml:space="preserve">otice of Annual General Meeting </w:t>
      </w:r>
      <w:r w:rsidR="00B96C54" w:rsidRPr="009D117F">
        <w:rPr>
          <w:rFonts w:ascii="Arial" w:hAnsi="Arial" w:cs="Arial"/>
          <w:sz w:val="20"/>
          <w:szCs w:val="20"/>
        </w:rPr>
        <w:t xml:space="preserve">(“AGM”) </w:t>
      </w:r>
      <w:r w:rsidR="00AA050C" w:rsidRPr="009D117F">
        <w:rPr>
          <w:rFonts w:ascii="Arial" w:hAnsi="Arial" w:cs="Arial"/>
          <w:sz w:val="20"/>
          <w:szCs w:val="20"/>
        </w:rPr>
        <w:t xml:space="preserve">dated </w:t>
      </w:r>
      <w:r w:rsidR="007D1B8B" w:rsidRPr="009D117F">
        <w:rPr>
          <w:rFonts w:ascii="Arial" w:hAnsi="Arial" w:cs="Arial"/>
          <w:sz w:val="20"/>
          <w:szCs w:val="20"/>
        </w:rPr>
        <w:t>19 June 2024</w:t>
      </w:r>
      <w:r w:rsidR="00AA050C" w:rsidRPr="009D117F">
        <w:rPr>
          <w:rFonts w:ascii="Arial" w:hAnsi="Arial" w:cs="Arial"/>
          <w:sz w:val="20"/>
          <w:szCs w:val="20"/>
        </w:rPr>
        <w:t xml:space="preserve"> were passed</w:t>
      </w:r>
      <w:r w:rsidR="001E1BF3" w:rsidRPr="009D117F">
        <w:rPr>
          <w:rFonts w:ascii="Arial" w:hAnsi="Arial" w:cs="Arial"/>
          <w:sz w:val="20"/>
          <w:szCs w:val="20"/>
        </w:rPr>
        <w:t>. A poll was conducted on each resolution proposed at the Meeting and the number of votes for and against</w:t>
      </w:r>
      <w:r w:rsidR="001E1BF3" w:rsidRPr="00892EF1">
        <w:rPr>
          <w:rFonts w:ascii="Arial" w:hAnsi="Arial" w:cs="Arial"/>
          <w:sz w:val="20"/>
          <w:szCs w:val="20"/>
        </w:rPr>
        <w:t xml:space="preserve"> each of the resolutions, and the number of votes withheld, were as follows:</w:t>
      </w:r>
    </w:p>
    <w:p w14:paraId="38663511" w14:textId="77777777" w:rsidR="00AA050C" w:rsidRPr="00892EF1" w:rsidRDefault="00AA050C" w:rsidP="001423CD">
      <w:pPr>
        <w:spacing w:after="0" w:line="240" w:lineRule="auto"/>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3736"/>
        <w:gridCol w:w="1276"/>
        <w:gridCol w:w="850"/>
        <w:gridCol w:w="1163"/>
        <w:gridCol w:w="709"/>
        <w:gridCol w:w="1417"/>
      </w:tblGrid>
      <w:tr w:rsidR="001E1BF3" w:rsidRPr="00892EF1" w14:paraId="63812B6C" w14:textId="77777777" w:rsidTr="003527D1">
        <w:tc>
          <w:tcPr>
            <w:tcW w:w="483" w:type="dxa"/>
          </w:tcPr>
          <w:p w14:paraId="440E946F" w14:textId="77777777" w:rsidR="001E1BF3" w:rsidRPr="00892EF1" w:rsidRDefault="001E1BF3" w:rsidP="001E1BF3">
            <w:pPr>
              <w:spacing w:after="0" w:line="240" w:lineRule="auto"/>
              <w:rPr>
                <w:rFonts w:ascii="Arial" w:eastAsia="Times New Roman" w:hAnsi="Arial" w:cs="Arial"/>
                <w:b/>
                <w:sz w:val="20"/>
                <w:szCs w:val="20"/>
              </w:rPr>
            </w:pPr>
          </w:p>
        </w:tc>
        <w:tc>
          <w:tcPr>
            <w:tcW w:w="3736" w:type="dxa"/>
          </w:tcPr>
          <w:p w14:paraId="7E613632" w14:textId="77777777" w:rsidR="001E1BF3" w:rsidRPr="00892EF1" w:rsidRDefault="001E1BF3" w:rsidP="001E1BF3">
            <w:pPr>
              <w:spacing w:after="0" w:line="240" w:lineRule="auto"/>
              <w:rPr>
                <w:rFonts w:ascii="Arial" w:eastAsia="Times New Roman" w:hAnsi="Arial" w:cs="Arial"/>
                <w:b/>
                <w:sz w:val="20"/>
                <w:szCs w:val="20"/>
              </w:rPr>
            </w:pPr>
          </w:p>
        </w:tc>
        <w:tc>
          <w:tcPr>
            <w:tcW w:w="2126" w:type="dxa"/>
            <w:gridSpan w:val="2"/>
          </w:tcPr>
          <w:p w14:paraId="72690E21" w14:textId="77777777" w:rsidR="001E1BF3" w:rsidRPr="00892EF1" w:rsidRDefault="001E1BF3" w:rsidP="001E1BF3">
            <w:pPr>
              <w:keepNext/>
              <w:spacing w:after="0" w:line="240" w:lineRule="auto"/>
              <w:jc w:val="center"/>
              <w:outlineLvl w:val="0"/>
              <w:rPr>
                <w:rFonts w:ascii="Arial" w:eastAsia="Times New Roman" w:hAnsi="Arial" w:cs="Arial"/>
                <w:b/>
                <w:sz w:val="20"/>
                <w:szCs w:val="20"/>
              </w:rPr>
            </w:pPr>
            <w:r w:rsidRPr="00892EF1">
              <w:rPr>
                <w:rFonts w:ascii="Arial" w:eastAsia="Times New Roman" w:hAnsi="Arial" w:cs="Arial"/>
                <w:b/>
                <w:sz w:val="20"/>
                <w:szCs w:val="20"/>
              </w:rPr>
              <w:t>FOR</w:t>
            </w:r>
          </w:p>
          <w:p w14:paraId="434FEC78" w14:textId="77777777" w:rsidR="001E1BF3" w:rsidRPr="00892EF1" w:rsidRDefault="001E1BF3" w:rsidP="001E1BF3">
            <w:pPr>
              <w:spacing w:after="0" w:line="240" w:lineRule="auto"/>
              <w:jc w:val="center"/>
              <w:rPr>
                <w:rFonts w:ascii="Arial" w:eastAsia="Times New Roman" w:hAnsi="Arial" w:cs="Arial"/>
                <w:b/>
                <w:sz w:val="20"/>
                <w:szCs w:val="20"/>
              </w:rPr>
            </w:pPr>
          </w:p>
        </w:tc>
        <w:tc>
          <w:tcPr>
            <w:tcW w:w="1872" w:type="dxa"/>
            <w:gridSpan w:val="2"/>
          </w:tcPr>
          <w:p w14:paraId="6C2F8165" w14:textId="77777777" w:rsidR="001E1BF3" w:rsidRPr="00892EF1" w:rsidRDefault="001E1BF3" w:rsidP="001E1BF3">
            <w:pPr>
              <w:spacing w:after="0" w:line="240" w:lineRule="auto"/>
              <w:jc w:val="center"/>
              <w:rPr>
                <w:rFonts w:ascii="Arial" w:eastAsia="Times New Roman" w:hAnsi="Arial" w:cs="Arial"/>
                <w:b/>
                <w:sz w:val="20"/>
                <w:szCs w:val="20"/>
              </w:rPr>
            </w:pPr>
            <w:r w:rsidRPr="00892EF1">
              <w:rPr>
                <w:rFonts w:ascii="Arial" w:eastAsia="Times New Roman" w:hAnsi="Arial" w:cs="Arial"/>
                <w:b/>
                <w:sz w:val="20"/>
                <w:szCs w:val="20"/>
              </w:rPr>
              <w:t>AGAINST</w:t>
            </w:r>
          </w:p>
        </w:tc>
        <w:tc>
          <w:tcPr>
            <w:tcW w:w="1417" w:type="dxa"/>
          </w:tcPr>
          <w:p w14:paraId="7583FCAB" w14:textId="77777777" w:rsidR="001E1BF3" w:rsidRPr="00892EF1" w:rsidRDefault="002E5A6C" w:rsidP="001E1BF3">
            <w:pPr>
              <w:spacing w:after="0" w:line="240" w:lineRule="auto"/>
              <w:jc w:val="center"/>
              <w:rPr>
                <w:rFonts w:ascii="Arial" w:eastAsia="Times New Roman" w:hAnsi="Arial" w:cs="Arial"/>
                <w:b/>
                <w:sz w:val="20"/>
                <w:szCs w:val="20"/>
              </w:rPr>
            </w:pPr>
            <w:r w:rsidRPr="00892EF1">
              <w:rPr>
                <w:rFonts w:ascii="Arial" w:eastAsia="Times New Roman" w:hAnsi="Arial" w:cs="Arial"/>
                <w:b/>
                <w:sz w:val="20"/>
                <w:szCs w:val="20"/>
              </w:rPr>
              <w:t>WITHHELD</w:t>
            </w:r>
          </w:p>
        </w:tc>
      </w:tr>
      <w:tr w:rsidR="001E1BF3" w:rsidRPr="00892EF1" w14:paraId="778C119A" w14:textId="77777777" w:rsidTr="003527D1">
        <w:tc>
          <w:tcPr>
            <w:tcW w:w="483" w:type="dxa"/>
          </w:tcPr>
          <w:p w14:paraId="6D6BBF73" w14:textId="77777777" w:rsidR="001E1BF3" w:rsidRPr="00892EF1" w:rsidRDefault="001E1BF3" w:rsidP="001E1BF3">
            <w:pPr>
              <w:spacing w:after="0" w:line="240" w:lineRule="auto"/>
              <w:rPr>
                <w:rFonts w:ascii="Arial" w:eastAsia="Times New Roman" w:hAnsi="Arial" w:cs="Arial"/>
                <w:b/>
                <w:sz w:val="20"/>
                <w:szCs w:val="20"/>
              </w:rPr>
            </w:pPr>
          </w:p>
        </w:tc>
        <w:tc>
          <w:tcPr>
            <w:tcW w:w="3736" w:type="dxa"/>
          </w:tcPr>
          <w:p w14:paraId="599C8A39" w14:textId="77777777" w:rsidR="001E1BF3" w:rsidRPr="00892EF1" w:rsidRDefault="001E1BF3" w:rsidP="001E1BF3">
            <w:pPr>
              <w:spacing w:after="0" w:line="240" w:lineRule="auto"/>
              <w:rPr>
                <w:rFonts w:ascii="Arial" w:eastAsia="Times New Roman" w:hAnsi="Arial" w:cs="Arial"/>
                <w:b/>
                <w:sz w:val="20"/>
                <w:szCs w:val="20"/>
              </w:rPr>
            </w:pPr>
            <w:r w:rsidRPr="00892EF1">
              <w:rPr>
                <w:rFonts w:ascii="Arial" w:eastAsia="Times New Roman" w:hAnsi="Arial" w:cs="Arial"/>
                <w:b/>
                <w:sz w:val="20"/>
                <w:szCs w:val="20"/>
              </w:rPr>
              <w:t>Resolution</w:t>
            </w:r>
          </w:p>
          <w:p w14:paraId="656F98D4" w14:textId="77777777" w:rsidR="001E1BF3" w:rsidRPr="00892EF1" w:rsidRDefault="001E1BF3" w:rsidP="001E1BF3">
            <w:pPr>
              <w:spacing w:after="0" w:line="240" w:lineRule="auto"/>
              <w:rPr>
                <w:rFonts w:ascii="Arial" w:eastAsia="Times New Roman" w:hAnsi="Arial" w:cs="Arial"/>
                <w:b/>
                <w:sz w:val="20"/>
                <w:szCs w:val="20"/>
              </w:rPr>
            </w:pPr>
          </w:p>
        </w:tc>
        <w:tc>
          <w:tcPr>
            <w:tcW w:w="1276" w:type="dxa"/>
          </w:tcPr>
          <w:p w14:paraId="0546DAFB" w14:textId="77777777" w:rsidR="001E1BF3" w:rsidRPr="00892EF1" w:rsidRDefault="001E1BF3" w:rsidP="001E1BF3">
            <w:pPr>
              <w:keepNext/>
              <w:spacing w:after="0" w:line="240" w:lineRule="auto"/>
              <w:jc w:val="center"/>
              <w:outlineLvl w:val="0"/>
              <w:rPr>
                <w:rFonts w:ascii="Arial" w:eastAsia="Times New Roman" w:hAnsi="Arial" w:cs="Arial"/>
                <w:b/>
                <w:sz w:val="20"/>
                <w:szCs w:val="20"/>
              </w:rPr>
            </w:pPr>
            <w:r w:rsidRPr="00892EF1">
              <w:rPr>
                <w:rFonts w:ascii="Arial" w:eastAsia="Times New Roman" w:hAnsi="Arial" w:cs="Arial"/>
                <w:b/>
                <w:sz w:val="20"/>
                <w:szCs w:val="20"/>
              </w:rPr>
              <w:t>Votes cast</w:t>
            </w:r>
          </w:p>
        </w:tc>
        <w:tc>
          <w:tcPr>
            <w:tcW w:w="850" w:type="dxa"/>
          </w:tcPr>
          <w:p w14:paraId="0A4B7A1F" w14:textId="77777777" w:rsidR="001E1BF3" w:rsidRPr="00892EF1" w:rsidRDefault="001E1BF3" w:rsidP="001E1BF3">
            <w:pPr>
              <w:spacing w:after="0" w:line="240" w:lineRule="auto"/>
              <w:jc w:val="center"/>
              <w:rPr>
                <w:rFonts w:ascii="Arial" w:eastAsia="Times New Roman" w:hAnsi="Arial" w:cs="Arial"/>
                <w:b/>
                <w:sz w:val="20"/>
                <w:szCs w:val="20"/>
              </w:rPr>
            </w:pPr>
            <w:r w:rsidRPr="00892EF1">
              <w:rPr>
                <w:rFonts w:ascii="Arial" w:eastAsia="Times New Roman" w:hAnsi="Arial" w:cs="Arial"/>
                <w:b/>
                <w:sz w:val="20"/>
                <w:szCs w:val="20"/>
              </w:rPr>
              <w:t>%</w:t>
            </w:r>
          </w:p>
        </w:tc>
        <w:tc>
          <w:tcPr>
            <w:tcW w:w="1163" w:type="dxa"/>
          </w:tcPr>
          <w:p w14:paraId="0C98ADD0" w14:textId="77777777" w:rsidR="001E1BF3" w:rsidRPr="00892EF1" w:rsidRDefault="001E1BF3" w:rsidP="001E1BF3">
            <w:pPr>
              <w:spacing w:after="0" w:line="240" w:lineRule="auto"/>
              <w:jc w:val="center"/>
              <w:rPr>
                <w:rFonts w:ascii="Arial" w:eastAsia="Times New Roman" w:hAnsi="Arial" w:cs="Arial"/>
                <w:b/>
                <w:sz w:val="20"/>
                <w:szCs w:val="20"/>
              </w:rPr>
            </w:pPr>
            <w:r w:rsidRPr="00892EF1">
              <w:rPr>
                <w:rFonts w:ascii="Arial" w:eastAsia="Times New Roman" w:hAnsi="Arial" w:cs="Arial"/>
                <w:b/>
                <w:sz w:val="20"/>
                <w:szCs w:val="20"/>
              </w:rPr>
              <w:t>Votes cast</w:t>
            </w:r>
          </w:p>
        </w:tc>
        <w:tc>
          <w:tcPr>
            <w:tcW w:w="709" w:type="dxa"/>
          </w:tcPr>
          <w:p w14:paraId="5850C107" w14:textId="77777777" w:rsidR="001E1BF3" w:rsidRPr="00892EF1" w:rsidRDefault="001E1BF3" w:rsidP="001E1BF3">
            <w:pPr>
              <w:spacing w:after="0" w:line="240" w:lineRule="auto"/>
              <w:jc w:val="center"/>
              <w:rPr>
                <w:rFonts w:ascii="Arial" w:eastAsia="Times New Roman" w:hAnsi="Arial" w:cs="Arial"/>
                <w:b/>
                <w:sz w:val="20"/>
                <w:szCs w:val="20"/>
              </w:rPr>
            </w:pPr>
            <w:r w:rsidRPr="00892EF1">
              <w:rPr>
                <w:rFonts w:ascii="Arial" w:eastAsia="Times New Roman" w:hAnsi="Arial" w:cs="Arial"/>
                <w:b/>
                <w:sz w:val="20"/>
                <w:szCs w:val="20"/>
              </w:rPr>
              <w:t>%</w:t>
            </w:r>
          </w:p>
        </w:tc>
        <w:tc>
          <w:tcPr>
            <w:tcW w:w="1417" w:type="dxa"/>
          </w:tcPr>
          <w:p w14:paraId="2D0A19C9" w14:textId="77777777" w:rsidR="001E1BF3" w:rsidRPr="00892EF1" w:rsidRDefault="001E1BF3" w:rsidP="001E1BF3">
            <w:pPr>
              <w:spacing w:after="0" w:line="240" w:lineRule="auto"/>
              <w:jc w:val="center"/>
              <w:rPr>
                <w:rFonts w:ascii="Arial" w:eastAsia="Times New Roman" w:hAnsi="Arial" w:cs="Arial"/>
                <w:b/>
                <w:sz w:val="20"/>
                <w:szCs w:val="20"/>
              </w:rPr>
            </w:pPr>
            <w:r w:rsidRPr="00892EF1">
              <w:rPr>
                <w:rFonts w:ascii="Arial" w:eastAsia="Times New Roman" w:hAnsi="Arial" w:cs="Arial"/>
                <w:b/>
                <w:sz w:val="20"/>
                <w:szCs w:val="20"/>
              </w:rPr>
              <w:t>Votes cast</w:t>
            </w:r>
          </w:p>
        </w:tc>
      </w:tr>
      <w:tr w:rsidR="008630DB" w:rsidRPr="001C728F" w14:paraId="03BE4DE2" w14:textId="77777777" w:rsidTr="001719B7">
        <w:tc>
          <w:tcPr>
            <w:tcW w:w="483" w:type="dxa"/>
          </w:tcPr>
          <w:p w14:paraId="538C3C20" w14:textId="77777777"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1</w:t>
            </w:r>
          </w:p>
        </w:tc>
        <w:tc>
          <w:tcPr>
            <w:tcW w:w="3736" w:type="dxa"/>
          </w:tcPr>
          <w:p w14:paraId="45EB8924" w14:textId="794799F1" w:rsidR="008630DB" w:rsidRPr="001C728F" w:rsidRDefault="008630DB" w:rsidP="008630DB">
            <w:pPr>
              <w:spacing w:after="0" w:line="240" w:lineRule="auto"/>
              <w:rPr>
                <w:rFonts w:ascii="Arial" w:hAnsi="Arial" w:cs="Arial"/>
                <w:sz w:val="20"/>
                <w:szCs w:val="20"/>
              </w:rPr>
            </w:pPr>
            <w:r w:rsidRPr="00892EF1">
              <w:rPr>
                <w:rFonts w:ascii="Arial" w:hAnsi="Arial" w:cs="Arial"/>
                <w:sz w:val="20"/>
                <w:szCs w:val="20"/>
              </w:rPr>
              <w:t>To receive and adopt the Annual Report and Accounts for the year ended 31 December 20</w:t>
            </w:r>
            <w:r>
              <w:rPr>
                <w:rFonts w:ascii="Arial" w:hAnsi="Arial" w:cs="Arial"/>
                <w:sz w:val="20"/>
                <w:szCs w:val="20"/>
              </w:rPr>
              <w:t>23</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77F90B08" w14:textId="662C47B2" w:rsidR="008630DB" w:rsidRPr="001719B7" w:rsidRDefault="008630DB" w:rsidP="008630DB">
            <w:pPr>
              <w:jc w:val="center"/>
              <w:rPr>
                <w:rFonts w:ascii="Arial" w:hAnsi="Arial" w:cs="Arial"/>
                <w:sz w:val="20"/>
                <w:szCs w:val="20"/>
              </w:rPr>
            </w:pPr>
            <w:r w:rsidRPr="001C728F">
              <w:rPr>
                <w:rFonts w:ascii="Arial" w:hAnsi="Arial" w:cs="Arial"/>
                <w:sz w:val="20"/>
                <w:szCs w:val="20"/>
              </w:rPr>
              <w:t>83,253,510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2933C2" w14:textId="4BC76B0E" w:rsidR="008630DB" w:rsidRPr="001719B7" w:rsidRDefault="008630DB" w:rsidP="008630DB">
            <w:pPr>
              <w:jc w:val="center"/>
              <w:rPr>
                <w:rFonts w:ascii="Arial" w:hAnsi="Arial" w:cs="Arial"/>
                <w:sz w:val="20"/>
                <w:szCs w:val="20"/>
              </w:rPr>
            </w:pPr>
            <w:r w:rsidRPr="001C728F">
              <w:rPr>
                <w:rFonts w:ascii="Arial" w:hAnsi="Arial" w:cs="Arial"/>
                <w:sz w:val="20"/>
                <w:szCs w:val="20"/>
              </w:rPr>
              <w:t>100.00</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4FB36B13" w14:textId="6B20920C" w:rsidR="008630DB" w:rsidRPr="001719B7" w:rsidRDefault="008630DB" w:rsidP="008630DB">
            <w:pPr>
              <w:jc w:val="center"/>
              <w:rPr>
                <w:rFonts w:ascii="Arial" w:hAnsi="Arial" w:cs="Arial"/>
                <w:sz w:val="20"/>
                <w:szCs w:val="20"/>
              </w:rPr>
            </w:pPr>
            <w:r w:rsidRPr="001C728F">
              <w:rPr>
                <w:rFonts w:ascii="Arial" w:hAnsi="Arial" w:cs="Arial"/>
                <w:sz w:val="20"/>
                <w:szCs w:val="20"/>
              </w:rPr>
              <w:t>469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1F8A53" w14:textId="5B8FD297" w:rsidR="008630DB" w:rsidRPr="001719B7" w:rsidRDefault="008630DB" w:rsidP="008630DB">
            <w:pPr>
              <w:jc w:val="center"/>
              <w:rPr>
                <w:rFonts w:ascii="Arial" w:hAnsi="Arial" w:cs="Arial"/>
                <w:sz w:val="20"/>
                <w:szCs w:val="20"/>
              </w:rPr>
            </w:pPr>
            <w:r w:rsidRPr="001C728F">
              <w:rPr>
                <w:rFonts w:ascii="Arial" w:hAnsi="Arial" w:cs="Arial"/>
                <w:sz w:val="20"/>
                <w:szCs w:val="20"/>
              </w:rPr>
              <w:t>0.00</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220A6480" w14:textId="77810F01" w:rsidR="008630DB" w:rsidRPr="001719B7" w:rsidRDefault="008630DB" w:rsidP="008630DB">
            <w:pPr>
              <w:jc w:val="center"/>
              <w:rPr>
                <w:rFonts w:ascii="Arial" w:hAnsi="Arial" w:cs="Arial"/>
                <w:sz w:val="20"/>
                <w:szCs w:val="20"/>
              </w:rPr>
            </w:pPr>
            <w:r w:rsidRPr="001C728F">
              <w:rPr>
                <w:rFonts w:ascii="Arial" w:hAnsi="Arial" w:cs="Arial"/>
                <w:sz w:val="20"/>
                <w:szCs w:val="20"/>
              </w:rPr>
              <w:t>0</w:t>
            </w:r>
          </w:p>
        </w:tc>
      </w:tr>
      <w:tr w:rsidR="008630DB" w:rsidRPr="001C728F" w14:paraId="2BE20029" w14:textId="77777777" w:rsidTr="001719B7">
        <w:tc>
          <w:tcPr>
            <w:tcW w:w="483" w:type="dxa"/>
          </w:tcPr>
          <w:p w14:paraId="36BE803D" w14:textId="4AD9C508"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2</w:t>
            </w:r>
          </w:p>
        </w:tc>
        <w:tc>
          <w:tcPr>
            <w:tcW w:w="3736" w:type="dxa"/>
          </w:tcPr>
          <w:p w14:paraId="454A7349" w14:textId="0F2B529B" w:rsidR="008630DB" w:rsidRPr="00892EF1" w:rsidRDefault="008630DB" w:rsidP="008630DB">
            <w:pPr>
              <w:spacing w:after="0" w:line="240" w:lineRule="auto"/>
              <w:rPr>
                <w:rFonts w:ascii="Arial" w:hAnsi="Arial" w:cs="Arial"/>
                <w:sz w:val="20"/>
                <w:szCs w:val="20"/>
              </w:rPr>
            </w:pPr>
            <w:r w:rsidRPr="00892EF1">
              <w:rPr>
                <w:rFonts w:ascii="Arial" w:hAnsi="Arial" w:cs="Arial"/>
                <w:sz w:val="20"/>
                <w:szCs w:val="20"/>
              </w:rPr>
              <w:t>To approve the Directors’ Remuneration Report, other than the Directors’ Remuneration Policy, for the year ended 31 December 20</w:t>
            </w:r>
            <w:r>
              <w:rPr>
                <w:rFonts w:ascii="Arial" w:hAnsi="Arial" w:cs="Arial"/>
                <w:sz w:val="20"/>
                <w:szCs w:val="20"/>
              </w:rPr>
              <w:t>23</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54358A2A" w14:textId="3C62C76F" w:rsidR="008630DB" w:rsidRPr="001719B7" w:rsidRDefault="008630DB" w:rsidP="008630DB">
            <w:pPr>
              <w:jc w:val="center"/>
              <w:rPr>
                <w:rFonts w:ascii="Arial" w:hAnsi="Arial" w:cs="Arial"/>
                <w:sz w:val="20"/>
                <w:szCs w:val="20"/>
              </w:rPr>
            </w:pPr>
            <w:r w:rsidRPr="001C728F">
              <w:rPr>
                <w:rFonts w:ascii="Arial" w:hAnsi="Arial" w:cs="Arial"/>
                <w:sz w:val="20"/>
                <w:szCs w:val="20"/>
              </w:rPr>
              <w:t>80,439,270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025483" w14:textId="3489D4E0" w:rsidR="008630DB" w:rsidRPr="001719B7" w:rsidRDefault="008630DB" w:rsidP="008630DB">
            <w:pPr>
              <w:jc w:val="center"/>
              <w:rPr>
                <w:rFonts w:ascii="Arial" w:hAnsi="Arial" w:cs="Arial"/>
                <w:sz w:val="20"/>
                <w:szCs w:val="20"/>
              </w:rPr>
            </w:pPr>
            <w:r w:rsidRPr="001C728F">
              <w:rPr>
                <w:rFonts w:ascii="Arial" w:hAnsi="Arial" w:cs="Arial"/>
                <w:sz w:val="20"/>
                <w:szCs w:val="20"/>
              </w:rPr>
              <w:t>98.16</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6570E49A" w14:textId="378ECAFD" w:rsidR="008630DB" w:rsidRPr="001719B7" w:rsidRDefault="008630DB" w:rsidP="008630DB">
            <w:pPr>
              <w:jc w:val="center"/>
              <w:rPr>
                <w:rFonts w:ascii="Arial" w:hAnsi="Arial" w:cs="Arial"/>
                <w:sz w:val="20"/>
                <w:szCs w:val="20"/>
              </w:rPr>
            </w:pPr>
            <w:r w:rsidRPr="001C728F">
              <w:rPr>
                <w:rFonts w:ascii="Arial" w:hAnsi="Arial" w:cs="Arial"/>
                <w:sz w:val="20"/>
                <w:szCs w:val="20"/>
              </w:rPr>
              <w:t>1,506,743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FEDEEF" w14:textId="7C0E2778" w:rsidR="008630DB" w:rsidRPr="001719B7" w:rsidRDefault="008630DB" w:rsidP="008630DB">
            <w:pPr>
              <w:jc w:val="center"/>
              <w:rPr>
                <w:rFonts w:ascii="Arial" w:hAnsi="Arial" w:cs="Arial"/>
                <w:sz w:val="20"/>
                <w:szCs w:val="20"/>
              </w:rPr>
            </w:pPr>
            <w:r w:rsidRPr="001C728F">
              <w:rPr>
                <w:rFonts w:ascii="Arial" w:hAnsi="Arial" w:cs="Arial"/>
                <w:sz w:val="20"/>
                <w:szCs w:val="20"/>
              </w:rPr>
              <w:t>1.84</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6ABB3B62" w14:textId="2D299F69" w:rsidR="008630DB" w:rsidRPr="001719B7" w:rsidRDefault="008630DB" w:rsidP="008630DB">
            <w:pPr>
              <w:jc w:val="center"/>
              <w:rPr>
                <w:rFonts w:ascii="Arial" w:hAnsi="Arial" w:cs="Arial"/>
                <w:sz w:val="20"/>
                <w:szCs w:val="20"/>
              </w:rPr>
            </w:pPr>
            <w:r w:rsidRPr="001C728F">
              <w:rPr>
                <w:rFonts w:ascii="Arial" w:hAnsi="Arial" w:cs="Arial"/>
                <w:sz w:val="20"/>
                <w:szCs w:val="20"/>
              </w:rPr>
              <w:t>1,307,966</w:t>
            </w:r>
          </w:p>
        </w:tc>
      </w:tr>
      <w:tr w:rsidR="008630DB" w:rsidRPr="001C728F" w14:paraId="19953093" w14:textId="77777777" w:rsidTr="001719B7">
        <w:tc>
          <w:tcPr>
            <w:tcW w:w="483" w:type="dxa"/>
          </w:tcPr>
          <w:p w14:paraId="2A170A86" w14:textId="0EBCF46E"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3</w:t>
            </w:r>
          </w:p>
        </w:tc>
        <w:tc>
          <w:tcPr>
            <w:tcW w:w="3736" w:type="dxa"/>
          </w:tcPr>
          <w:p w14:paraId="50FB8E58" w14:textId="0FD845FC" w:rsidR="008630DB" w:rsidRPr="00892EF1" w:rsidRDefault="008630DB" w:rsidP="008630DB">
            <w:pPr>
              <w:spacing w:after="0" w:line="240" w:lineRule="auto"/>
              <w:rPr>
                <w:rFonts w:ascii="Arial" w:hAnsi="Arial" w:cs="Arial"/>
                <w:sz w:val="20"/>
                <w:szCs w:val="20"/>
              </w:rPr>
            </w:pPr>
            <w:r w:rsidRPr="001C728F">
              <w:rPr>
                <w:rFonts w:ascii="Arial" w:hAnsi="Arial" w:cs="Arial"/>
                <w:sz w:val="20"/>
                <w:szCs w:val="20"/>
              </w:rPr>
              <w:t xml:space="preserve">To </w:t>
            </w:r>
            <w:r w:rsidRPr="00892EF1">
              <w:rPr>
                <w:rFonts w:ascii="Arial" w:hAnsi="Arial" w:cs="Arial"/>
                <w:sz w:val="20"/>
                <w:szCs w:val="20"/>
              </w:rPr>
              <w:t xml:space="preserve">reappoint </w:t>
            </w:r>
            <w:r>
              <w:rPr>
                <w:rFonts w:ascii="Arial" w:hAnsi="Arial" w:cs="Arial"/>
                <w:sz w:val="20"/>
                <w:szCs w:val="20"/>
              </w:rPr>
              <w:t>Stephen Harris</w:t>
            </w:r>
            <w:r w:rsidRPr="001C728F">
              <w:rPr>
                <w:rFonts w:ascii="Arial" w:hAnsi="Arial" w:cs="Arial"/>
                <w:sz w:val="20"/>
                <w:szCs w:val="20"/>
              </w:rPr>
              <w:t xml:space="preserve"> as a Director</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5D90B3BD" w14:textId="26B87044" w:rsidR="008630DB" w:rsidRPr="001719B7" w:rsidRDefault="008630DB" w:rsidP="008630DB">
            <w:pPr>
              <w:jc w:val="center"/>
              <w:rPr>
                <w:rFonts w:ascii="Arial" w:hAnsi="Arial" w:cs="Arial"/>
                <w:sz w:val="20"/>
                <w:szCs w:val="20"/>
              </w:rPr>
            </w:pPr>
            <w:r w:rsidRPr="001C728F">
              <w:rPr>
                <w:rFonts w:ascii="Arial" w:hAnsi="Arial" w:cs="Arial"/>
                <w:sz w:val="20"/>
                <w:szCs w:val="20"/>
              </w:rPr>
              <w:t>83,246,515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4C3779" w14:textId="0CB7A0D8" w:rsidR="008630DB" w:rsidRPr="001719B7" w:rsidRDefault="008630DB" w:rsidP="008630DB">
            <w:pPr>
              <w:jc w:val="center"/>
              <w:rPr>
                <w:rFonts w:ascii="Arial" w:hAnsi="Arial" w:cs="Arial"/>
                <w:sz w:val="20"/>
                <w:szCs w:val="20"/>
              </w:rPr>
            </w:pPr>
            <w:r w:rsidRPr="001C728F">
              <w:rPr>
                <w:rFonts w:ascii="Arial" w:hAnsi="Arial" w:cs="Arial"/>
                <w:sz w:val="20"/>
                <w:szCs w:val="20"/>
              </w:rPr>
              <w:t>99.99</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6DF8E051" w14:textId="460D2573" w:rsidR="008630DB" w:rsidRPr="001719B7" w:rsidRDefault="008630DB" w:rsidP="008630DB">
            <w:pPr>
              <w:jc w:val="center"/>
              <w:rPr>
                <w:rFonts w:ascii="Arial" w:hAnsi="Arial" w:cs="Arial"/>
                <w:sz w:val="20"/>
                <w:szCs w:val="20"/>
              </w:rPr>
            </w:pPr>
            <w:r w:rsidRPr="001C728F">
              <w:rPr>
                <w:rFonts w:ascii="Arial" w:hAnsi="Arial" w:cs="Arial"/>
                <w:sz w:val="20"/>
                <w:szCs w:val="20"/>
              </w:rPr>
              <w:t>6,007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C26893" w14:textId="01627430" w:rsidR="008630DB" w:rsidRPr="001719B7" w:rsidRDefault="008630DB" w:rsidP="008630DB">
            <w:pPr>
              <w:jc w:val="center"/>
              <w:rPr>
                <w:rFonts w:ascii="Arial" w:hAnsi="Arial" w:cs="Arial"/>
                <w:sz w:val="20"/>
                <w:szCs w:val="20"/>
              </w:rPr>
            </w:pPr>
            <w:r w:rsidRPr="001C728F">
              <w:rPr>
                <w:rFonts w:ascii="Arial" w:hAnsi="Arial" w:cs="Arial"/>
                <w:sz w:val="20"/>
                <w:szCs w:val="20"/>
              </w:rPr>
              <w:t>0.01</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6032D7FF" w14:textId="30D55756" w:rsidR="008630DB" w:rsidRPr="001719B7" w:rsidRDefault="008630DB" w:rsidP="008630DB">
            <w:pPr>
              <w:jc w:val="center"/>
              <w:rPr>
                <w:rFonts w:ascii="Arial" w:hAnsi="Arial" w:cs="Arial"/>
                <w:sz w:val="20"/>
                <w:szCs w:val="20"/>
              </w:rPr>
            </w:pPr>
            <w:r w:rsidRPr="001C728F">
              <w:rPr>
                <w:rFonts w:ascii="Arial" w:hAnsi="Arial" w:cs="Arial"/>
                <w:sz w:val="20"/>
                <w:szCs w:val="20"/>
              </w:rPr>
              <w:t>1,457</w:t>
            </w:r>
          </w:p>
        </w:tc>
      </w:tr>
      <w:tr w:rsidR="008630DB" w:rsidRPr="001C728F" w14:paraId="44E32B44" w14:textId="77777777" w:rsidTr="001719B7">
        <w:tc>
          <w:tcPr>
            <w:tcW w:w="483" w:type="dxa"/>
          </w:tcPr>
          <w:p w14:paraId="5F0200D1" w14:textId="66A1B355"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4</w:t>
            </w:r>
          </w:p>
        </w:tc>
        <w:tc>
          <w:tcPr>
            <w:tcW w:w="3736" w:type="dxa"/>
          </w:tcPr>
          <w:p w14:paraId="6AE643D1" w14:textId="7A36D08F"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 xml:space="preserve">To </w:t>
            </w:r>
            <w:r w:rsidRPr="00892EF1">
              <w:rPr>
                <w:rFonts w:ascii="Arial" w:hAnsi="Arial" w:cs="Arial"/>
                <w:sz w:val="20"/>
                <w:szCs w:val="20"/>
              </w:rPr>
              <w:t xml:space="preserve">reappoint </w:t>
            </w:r>
            <w:r w:rsidRPr="001C728F">
              <w:rPr>
                <w:rFonts w:ascii="Arial" w:hAnsi="Arial" w:cs="Arial"/>
                <w:sz w:val="20"/>
                <w:szCs w:val="20"/>
              </w:rPr>
              <w:t>Stephen Bird as a Director</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1EC4865D" w14:textId="7BA24486" w:rsidR="008630DB" w:rsidRPr="001719B7" w:rsidRDefault="008630DB" w:rsidP="008630DB">
            <w:pPr>
              <w:jc w:val="center"/>
              <w:rPr>
                <w:rFonts w:ascii="Arial" w:hAnsi="Arial" w:cs="Arial"/>
                <w:sz w:val="20"/>
                <w:szCs w:val="20"/>
              </w:rPr>
            </w:pPr>
            <w:r w:rsidRPr="001C728F">
              <w:rPr>
                <w:rFonts w:ascii="Arial" w:hAnsi="Arial" w:cs="Arial"/>
                <w:sz w:val="20"/>
                <w:szCs w:val="20"/>
              </w:rPr>
              <w:t>78,218,738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6364BD" w14:textId="1B2BC284" w:rsidR="008630DB" w:rsidRPr="001719B7" w:rsidRDefault="008630DB" w:rsidP="008630DB">
            <w:pPr>
              <w:jc w:val="center"/>
              <w:rPr>
                <w:rFonts w:ascii="Arial" w:hAnsi="Arial" w:cs="Arial"/>
                <w:sz w:val="20"/>
                <w:szCs w:val="20"/>
              </w:rPr>
            </w:pPr>
            <w:r w:rsidRPr="001C728F">
              <w:rPr>
                <w:rFonts w:ascii="Arial" w:hAnsi="Arial" w:cs="Arial"/>
                <w:sz w:val="20"/>
                <w:szCs w:val="20"/>
              </w:rPr>
              <w:t>97.29</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241CA764" w14:textId="39100CE3" w:rsidR="008630DB" w:rsidRPr="001719B7" w:rsidRDefault="008630DB" w:rsidP="008630DB">
            <w:pPr>
              <w:jc w:val="center"/>
              <w:rPr>
                <w:rFonts w:ascii="Arial" w:hAnsi="Arial" w:cs="Arial"/>
                <w:sz w:val="20"/>
                <w:szCs w:val="20"/>
              </w:rPr>
            </w:pPr>
            <w:r w:rsidRPr="001C728F">
              <w:rPr>
                <w:rFonts w:ascii="Arial" w:hAnsi="Arial" w:cs="Arial"/>
                <w:sz w:val="20"/>
                <w:szCs w:val="20"/>
              </w:rPr>
              <w:t>2,181,871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4E5D33" w14:textId="37CB23D4" w:rsidR="008630DB" w:rsidRPr="001719B7" w:rsidRDefault="008630DB" w:rsidP="008630DB">
            <w:pPr>
              <w:jc w:val="center"/>
              <w:rPr>
                <w:rFonts w:ascii="Arial" w:hAnsi="Arial" w:cs="Arial"/>
                <w:sz w:val="20"/>
                <w:szCs w:val="20"/>
              </w:rPr>
            </w:pPr>
            <w:r w:rsidRPr="001C728F">
              <w:rPr>
                <w:rFonts w:ascii="Arial" w:hAnsi="Arial" w:cs="Arial"/>
                <w:sz w:val="20"/>
                <w:szCs w:val="20"/>
              </w:rPr>
              <w:t>2.71</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2B5A5E5F" w14:textId="03845011" w:rsidR="008630DB" w:rsidRPr="001719B7" w:rsidRDefault="008630DB" w:rsidP="008630DB">
            <w:pPr>
              <w:jc w:val="center"/>
              <w:rPr>
                <w:rFonts w:ascii="Arial" w:hAnsi="Arial" w:cs="Arial"/>
                <w:sz w:val="20"/>
                <w:szCs w:val="20"/>
              </w:rPr>
            </w:pPr>
            <w:r w:rsidRPr="001C728F">
              <w:rPr>
                <w:rFonts w:ascii="Arial" w:hAnsi="Arial" w:cs="Arial"/>
                <w:sz w:val="20"/>
                <w:szCs w:val="20"/>
              </w:rPr>
              <w:t>2,853,370</w:t>
            </w:r>
          </w:p>
        </w:tc>
      </w:tr>
      <w:tr w:rsidR="008630DB" w:rsidRPr="001C728F" w14:paraId="2A6CFF1F" w14:textId="77777777" w:rsidTr="001719B7">
        <w:tc>
          <w:tcPr>
            <w:tcW w:w="483" w:type="dxa"/>
          </w:tcPr>
          <w:p w14:paraId="59FFB7DA" w14:textId="481E679B"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5</w:t>
            </w:r>
          </w:p>
        </w:tc>
        <w:tc>
          <w:tcPr>
            <w:tcW w:w="3736" w:type="dxa"/>
          </w:tcPr>
          <w:p w14:paraId="423D1278" w14:textId="2823FABD"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 xml:space="preserve">To </w:t>
            </w:r>
            <w:r w:rsidRPr="00892EF1">
              <w:rPr>
                <w:rFonts w:ascii="Arial" w:hAnsi="Arial" w:cs="Arial"/>
                <w:sz w:val="20"/>
                <w:szCs w:val="20"/>
              </w:rPr>
              <w:t xml:space="preserve">reappoint </w:t>
            </w:r>
            <w:r w:rsidRPr="001C728F">
              <w:rPr>
                <w:rFonts w:ascii="Arial" w:hAnsi="Arial" w:cs="Arial"/>
                <w:sz w:val="20"/>
                <w:szCs w:val="20"/>
              </w:rPr>
              <w:t>Andrea Rigamonti as a Director</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3BFA4B21" w14:textId="78D202EA" w:rsidR="008630DB" w:rsidRPr="001719B7" w:rsidRDefault="008630DB" w:rsidP="008630DB">
            <w:pPr>
              <w:jc w:val="center"/>
              <w:rPr>
                <w:rFonts w:ascii="Arial" w:hAnsi="Arial" w:cs="Arial"/>
                <w:sz w:val="20"/>
                <w:szCs w:val="20"/>
              </w:rPr>
            </w:pPr>
            <w:r w:rsidRPr="001C728F">
              <w:rPr>
                <w:rFonts w:ascii="Arial" w:hAnsi="Arial" w:cs="Arial"/>
                <w:sz w:val="20"/>
                <w:szCs w:val="20"/>
              </w:rPr>
              <w:t>83,145,294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20FA0C" w14:textId="2BC6B75B" w:rsidR="008630DB" w:rsidRPr="001719B7" w:rsidRDefault="008630DB" w:rsidP="008630DB">
            <w:pPr>
              <w:jc w:val="center"/>
              <w:rPr>
                <w:rFonts w:ascii="Arial" w:hAnsi="Arial" w:cs="Arial"/>
                <w:sz w:val="20"/>
                <w:szCs w:val="20"/>
              </w:rPr>
            </w:pPr>
            <w:r w:rsidRPr="001C728F">
              <w:rPr>
                <w:rFonts w:ascii="Arial" w:hAnsi="Arial" w:cs="Arial"/>
                <w:sz w:val="20"/>
                <w:szCs w:val="20"/>
              </w:rPr>
              <w:t>99.88</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682555A8" w14:textId="072A4646" w:rsidR="008630DB" w:rsidRPr="001719B7" w:rsidRDefault="008630DB" w:rsidP="008630DB">
            <w:pPr>
              <w:jc w:val="center"/>
              <w:rPr>
                <w:rFonts w:ascii="Arial" w:hAnsi="Arial" w:cs="Arial"/>
                <w:sz w:val="20"/>
                <w:szCs w:val="20"/>
              </w:rPr>
            </w:pPr>
            <w:r w:rsidRPr="001C728F">
              <w:rPr>
                <w:rFonts w:ascii="Arial" w:hAnsi="Arial" w:cs="Arial"/>
                <w:sz w:val="20"/>
                <w:szCs w:val="20"/>
              </w:rPr>
              <w:t>102,581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53E9D1" w14:textId="7BD69F20" w:rsidR="008630DB" w:rsidRPr="001719B7" w:rsidRDefault="008630DB" w:rsidP="008630DB">
            <w:pPr>
              <w:jc w:val="center"/>
              <w:rPr>
                <w:rFonts w:ascii="Arial" w:hAnsi="Arial" w:cs="Arial"/>
                <w:sz w:val="20"/>
                <w:szCs w:val="20"/>
              </w:rPr>
            </w:pPr>
            <w:r w:rsidRPr="001C728F">
              <w:rPr>
                <w:rFonts w:ascii="Arial" w:hAnsi="Arial" w:cs="Arial"/>
                <w:sz w:val="20"/>
                <w:szCs w:val="20"/>
              </w:rPr>
              <w:t>0.12</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5D3DE452" w14:textId="06005D24" w:rsidR="008630DB" w:rsidRPr="001719B7" w:rsidRDefault="008630DB" w:rsidP="008630DB">
            <w:pPr>
              <w:jc w:val="center"/>
              <w:rPr>
                <w:rFonts w:ascii="Arial" w:hAnsi="Arial" w:cs="Arial"/>
                <w:sz w:val="20"/>
                <w:szCs w:val="20"/>
              </w:rPr>
            </w:pPr>
            <w:r w:rsidRPr="001C728F">
              <w:rPr>
                <w:rFonts w:ascii="Arial" w:hAnsi="Arial" w:cs="Arial"/>
                <w:sz w:val="20"/>
                <w:szCs w:val="20"/>
              </w:rPr>
              <w:t>6,104</w:t>
            </w:r>
          </w:p>
        </w:tc>
      </w:tr>
      <w:tr w:rsidR="008630DB" w:rsidRPr="001C728F" w14:paraId="48B9CC8A" w14:textId="77777777" w:rsidTr="001719B7">
        <w:tc>
          <w:tcPr>
            <w:tcW w:w="483" w:type="dxa"/>
          </w:tcPr>
          <w:p w14:paraId="797E0A37" w14:textId="127386F7"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6</w:t>
            </w:r>
          </w:p>
        </w:tc>
        <w:tc>
          <w:tcPr>
            <w:tcW w:w="3736" w:type="dxa"/>
          </w:tcPr>
          <w:p w14:paraId="735AEAE5" w14:textId="3CBD0546"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reappoint Caroline Thomson as a Director</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01F24A68" w14:textId="0174EAB7" w:rsidR="008630DB" w:rsidRPr="001719B7" w:rsidRDefault="008630DB" w:rsidP="008630DB">
            <w:pPr>
              <w:jc w:val="center"/>
              <w:rPr>
                <w:rFonts w:ascii="Arial" w:hAnsi="Arial" w:cs="Arial"/>
                <w:sz w:val="20"/>
                <w:szCs w:val="20"/>
              </w:rPr>
            </w:pPr>
            <w:r w:rsidRPr="001C728F">
              <w:rPr>
                <w:rFonts w:ascii="Arial" w:hAnsi="Arial" w:cs="Arial"/>
                <w:sz w:val="20"/>
                <w:szCs w:val="20"/>
              </w:rPr>
              <w:t>81,030,155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71D2AF5" w14:textId="7D5D1AFC" w:rsidR="008630DB" w:rsidRPr="001719B7" w:rsidRDefault="008630DB" w:rsidP="008630DB">
            <w:pPr>
              <w:jc w:val="center"/>
              <w:rPr>
                <w:rFonts w:ascii="Arial" w:hAnsi="Arial" w:cs="Arial"/>
                <w:sz w:val="20"/>
                <w:szCs w:val="20"/>
              </w:rPr>
            </w:pPr>
            <w:r w:rsidRPr="001C728F">
              <w:rPr>
                <w:rFonts w:ascii="Arial" w:hAnsi="Arial" w:cs="Arial"/>
                <w:sz w:val="20"/>
                <w:szCs w:val="20"/>
              </w:rPr>
              <w:t>99.11</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4505D52B" w14:textId="73A39B90" w:rsidR="008630DB" w:rsidRPr="001719B7" w:rsidRDefault="008630DB" w:rsidP="008630DB">
            <w:pPr>
              <w:jc w:val="center"/>
              <w:rPr>
                <w:rFonts w:ascii="Arial" w:hAnsi="Arial" w:cs="Arial"/>
                <w:sz w:val="20"/>
                <w:szCs w:val="20"/>
              </w:rPr>
            </w:pPr>
            <w:r w:rsidRPr="001C728F">
              <w:rPr>
                <w:rFonts w:ascii="Arial" w:hAnsi="Arial" w:cs="Arial"/>
                <w:sz w:val="20"/>
                <w:szCs w:val="20"/>
              </w:rPr>
              <w:t>726,740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CFAD23" w14:textId="6693D6C6" w:rsidR="008630DB" w:rsidRPr="001719B7" w:rsidRDefault="008630DB" w:rsidP="008630DB">
            <w:pPr>
              <w:jc w:val="center"/>
              <w:rPr>
                <w:rFonts w:ascii="Arial" w:hAnsi="Arial" w:cs="Arial"/>
                <w:sz w:val="20"/>
                <w:szCs w:val="20"/>
              </w:rPr>
            </w:pPr>
            <w:r w:rsidRPr="001C728F">
              <w:rPr>
                <w:rFonts w:ascii="Arial" w:hAnsi="Arial" w:cs="Arial"/>
                <w:sz w:val="20"/>
                <w:szCs w:val="20"/>
              </w:rPr>
              <w:t>0.89</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3931DB60" w14:textId="5701F40F" w:rsidR="008630DB" w:rsidRPr="001719B7" w:rsidRDefault="008630DB" w:rsidP="008630DB">
            <w:pPr>
              <w:jc w:val="center"/>
              <w:rPr>
                <w:rFonts w:ascii="Arial" w:hAnsi="Arial" w:cs="Arial"/>
                <w:sz w:val="20"/>
                <w:szCs w:val="20"/>
              </w:rPr>
            </w:pPr>
            <w:r w:rsidRPr="001C728F">
              <w:rPr>
                <w:rFonts w:ascii="Arial" w:hAnsi="Arial" w:cs="Arial"/>
                <w:sz w:val="20"/>
                <w:szCs w:val="20"/>
              </w:rPr>
              <w:t>1,497,084</w:t>
            </w:r>
          </w:p>
        </w:tc>
      </w:tr>
      <w:tr w:rsidR="008630DB" w:rsidRPr="001C728F" w14:paraId="2B884D86" w14:textId="77777777" w:rsidTr="001719B7">
        <w:tc>
          <w:tcPr>
            <w:tcW w:w="483" w:type="dxa"/>
          </w:tcPr>
          <w:p w14:paraId="7C83F002" w14:textId="35FF7BC7"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7</w:t>
            </w:r>
          </w:p>
        </w:tc>
        <w:tc>
          <w:tcPr>
            <w:tcW w:w="3736" w:type="dxa"/>
          </w:tcPr>
          <w:p w14:paraId="6C9B870B" w14:textId="5A433A0D"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reappoint Richard Tyson as a Director</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259896D3" w14:textId="77E131B3"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81,028,601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DEF0CB" w14:textId="153CAB06"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97.33</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28C89B47" w14:textId="50A366AF"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2,219,274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F9AC1D" w14:textId="27A731F9"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2.67</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2F4CACA7" w14:textId="00FCD652"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6,104</w:t>
            </w:r>
          </w:p>
        </w:tc>
      </w:tr>
      <w:tr w:rsidR="008630DB" w:rsidRPr="001C728F" w14:paraId="64ABE011" w14:textId="77777777" w:rsidTr="001719B7">
        <w:tc>
          <w:tcPr>
            <w:tcW w:w="483" w:type="dxa"/>
          </w:tcPr>
          <w:p w14:paraId="60F42B98" w14:textId="253C3F30"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8</w:t>
            </w:r>
          </w:p>
        </w:tc>
        <w:tc>
          <w:tcPr>
            <w:tcW w:w="3736" w:type="dxa"/>
          </w:tcPr>
          <w:p w14:paraId="12394335" w14:textId="2AA73F87"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reappoint Anna Vikström Persson as a Director</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39D40BB1" w14:textId="5379B68E"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82,665,036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D14B10" w14:textId="7F5D5A52"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99.30</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76395C68" w14:textId="5434F499"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582,839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9AF972" w14:textId="0E9874F1"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0.70</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0160410A" w14:textId="7EB6A65B"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6,104</w:t>
            </w:r>
          </w:p>
        </w:tc>
      </w:tr>
      <w:tr w:rsidR="008630DB" w:rsidRPr="001C728F" w14:paraId="3F890786" w14:textId="77777777" w:rsidTr="001719B7">
        <w:tc>
          <w:tcPr>
            <w:tcW w:w="483" w:type="dxa"/>
          </w:tcPr>
          <w:p w14:paraId="4F0EBA9E" w14:textId="06F26CA3"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9</w:t>
            </w:r>
          </w:p>
        </w:tc>
        <w:tc>
          <w:tcPr>
            <w:tcW w:w="3736" w:type="dxa"/>
          </w:tcPr>
          <w:p w14:paraId="031A1964" w14:textId="43259D94"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reappoint Graham Oldroyd as a Director</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1B4CCA93" w14:textId="3B5EFBD8"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83,241,868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043A8D" w14:textId="45F05147"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99.99</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79471932" w14:textId="09CAEF7C"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6,007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9E9B9C" w14:textId="495228C9"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0.01</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5AC480AB" w14:textId="4018F575" w:rsidR="008630DB" w:rsidRPr="001719B7" w:rsidDel="00391D86" w:rsidRDefault="008630DB" w:rsidP="008630DB">
            <w:pPr>
              <w:jc w:val="center"/>
              <w:rPr>
                <w:rFonts w:ascii="Arial" w:hAnsi="Arial" w:cs="Arial"/>
                <w:sz w:val="20"/>
                <w:szCs w:val="20"/>
              </w:rPr>
            </w:pPr>
            <w:r w:rsidRPr="001C728F">
              <w:rPr>
                <w:rFonts w:ascii="Arial" w:hAnsi="Arial" w:cs="Arial"/>
                <w:sz w:val="20"/>
                <w:szCs w:val="20"/>
              </w:rPr>
              <w:t>6,104</w:t>
            </w:r>
          </w:p>
        </w:tc>
      </w:tr>
      <w:tr w:rsidR="008630DB" w:rsidRPr="001C728F" w14:paraId="17130AF7" w14:textId="77777777" w:rsidTr="001719B7">
        <w:tc>
          <w:tcPr>
            <w:tcW w:w="483" w:type="dxa"/>
          </w:tcPr>
          <w:p w14:paraId="4E5497DD" w14:textId="1D86023A"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10</w:t>
            </w:r>
          </w:p>
        </w:tc>
        <w:tc>
          <w:tcPr>
            <w:tcW w:w="3736" w:type="dxa"/>
          </w:tcPr>
          <w:p w14:paraId="1E52DD04" w14:textId="2D586E29"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appoint PricewaterhouseCoopers LLP as auditor of the Company</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6BF5B339" w14:textId="2F6AF965" w:rsidR="008630DB" w:rsidRPr="001719B7" w:rsidRDefault="008630DB" w:rsidP="008630DB">
            <w:pPr>
              <w:jc w:val="center"/>
              <w:rPr>
                <w:rFonts w:ascii="Arial" w:hAnsi="Arial" w:cs="Arial"/>
                <w:sz w:val="20"/>
                <w:szCs w:val="20"/>
              </w:rPr>
            </w:pPr>
            <w:r w:rsidRPr="001C728F">
              <w:rPr>
                <w:rFonts w:ascii="Arial" w:hAnsi="Arial" w:cs="Arial"/>
                <w:sz w:val="20"/>
                <w:szCs w:val="20"/>
              </w:rPr>
              <w:t>83,247,440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E98A91" w14:textId="35EE610C" w:rsidR="008630DB" w:rsidRPr="001719B7" w:rsidRDefault="008630DB" w:rsidP="008630DB">
            <w:pPr>
              <w:jc w:val="center"/>
              <w:rPr>
                <w:rFonts w:ascii="Arial" w:hAnsi="Arial" w:cs="Arial"/>
                <w:sz w:val="20"/>
                <w:szCs w:val="20"/>
              </w:rPr>
            </w:pPr>
            <w:r w:rsidRPr="001C728F">
              <w:rPr>
                <w:rFonts w:ascii="Arial" w:hAnsi="Arial" w:cs="Arial"/>
                <w:sz w:val="20"/>
                <w:szCs w:val="20"/>
              </w:rPr>
              <w:t>99.99</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5975B610" w14:textId="6FF37E75" w:rsidR="008630DB" w:rsidRPr="001719B7" w:rsidRDefault="008630DB" w:rsidP="008630DB">
            <w:pPr>
              <w:jc w:val="center"/>
              <w:rPr>
                <w:rFonts w:ascii="Arial" w:hAnsi="Arial" w:cs="Arial"/>
                <w:sz w:val="20"/>
                <w:szCs w:val="20"/>
              </w:rPr>
            </w:pPr>
            <w:r w:rsidRPr="001C728F">
              <w:rPr>
                <w:rFonts w:ascii="Arial" w:hAnsi="Arial" w:cs="Arial"/>
                <w:sz w:val="20"/>
                <w:szCs w:val="20"/>
              </w:rPr>
              <w:t>5,767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D67867" w14:textId="6B474DBB" w:rsidR="008630DB" w:rsidRPr="001719B7" w:rsidRDefault="008630DB" w:rsidP="008630DB">
            <w:pPr>
              <w:jc w:val="center"/>
              <w:rPr>
                <w:rFonts w:ascii="Arial" w:hAnsi="Arial" w:cs="Arial"/>
                <w:sz w:val="20"/>
                <w:szCs w:val="20"/>
              </w:rPr>
            </w:pPr>
            <w:r w:rsidRPr="001C728F">
              <w:rPr>
                <w:rFonts w:ascii="Arial" w:hAnsi="Arial" w:cs="Arial"/>
                <w:sz w:val="20"/>
                <w:szCs w:val="20"/>
              </w:rPr>
              <w:t>0.01</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25D5D32C" w14:textId="188D6D63" w:rsidR="008630DB" w:rsidRPr="001719B7" w:rsidRDefault="008630DB" w:rsidP="008630DB">
            <w:pPr>
              <w:jc w:val="center"/>
              <w:rPr>
                <w:rFonts w:ascii="Arial" w:hAnsi="Arial" w:cs="Arial"/>
                <w:sz w:val="20"/>
                <w:szCs w:val="20"/>
              </w:rPr>
            </w:pPr>
            <w:r w:rsidRPr="001C728F">
              <w:rPr>
                <w:rFonts w:ascii="Arial" w:hAnsi="Arial" w:cs="Arial"/>
                <w:sz w:val="20"/>
                <w:szCs w:val="20"/>
              </w:rPr>
              <w:t>772</w:t>
            </w:r>
          </w:p>
        </w:tc>
      </w:tr>
      <w:tr w:rsidR="008630DB" w:rsidRPr="001C728F" w14:paraId="5B78FFB7" w14:textId="77777777" w:rsidTr="001719B7">
        <w:tc>
          <w:tcPr>
            <w:tcW w:w="483" w:type="dxa"/>
          </w:tcPr>
          <w:p w14:paraId="50986040" w14:textId="3593428F"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11</w:t>
            </w:r>
          </w:p>
        </w:tc>
        <w:tc>
          <w:tcPr>
            <w:tcW w:w="3736" w:type="dxa"/>
          </w:tcPr>
          <w:p w14:paraId="00B14BC6" w14:textId="77777777"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authorise Directors to determine the remuneration of the auditor</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2CB49A36" w14:textId="150DDC88" w:rsidR="008630DB" w:rsidRPr="001719B7" w:rsidRDefault="008630DB" w:rsidP="008630DB">
            <w:pPr>
              <w:jc w:val="center"/>
              <w:rPr>
                <w:rFonts w:ascii="Arial" w:hAnsi="Arial" w:cs="Arial"/>
                <w:sz w:val="20"/>
                <w:szCs w:val="20"/>
              </w:rPr>
            </w:pPr>
            <w:r w:rsidRPr="001C728F">
              <w:rPr>
                <w:rFonts w:ascii="Arial" w:hAnsi="Arial" w:cs="Arial"/>
                <w:sz w:val="20"/>
                <w:szCs w:val="20"/>
              </w:rPr>
              <w:t>83,249,596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8CD4B3" w14:textId="4FD218B5" w:rsidR="008630DB" w:rsidRPr="001719B7" w:rsidRDefault="008630DB" w:rsidP="008630DB">
            <w:pPr>
              <w:jc w:val="center"/>
              <w:rPr>
                <w:rFonts w:ascii="Arial" w:hAnsi="Arial" w:cs="Arial"/>
                <w:sz w:val="20"/>
                <w:szCs w:val="20"/>
              </w:rPr>
            </w:pPr>
            <w:r w:rsidRPr="001C728F">
              <w:rPr>
                <w:rFonts w:ascii="Arial" w:hAnsi="Arial" w:cs="Arial"/>
                <w:sz w:val="20"/>
                <w:szCs w:val="20"/>
              </w:rPr>
              <w:t>100.00</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60C89627" w14:textId="297DE942" w:rsidR="008630DB" w:rsidRPr="001719B7" w:rsidRDefault="008630DB" w:rsidP="008630DB">
            <w:pPr>
              <w:jc w:val="center"/>
              <w:rPr>
                <w:rFonts w:ascii="Arial" w:hAnsi="Arial" w:cs="Arial"/>
                <w:sz w:val="20"/>
                <w:szCs w:val="20"/>
              </w:rPr>
            </w:pPr>
            <w:r w:rsidRPr="001C728F">
              <w:rPr>
                <w:rFonts w:ascii="Arial" w:hAnsi="Arial" w:cs="Arial"/>
                <w:sz w:val="20"/>
                <w:szCs w:val="20"/>
              </w:rPr>
              <w:t>3,221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35446E" w14:textId="5E6A5939" w:rsidR="008630DB" w:rsidRPr="001719B7" w:rsidRDefault="008630DB" w:rsidP="008630DB">
            <w:pPr>
              <w:jc w:val="center"/>
              <w:rPr>
                <w:rFonts w:ascii="Arial" w:hAnsi="Arial" w:cs="Arial"/>
                <w:sz w:val="20"/>
                <w:szCs w:val="20"/>
              </w:rPr>
            </w:pPr>
            <w:r w:rsidRPr="001C728F">
              <w:rPr>
                <w:rFonts w:ascii="Arial" w:hAnsi="Arial" w:cs="Arial"/>
                <w:sz w:val="20"/>
                <w:szCs w:val="20"/>
              </w:rPr>
              <w:t>0.00</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388EDB1F" w14:textId="04AA2751" w:rsidR="008630DB" w:rsidRPr="001719B7" w:rsidRDefault="008630DB" w:rsidP="008630DB">
            <w:pPr>
              <w:jc w:val="center"/>
              <w:rPr>
                <w:rFonts w:ascii="Arial" w:hAnsi="Arial" w:cs="Arial"/>
                <w:sz w:val="20"/>
                <w:szCs w:val="20"/>
              </w:rPr>
            </w:pPr>
            <w:r w:rsidRPr="001C728F">
              <w:rPr>
                <w:rFonts w:ascii="Arial" w:hAnsi="Arial" w:cs="Arial"/>
                <w:sz w:val="20"/>
                <w:szCs w:val="20"/>
              </w:rPr>
              <w:t>1,162</w:t>
            </w:r>
          </w:p>
        </w:tc>
      </w:tr>
      <w:tr w:rsidR="008630DB" w:rsidRPr="001C728F" w14:paraId="60703997" w14:textId="77777777" w:rsidTr="001719B7">
        <w:tc>
          <w:tcPr>
            <w:tcW w:w="483" w:type="dxa"/>
          </w:tcPr>
          <w:p w14:paraId="4BF6E5F3" w14:textId="160A2CAC"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12</w:t>
            </w:r>
          </w:p>
        </w:tc>
        <w:tc>
          <w:tcPr>
            <w:tcW w:w="3736" w:type="dxa"/>
          </w:tcPr>
          <w:p w14:paraId="59E06648" w14:textId="7BEF39AD"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authorise the Directors to allot share capital</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10C0AB2E" w14:textId="4A0AC6A6" w:rsidR="008630DB" w:rsidRPr="001719B7" w:rsidRDefault="008630DB" w:rsidP="008630DB">
            <w:pPr>
              <w:jc w:val="center"/>
              <w:rPr>
                <w:rFonts w:ascii="Arial" w:hAnsi="Arial" w:cs="Arial"/>
                <w:sz w:val="20"/>
                <w:szCs w:val="20"/>
              </w:rPr>
            </w:pPr>
            <w:r w:rsidRPr="001C728F">
              <w:rPr>
                <w:rFonts w:ascii="Arial" w:hAnsi="Arial" w:cs="Arial"/>
                <w:sz w:val="20"/>
                <w:szCs w:val="20"/>
              </w:rPr>
              <w:t>83,238,889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73C114" w14:textId="1A73A18D" w:rsidR="008630DB" w:rsidRPr="001719B7" w:rsidRDefault="008630DB" w:rsidP="008630DB">
            <w:pPr>
              <w:jc w:val="center"/>
              <w:rPr>
                <w:rFonts w:ascii="Arial" w:hAnsi="Arial" w:cs="Arial"/>
                <w:sz w:val="20"/>
                <w:szCs w:val="20"/>
              </w:rPr>
            </w:pPr>
            <w:r w:rsidRPr="001C728F">
              <w:rPr>
                <w:rFonts w:ascii="Arial" w:hAnsi="Arial" w:cs="Arial"/>
                <w:sz w:val="20"/>
                <w:szCs w:val="20"/>
              </w:rPr>
              <w:t>99.98</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55C2ED0A" w14:textId="30EDCE27" w:rsidR="008630DB" w:rsidRPr="001719B7" w:rsidRDefault="008630DB" w:rsidP="008630DB">
            <w:pPr>
              <w:jc w:val="center"/>
              <w:rPr>
                <w:rFonts w:ascii="Arial" w:hAnsi="Arial" w:cs="Arial"/>
                <w:sz w:val="20"/>
                <w:szCs w:val="20"/>
              </w:rPr>
            </w:pPr>
            <w:r w:rsidRPr="001C728F">
              <w:rPr>
                <w:rFonts w:ascii="Arial" w:hAnsi="Arial" w:cs="Arial"/>
                <w:sz w:val="20"/>
                <w:szCs w:val="20"/>
              </w:rPr>
              <w:t>15,090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0C6B21" w14:textId="2E0A7DF8" w:rsidR="008630DB" w:rsidRPr="001719B7" w:rsidRDefault="008630DB" w:rsidP="008630DB">
            <w:pPr>
              <w:jc w:val="center"/>
              <w:rPr>
                <w:rFonts w:ascii="Arial" w:hAnsi="Arial" w:cs="Arial"/>
                <w:sz w:val="20"/>
                <w:szCs w:val="20"/>
              </w:rPr>
            </w:pPr>
            <w:r w:rsidRPr="001C728F">
              <w:rPr>
                <w:rFonts w:ascii="Arial" w:hAnsi="Arial" w:cs="Arial"/>
                <w:sz w:val="20"/>
                <w:szCs w:val="20"/>
              </w:rPr>
              <w:t>0.02</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2176AA4E" w14:textId="0EB2F252" w:rsidR="008630DB" w:rsidRPr="001719B7" w:rsidRDefault="008630DB" w:rsidP="008630DB">
            <w:pPr>
              <w:jc w:val="center"/>
              <w:rPr>
                <w:rFonts w:ascii="Arial" w:hAnsi="Arial" w:cs="Arial"/>
                <w:sz w:val="20"/>
                <w:szCs w:val="20"/>
              </w:rPr>
            </w:pPr>
            <w:r w:rsidRPr="001C728F">
              <w:rPr>
                <w:rFonts w:ascii="Arial" w:hAnsi="Arial" w:cs="Arial"/>
                <w:sz w:val="20"/>
                <w:szCs w:val="20"/>
              </w:rPr>
              <w:t>0</w:t>
            </w:r>
          </w:p>
        </w:tc>
      </w:tr>
      <w:tr w:rsidR="008630DB" w:rsidRPr="001C728F" w14:paraId="0623DAA6" w14:textId="77777777" w:rsidTr="001719B7">
        <w:tc>
          <w:tcPr>
            <w:tcW w:w="483" w:type="dxa"/>
          </w:tcPr>
          <w:p w14:paraId="4C5E4C18" w14:textId="54775A92"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13</w:t>
            </w:r>
          </w:p>
        </w:tc>
        <w:tc>
          <w:tcPr>
            <w:tcW w:w="3736" w:type="dxa"/>
          </w:tcPr>
          <w:p w14:paraId="589A0052" w14:textId="77777777"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authorise Directors to allot relevant securities with the disapplication of pre-emption rights**</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270B2E32" w14:textId="6109707E" w:rsidR="008630DB" w:rsidRPr="001719B7" w:rsidRDefault="008630DB" w:rsidP="008630DB">
            <w:pPr>
              <w:jc w:val="center"/>
              <w:rPr>
                <w:rFonts w:ascii="Arial" w:hAnsi="Arial" w:cs="Arial"/>
                <w:sz w:val="20"/>
                <w:szCs w:val="20"/>
              </w:rPr>
            </w:pPr>
            <w:r w:rsidRPr="001C728F">
              <w:rPr>
                <w:rFonts w:ascii="Arial" w:hAnsi="Arial" w:cs="Arial"/>
                <w:sz w:val="20"/>
                <w:szCs w:val="20"/>
              </w:rPr>
              <w:t>81,908,405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F7F6EC" w14:textId="422D7C8C" w:rsidR="008630DB" w:rsidRPr="001719B7" w:rsidRDefault="008630DB" w:rsidP="008630DB">
            <w:pPr>
              <w:jc w:val="center"/>
              <w:rPr>
                <w:rFonts w:ascii="Arial" w:hAnsi="Arial" w:cs="Arial"/>
                <w:sz w:val="20"/>
                <w:szCs w:val="20"/>
              </w:rPr>
            </w:pPr>
            <w:r w:rsidRPr="001C728F">
              <w:rPr>
                <w:rFonts w:ascii="Arial" w:hAnsi="Arial" w:cs="Arial"/>
                <w:sz w:val="20"/>
                <w:szCs w:val="20"/>
              </w:rPr>
              <w:t>98.38</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2DC8B5DE" w14:textId="638F57BA" w:rsidR="008630DB" w:rsidRPr="001719B7" w:rsidRDefault="008630DB" w:rsidP="008630DB">
            <w:pPr>
              <w:jc w:val="center"/>
              <w:rPr>
                <w:rFonts w:ascii="Arial" w:hAnsi="Arial" w:cs="Arial"/>
                <w:sz w:val="20"/>
                <w:szCs w:val="20"/>
              </w:rPr>
            </w:pPr>
            <w:r w:rsidRPr="001C728F">
              <w:rPr>
                <w:rFonts w:ascii="Arial" w:hAnsi="Arial" w:cs="Arial"/>
                <w:sz w:val="20"/>
                <w:szCs w:val="20"/>
              </w:rPr>
              <w:t>1,345,574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F5E27D" w14:textId="0D256319" w:rsidR="008630DB" w:rsidRPr="001719B7" w:rsidRDefault="008630DB" w:rsidP="008630DB">
            <w:pPr>
              <w:jc w:val="center"/>
              <w:rPr>
                <w:rFonts w:ascii="Arial" w:hAnsi="Arial" w:cs="Arial"/>
                <w:sz w:val="20"/>
                <w:szCs w:val="20"/>
              </w:rPr>
            </w:pPr>
            <w:r w:rsidRPr="001C728F">
              <w:rPr>
                <w:rFonts w:ascii="Arial" w:hAnsi="Arial" w:cs="Arial"/>
                <w:sz w:val="20"/>
                <w:szCs w:val="20"/>
              </w:rPr>
              <w:t>1.62</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7EFE8AE8" w14:textId="0206E77E" w:rsidR="008630DB" w:rsidRPr="001719B7" w:rsidRDefault="008630DB" w:rsidP="008630DB">
            <w:pPr>
              <w:jc w:val="center"/>
              <w:rPr>
                <w:rFonts w:ascii="Arial" w:hAnsi="Arial" w:cs="Arial"/>
                <w:sz w:val="20"/>
                <w:szCs w:val="20"/>
              </w:rPr>
            </w:pPr>
            <w:r w:rsidRPr="001C728F">
              <w:rPr>
                <w:rFonts w:ascii="Arial" w:hAnsi="Arial" w:cs="Arial"/>
                <w:sz w:val="20"/>
                <w:szCs w:val="20"/>
              </w:rPr>
              <w:t>0</w:t>
            </w:r>
          </w:p>
        </w:tc>
      </w:tr>
      <w:tr w:rsidR="008630DB" w:rsidRPr="001C728F" w14:paraId="028E08A6" w14:textId="77777777" w:rsidTr="001719B7">
        <w:tc>
          <w:tcPr>
            <w:tcW w:w="483" w:type="dxa"/>
          </w:tcPr>
          <w:p w14:paraId="2887C93B" w14:textId="3475BB11"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14</w:t>
            </w:r>
          </w:p>
        </w:tc>
        <w:tc>
          <w:tcPr>
            <w:tcW w:w="3736" w:type="dxa"/>
          </w:tcPr>
          <w:p w14:paraId="7C3F9560" w14:textId="5C36ED36"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authorise the Company to make market purchases of its own shares**</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2E5285E1" w14:textId="660FDA7A" w:rsidR="008630DB" w:rsidRPr="001719B7" w:rsidRDefault="008630DB" w:rsidP="008630DB">
            <w:pPr>
              <w:jc w:val="center"/>
              <w:rPr>
                <w:rFonts w:ascii="Arial" w:hAnsi="Arial" w:cs="Arial"/>
                <w:sz w:val="20"/>
                <w:szCs w:val="20"/>
              </w:rPr>
            </w:pPr>
            <w:r w:rsidRPr="001C728F">
              <w:rPr>
                <w:rFonts w:ascii="Arial" w:hAnsi="Arial" w:cs="Arial"/>
                <w:sz w:val="20"/>
                <w:szCs w:val="20"/>
              </w:rPr>
              <w:t>83,232,218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E6C1E9" w14:textId="093D6F70" w:rsidR="008630DB" w:rsidRPr="001719B7" w:rsidRDefault="008630DB" w:rsidP="008630DB">
            <w:pPr>
              <w:jc w:val="center"/>
              <w:rPr>
                <w:rFonts w:ascii="Arial" w:hAnsi="Arial" w:cs="Arial"/>
                <w:sz w:val="20"/>
                <w:szCs w:val="20"/>
              </w:rPr>
            </w:pPr>
            <w:r w:rsidRPr="001C728F">
              <w:rPr>
                <w:rFonts w:ascii="Arial" w:hAnsi="Arial" w:cs="Arial"/>
                <w:sz w:val="20"/>
                <w:szCs w:val="20"/>
              </w:rPr>
              <w:t>99.98</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65A9D1D2" w14:textId="6E577877" w:rsidR="008630DB" w:rsidRPr="001719B7" w:rsidRDefault="008630DB" w:rsidP="008630DB">
            <w:pPr>
              <w:jc w:val="center"/>
              <w:rPr>
                <w:rFonts w:ascii="Arial" w:hAnsi="Arial" w:cs="Arial"/>
                <w:sz w:val="20"/>
                <w:szCs w:val="20"/>
              </w:rPr>
            </w:pPr>
            <w:r w:rsidRPr="001C728F">
              <w:rPr>
                <w:rFonts w:ascii="Arial" w:hAnsi="Arial" w:cs="Arial"/>
                <w:sz w:val="20"/>
                <w:szCs w:val="20"/>
              </w:rPr>
              <w:t>19,978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E35EC0" w14:textId="2CB56AE3" w:rsidR="008630DB" w:rsidRPr="001719B7" w:rsidRDefault="008630DB" w:rsidP="008630DB">
            <w:pPr>
              <w:jc w:val="center"/>
              <w:rPr>
                <w:rFonts w:ascii="Arial" w:hAnsi="Arial" w:cs="Arial"/>
                <w:sz w:val="20"/>
                <w:szCs w:val="20"/>
              </w:rPr>
            </w:pPr>
            <w:r w:rsidRPr="001C728F">
              <w:rPr>
                <w:rFonts w:ascii="Arial" w:hAnsi="Arial" w:cs="Arial"/>
                <w:sz w:val="20"/>
                <w:szCs w:val="20"/>
              </w:rPr>
              <w:t>0.02</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33B6B016" w14:textId="5DEB8CFC" w:rsidR="008630DB" w:rsidRPr="001719B7" w:rsidRDefault="008630DB" w:rsidP="008630DB">
            <w:pPr>
              <w:jc w:val="center"/>
              <w:rPr>
                <w:rFonts w:ascii="Arial" w:hAnsi="Arial" w:cs="Arial"/>
                <w:sz w:val="20"/>
                <w:szCs w:val="20"/>
              </w:rPr>
            </w:pPr>
            <w:r w:rsidRPr="001C728F">
              <w:rPr>
                <w:rFonts w:ascii="Arial" w:hAnsi="Arial" w:cs="Arial"/>
                <w:sz w:val="20"/>
                <w:szCs w:val="20"/>
              </w:rPr>
              <w:t>1,783</w:t>
            </w:r>
          </w:p>
        </w:tc>
      </w:tr>
      <w:tr w:rsidR="008630DB" w:rsidRPr="001C728F" w14:paraId="4EECC100" w14:textId="77777777" w:rsidTr="001719B7">
        <w:tc>
          <w:tcPr>
            <w:tcW w:w="483" w:type="dxa"/>
          </w:tcPr>
          <w:p w14:paraId="1DEE74D1" w14:textId="7CDBE240"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15</w:t>
            </w:r>
          </w:p>
        </w:tc>
        <w:tc>
          <w:tcPr>
            <w:tcW w:w="3736" w:type="dxa"/>
          </w:tcPr>
          <w:p w14:paraId="6004255B" w14:textId="77777777" w:rsidR="008630DB" w:rsidRPr="001C728F" w:rsidRDefault="008630DB" w:rsidP="008630DB">
            <w:pPr>
              <w:spacing w:after="0" w:line="240" w:lineRule="auto"/>
              <w:rPr>
                <w:rFonts w:ascii="Arial" w:hAnsi="Arial" w:cs="Arial"/>
                <w:sz w:val="20"/>
                <w:szCs w:val="20"/>
              </w:rPr>
            </w:pPr>
            <w:r w:rsidRPr="001C728F">
              <w:rPr>
                <w:rFonts w:ascii="Arial" w:hAnsi="Arial" w:cs="Arial"/>
                <w:sz w:val="20"/>
                <w:szCs w:val="20"/>
              </w:rPr>
              <w:t>To authorise Directors to call general meetings on 14 days’ notice**</w:t>
            </w:r>
          </w:p>
        </w:tc>
        <w:tc>
          <w:tcPr>
            <w:tcW w:w="1276" w:type="dxa"/>
            <w:tcBorders>
              <w:top w:val="single" w:sz="4" w:space="0" w:color="auto"/>
              <w:left w:val="single" w:sz="8" w:space="0" w:color="auto"/>
              <w:bottom w:val="single" w:sz="4" w:space="0" w:color="auto"/>
              <w:right w:val="single" w:sz="4" w:space="0" w:color="auto"/>
            </w:tcBorders>
            <w:shd w:val="clear" w:color="auto" w:fill="auto"/>
          </w:tcPr>
          <w:p w14:paraId="1A1A0414" w14:textId="14E8CB7F" w:rsidR="008630DB" w:rsidRPr="001719B7" w:rsidRDefault="008630DB" w:rsidP="008630DB">
            <w:pPr>
              <w:jc w:val="center"/>
              <w:rPr>
                <w:rFonts w:ascii="Arial" w:hAnsi="Arial" w:cs="Arial"/>
                <w:sz w:val="20"/>
                <w:szCs w:val="20"/>
              </w:rPr>
            </w:pPr>
            <w:r w:rsidRPr="001C728F">
              <w:rPr>
                <w:rFonts w:ascii="Arial" w:hAnsi="Arial" w:cs="Arial"/>
                <w:sz w:val="20"/>
                <w:szCs w:val="20"/>
              </w:rPr>
              <w:t>80,359,978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31B3BF1" w14:textId="41D37644" w:rsidR="008630DB" w:rsidRPr="001719B7" w:rsidRDefault="008630DB" w:rsidP="008630DB">
            <w:pPr>
              <w:jc w:val="center"/>
              <w:rPr>
                <w:rFonts w:ascii="Arial" w:hAnsi="Arial" w:cs="Arial"/>
                <w:sz w:val="20"/>
                <w:szCs w:val="20"/>
              </w:rPr>
            </w:pPr>
            <w:r w:rsidRPr="001C728F">
              <w:rPr>
                <w:rFonts w:ascii="Arial" w:hAnsi="Arial" w:cs="Arial"/>
                <w:sz w:val="20"/>
                <w:szCs w:val="20"/>
              </w:rPr>
              <w:t>96.52</w:t>
            </w:r>
          </w:p>
        </w:tc>
        <w:tc>
          <w:tcPr>
            <w:tcW w:w="1163" w:type="dxa"/>
            <w:tcBorders>
              <w:top w:val="single" w:sz="4" w:space="0" w:color="auto"/>
              <w:left w:val="single" w:sz="8" w:space="0" w:color="auto"/>
              <w:bottom w:val="single" w:sz="4" w:space="0" w:color="auto"/>
              <w:right w:val="single" w:sz="4" w:space="0" w:color="auto"/>
            </w:tcBorders>
            <w:shd w:val="clear" w:color="auto" w:fill="auto"/>
          </w:tcPr>
          <w:p w14:paraId="76D79418" w14:textId="46D25178" w:rsidR="008630DB" w:rsidRPr="001719B7" w:rsidRDefault="008630DB" w:rsidP="008630DB">
            <w:pPr>
              <w:jc w:val="center"/>
              <w:rPr>
                <w:rFonts w:ascii="Arial" w:hAnsi="Arial" w:cs="Arial"/>
                <w:sz w:val="20"/>
                <w:szCs w:val="20"/>
              </w:rPr>
            </w:pPr>
            <w:r w:rsidRPr="001C728F">
              <w:rPr>
                <w:rFonts w:ascii="Arial" w:hAnsi="Arial" w:cs="Arial"/>
                <w:sz w:val="20"/>
                <w:szCs w:val="20"/>
              </w:rPr>
              <w:t>2,893,539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594D30" w14:textId="0D8C3B9E" w:rsidR="008630DB" w:rsidRPr="001719B7" w:rsidRDefault="008630DB" w:rsidP="008630DB">
            <w:pPr>
              <w:jc w:val="center"/>
              <w:rPr>
                <w:rFonts w:ascii="Arial" w:hAnsi="Arial" w:cs="Arial"/>
                <w:sz w:val="20"/>
                <w:szCs w:val="20"/>
              </w:rPr>
            </w:pPr>
            <w:r w:rsidRPr="001C728F">
              <w:rPr>
                <w:rFonts w:ascii="Arial" w:hAnsi="Arial" w:cs="Arial"/>
                <w:sz w:val="20"/>
                <w:szCs w:val="20"/>
              </w:rPr>
              <w:t>3.48</w:t>
            </w:r>
          </w:p>
        </w:tc>
        <w:tc>
          <w:tcPr>
            <w:tcW w:w="1417" w:type="dxa"/>
            <w:tcBorders>
              <w:top w:val="single" w:sz="4" w:space="0" w:color="auto"/>
              <w:left w:val="single" w:sz="8" w:space="0" w:color="auto"/>
              <w:bottom w:val="single" w:sz="4" w:space="0" w:color="auto"/>
              <w:right w:val="single" w:sz="4" w:space="0" w:color="auto"/>
            </w:tcBorders>
            <w:shd w:val="clear" w:color="auto" w:fill="auto"/>
          </w:tcPr>
          <w:p w14:paraId="47F2F6A4" w14:textId="308C92F1" w:rsidR="008630DB" w:rsidRPr="001719B7" w:rsidRDefault="008630DB" w:rsidP="008630DB">
            <w:pPr>
              <w:jc w:val="center"/>
              <w:rPr>
                <w:rFonts w:ascii="Arial" w:hAnsi="Arial" w:cs="Arial"/>
                <w:sz w:val="20"/>
                <w:szCs w:val="20"/>
              </w:rPr>
            </w:pPr>
            <w:r w:rsidRPr="001C728F">
              <w:rPr>
                <w:rFonts w:ascii="Arial" w:hAnsi="Arial" w:cs="Arial"/>
                <w:sz w:val="20"/>
                <w:szCs w:val="20"/>
              </w:rPr>
              <w:t>462</w:t>
            </w:r>
          </w:p>
        </w:tc>
      </w:tr>
    </w:tbl>
    <w:p w14:paraId="6BB50B84" w14:textId="77777777" w:rsidR="00230DA0" w:rsidRPr="00892EF1" w:rsidRDefault="00230DA0" w:rsidP="001423CD">
      <w:pPr>
        <w:spacing w:after="0" w:line="240" w:lineRule="auto"/>
        <w:rPr>
          <w:rFonts w:ascii="Arial" w:hAnsi="Arial" w:cs="Arial"/>
          <w:sz w:val="20"/>
          <w:szCs w:val="20"/>
        </w:rPr>
      </w:pPr>
    </w:p>
    <w:p w14:paraId="1B87C416" w14:textId="77777777" w:rsidR="001E1BF3" w:rsidRPr="00892EF1" w:rsidRDefault="00230DA0" w:rsidP="001423CD">
      <w:pPr>
        <w:spacing w:after="0" w:line="240" w:lineRule="auto"/>
        <w:rPr>
          <w:rFonts w:ascii="Arial" w:hAnsi="Arial" w:cs="Arial"/>
          <w:sz w:val="20"/>
          <w:szCs w:val="20"/>
        </w:rPr>
      </w:pPr>
      <w:r w:rsidRPr="00892EF1">
        <w:rPr>
          <w:rFonts w:ascii="Arial" w:hAnsi="Arial" w:cs="Arial"/>
          <w:sz w:val="20"/>
          <w:szCs w:val="20"/>
        </w:rPr>
        <w:t>** denotes a special resolution</w:t>
      </w:r>
    </w:p>
    <w:p w14:paraId="427A40A8" w14:textId="77777777" w:rsidR="00377C1D" w:rsidRPr="00892EF1" w:rsidRDefault="00377C1D" w:rsidP="001423CD">
      <w:pPr>
        <w:spacing w:after="0" w:line="240" w:lineRule="auto"/>
        <w:rPr>
          <w:rFonts w:ascii="Arial" w:hAnsi="Arial" w:cs="Arial"/>
          <w:sz w:val="20"/>
          <w:szCs w:val="20"/>
        </w:rPr>
      </w:pPr>
    </w:p>
    <w:p w14:paraId="670F3D81" w14:textId="0FCEBD42" w:rsidR="00377C1D" w:rsidRPr="00892EF1" w:rsidRDefault="00377C1D" w:rsidP="00BA7B40">
      <w:pPr>
        <w:spacing w:after="0" w:line="240" w:lineRule="auto"/>
        <w:ind w:right="-46"/>
        <w:rPr>
          <w:rFonts w:ascii="Arial" w:hAnsi="Arial" w:cs="Arial"/>
          <w:sz w:val="20"/>
          <w:szCs w:val="20"/>
        </w:rPr>
      </w:pPr>
      <w:r w:rsidRPr="00892EF1">
        <w:rPr>
          <w:rFonts w:ascii="Arial" w:hAnsi="Arial" w:cs="Arial"/>
          <w:sz w:val="20"/>
          <w:szCs w:val="20"/>
        </w:rPr>
        <w:t>The number of shares in issue as at the date of the 20</w:t>
      </w:r>
      <w:r w:rsidR="00892EF1">
        <w:rPr>
          <w:rFonts w:ascii="Arial" w:hAnsi="Arial" w:cs="Arial"/>
          <w:sz w:val="20"/>
          <w:szCs w:val="20"/>
        </w:rPr>
        <w:t>2</w:t>
      </w:r>
      <w:r w:rsidR="007D1B8B">
        <w:rPr>
          <w:rFonts w:ascii="Arial" w:hAnsi="Arial" w:cs="Arial"/>
          <w:sz w:val="20"/>
          <w:szCs w:val="20"/>
        </w:rPr>
        <w:t>4</w:t>
      </w:r>
      <w:r w:rsidR="006E57E9" w:rsidRPr="00892EF1">
        <w:rPr>
          <w:rFonts w:ascii="Arial" w:hAnsi="Arial" w:cs="Arial"/>
          <w:sz w:val="20"/>
          <w:szCs w:val="20"/>
        </w:rPr>
        <w:t xml:space="preserve"> </w:t>
      </w:r>
      <w:r w:rsidR="006E57E9" w:rsidRPr="001B04FA">
        <w:rPr>
          <w:rFonts w:ascii="Arial" w:hAnsi="Arial" w:cs="Arial"/>
          <w:sz w:val="20"/>
          <w:szCs w:val="20"/>
        </w:rPr>
        <w:t xml:space="preserve">Annual General Meeting </w:t>
      </w:r>
      <w:r w:rsidR="003527D1" w:rsidRPr="001B04FA">
        <w:rPr>
          <w:rFonts w:ascii="Arial" w:hAnsi="Arial" w:cs="Arial"/>
          <w:sz w:val="20"/>
          <w:szCs w:val="20"/>
        </w:rPr>
        <w:t xml:space="preserve">is </w:t>
      </w:r>
      <w:r w:rsidR="007D1B8B" w:rsidRPr="001C728F">
        <w:rPr>
          <w:rFonts w:ascii="Arial" w:hAnsi="Arial" w:cs="Arial"/>
          <w:sz w:val="20"/>
          <w:szCs w:val="20"/>
        </w:rPr>
        <w:t>94,201,206</w:t>
      </w:r>
      <w:r w:rsidR="009C140E">
        <w:rPr>
          <w:rFonts w:ascii="Arial" w:hAnsi="Arial" w:cs="Arial"/>
          <w:sz w:val="20"/>
          <w:szCs w:val="20"/>
        </w:rPr>
        <w:t>.</w:t>
      </w:r>
    </w:p>
    <w:p w14:paraId="4EB75AD9" w14:textId="77777777" w:rsidR="001E1BF3" w:rsidRPr="00892EF1" w:rsidRDefault="001E1BF3" w:rsidP="00BA7B40">
      <w:pPr>
        <w:spacing w:after="0" w:line="240" w:lineRule="auto"/>
        <w:ind w:right="-46"/>
        <w:rPr>
          <w:rFonts w:ascii="Arial" w:hAnsi="Arial" w:cs="Arial"/>
          <w:sz w:val="20"/>
          <w:szCs w:val="20"/>
        </w:rPr>
      </w:pPr>
    </w:p>
    <w:p w14:paraId="6B2520A1" w14:textId="77777777" w:rsidR="00AA050C" w:rsidRPr="00892EF1" w:rsidRDefault="00AA050C" w:rsidP="00BA7B40">
      <w:pPr>
        <w:spacing w:after="0" w:line="240" w:lineRule="auto"/>
        <w:ind w:right="-46"/>
        <w:rPr>
          <w:rFonts w:ascii="Arial" w:hAnsi="Arial" w:cs="Arial"/>
          <w:sz w:val="20"/>
          <w:szCs w:val="20"/>
        </w:rPr>
      </w:pPr>
      <w:r w:rsidRPr="00892EF1">
        <w:rPr>
          <w:rFonts w:ascii="Arial" w:hAnsi="Arial" w:cs="Arial"/>
          <w:sz w:val="20"/>
          <w:szCs w:val="20"/>
        </w:rPr>
        <w:t xml:space="preserve">In accordance with LR 9.6.2 a copy of the resolutions passed under special business at today's Annual General Meeting </w:t>
      </w:r>
      <w:r w:rsidR="000C5CFB" w:rsidRPr="00892EF1">
        <w:rPr>
          <w:rFonts w:ascii="Arial" w:hAnsi="Arial" w:cs="Arial"/>
          <w:sz w:val="20"/>
          <w:szCs w:val="20"/>
        </w:rPr>
        <w:t>will be</w:t>
      </w:r>
      <w:r w:rsidRPr="00892EF1">
        <w:rPr>
          <w:rFonts w:ascii="Arial" w:hAnsi="Arial" w:cs="Arial"/>
          <w:sz w:val="20"/>
          <w:szCs w:val="20"/>
        </w:rPr>
        <w:t xml:space="preserve"> submitted to the National Storage Mechanism.</w:t>
      </w:r>
    </w:p>
    <w:p w14:paraId="72085B92" w14:textId="048EC99D" w:rsidR="00AA562B" w:rsidRDefault="00AA562B" w:rsidP="001423CD">
      <w:pPr>
        <w:spacing w:after="0" w:line="240" w:lineRule="auto"/>
        <w:rPr>
          <w:rFonts w:ascii="Arial" w:hAnsi="Arial" w:cs="Arial"/>
          <w:sz w:val="20"/>
          <w:szCs w:val="20"/>
        </w:rPr>
      </w:pPr>
    </w:p>
    <w:p w14:paraId="6F328A04" w14:textId="33E53C43" w:rsidR="00AA050C" w:rsidRDefault="00AA050C" w:rsidP="001423CD">
      <w:pPr>
        <w:spacing w:after="0" w:line="240" w:lineRule="auto"/>
        <w:rPr>
          <w:rFonts w:ascii="Arial" w:hAnsi="Arial" w:cs="Arial"/>
          <w:sz w:val="20"/>
          <w:szCs w:val="20"/>
        </w:rPr>
      </w:pPr>
    </w:p>
    <w:p w14:paraId="7C459FEB" w14:textId="77777777" w:rsidR="00892EF1" w:rsidRPr="00892EF1" w:rsidRDefault="00892EF1" w:rsidP="001423CD">
      <w:pPr>
        <w:spacing w:after="0" w:line="240" w:lineRule="auto"/>
        <w:rPr>
          <w:rFonts w:ascii="Arial" w:hAnsi="Arial" w:cs="Arial"/>
          <w:sz w:val="20"/>
          <w:szCs w:val="20"/>
        </w:rPr>
      </w:pPr>
    </w:p>
    <w:p w14:paraId="00E5BA9C" w14:textId="77777777" w:rsidR="00AA050C" w:rsidRPr="00892EF1" w:rsidRDefault="00AA050C" w:rsidP="001423CD">
      <w:pPr>
        <w:spacing w:after="0" w:line="240" w:lineRule="auto"/>
        <w:rPr>
          <w:rFonts w:ascii="Arial" w:hAnsi="Arial" w:cs="Arial"/>
          <w:b/>
          <w:sz w:val="20"/>
          <w:szCs w:val="20"/>
        </w:rPr>
      </w:pPr>
      <w:r w:rsidRPr="00892EF1">
        <w:rPr>
          <w:rFonts w:ascii="Arial" w:hAnsi="Arial" w:cs="Arial"/>
          <w:b/>
          <w:sz w:val="20"/>
          <w:szCs w:val="20"/>
        </w:rPr>
        <w:t>Jon Bolton</w:t>
      </w:r>
    </w:p>
    <w:p w14:paraId="0834AF98" w14:textId="77777777" w:rsidR="00AA050C" w:rsidRPr="00892EF1" w:rsidRDefault="00AA050C" w:rsidP="001423CD">
      <w:pPr>
        <w:spacing w:after="0" w:line="240" w:lineRule="auto"/>
        <w:rPr>
          <w:rFonts w:ascii="Arial" w:hAnsi="Arial" w:cs="Arial"/>
          <w:b/>
          <w:sz w:val="20"/>
          <w:szCs w:val="20"/>
        </w:rPr>
      </w:pPr>
      <w:r w:rsidRPr="00892EF1">
        <w:rPr>
          <w:rFonts w:ascii="Arial" w:hAnsi="Arial" w:cs="Arial"/>
          <w:b/>
          <w:sz w:val="20"/>
          <w:szCs w:val="20"/>
        </w:rPr>
        <w:t>Group Company Secretary</w:t>
      </w:r>
    </w:p>
    <w:p w14:paraId="05296A6D" w14:textId="77777777" w:rsidR="0035658D" w:rsidRPr="00FC09B0" w:rsidRDefault="0035658D" w:rsidP="0035658D">
      <w:pPr>
        <w:spacing w:after="0" w:line="280" w:lineRule="atLeast"/>
        <w:jc w:val="both"/>
        <w:rPr>
          <w:rFonts w:ascii="Arial" w:eastAsia="Times New Roman" w:hAnsi="Arial" w:cs="Arial"/>
          <w:sz w:val="20"/>
          <w:szCs w:val="20"/>
        </w:rPr>
      </w:pPr>
      <w:r w:rsidRPr="00FC09B0">
        <w:rPr>
          <w:rFonts w:ascii="Arial" w:eastAsia="Times New Roman" w:hAnsi="Arial" w:cs="Arial"/>
          <w:sz w:val="20"/>
          <w:szCs w:val="20"/>
        </w:rPr>
        <w:t>020 8332 4600 </w:t>
      </w:r>
    </w:p>
    <w:p w14:paraId="3A4014CB" w14:textId="77777777" w:rsidR="00892EF1" w:rsidRPr="00892EF1" w:rsidRDefault="00892EF1" w:rsidP="001423CD">
      <w:pPr>
        <w:spacing w:after="0" w:line="240" w:lineRule="auto"/>
        <w:rPr>
          <w:rFonts w:ascii="Arial" w:hAnsi="Arial" w:cs="Arial"/>
          <w:b/>
          <w:sz w:val="20"/>
          <w:szCs w:val="20"/>
          <w:highlight w:val="yellow"/>
        </w:rPr>
      </w:pPr>
    </w:p>
    <w:p w14:paraId="20D73870" w14:textId="77777777" w:rsidR="001423CD" w:rsidRPr="00892EF1" w:rsidRDefault="001423CD" w:rsidP="001423CD">
      <w:pPr>
        <w:spacing w:after="0" w:line="240" w:lineRule="auto"/>
        <w:rPr>
          <w:rFonts w:ascii="Arial" w:hAnsi="Arial" w:cs="Arial"/>
          <w:b/>
          <w:sz w:val="20"/>
          <w:szCs w:val="20"/>
          <w:highlight w:val="yellow"/>
        </w:rPr>
      </w:pPr>
    </w:p>
    <w:p w14:paraId="594C080F" w14:textId="3F495445" w:rsidR="000739A6" w:rsidRDefault="000739A6" w:rsidP="000739A6">
      <w:pPr>
        <w:autoSpaceDE w:val="0"/>
        <w:autoSpaceDN w:val="0"/>
        <w:adjustRightInd w:val="0"/>
        <w:spacing w:after="0"/>
        <w:ind w:right="34"/>
        <w:jc w:val="both"/>
        <w:rPr>
          <w:rFonts w:ascii="Arial" w:eastAsia="Calibri" w:hAnsi="Arial" w:cs="Arial"/>
          <w:b/>
          <w:sz w:val="20"/>
          <w:lang w:eastAsia="en-US"/>
        </w:rPr>
      </w:pPr>
      <w:r w:rsidRPr="000739A6">
        <w:rPr>
          <w:rFonts w:ascii="Arial" w:eastAsia="Calibri" w:hAnsi="Arial" w:cs="Arial"/>
          <w:b/>
          <w:sz w:val="20"/>
          <w:lang w:eastAsia="en-US"/>
        </w:rPr>
        <w:t xml:space="preserve">A snapshot of </w:t>
      </w:r>
      <w:r w:rsidR="00391D86">
        <w:rPr>
          <w:rFonts w:ascii="Arial" w:eastAsia="Calibri" w:hAnsi="Arial" w:cs="Arial"/>
          <w:b/>
          <w:sz w:val="20"/>
          <w:lang w:eastAsia="en-US"/>
        </w:rPr>
        <w:t>Videndum</w:t>
      </w:r>
      <w:r w:rsidRPr="000739A6">
        <w:rPr>
          <w:rFonts w:ascii="Arial" w:eastAsia="Calibri" w:hAnsi="Arial" w:cs="Arial"/>
          <w:b/>
          <w:sz w:val="20"/>
          <w:lang w:eastAsia="en-US"/>
        </w:rPr>
        <w:t xml:space="preserve"> plc</w:t>
      </w:r>
    </w:p>
    <w:p w14:paraId="1AA534CB" w14:textId="30D95AE6" w:rsidR="00391D86" w:rsidRDefault="00391D86" w:rsidP="000739A6">
      <w:pPr>
        <w:autoSpaceDE w:val="0"/>
        <w:autoSpaceDN w:val="0"/>
        <w:adjustRightInd w:val="0"/>
        <w:spacing w:after="0"/>
        <w:ind w:right="34"/>
        <w:jc w:val="both"/>
        <w:rPr>
          <w:rFonts w:ascii="Arial" w:eastAsia="Calibri" w:hAnsi="Arial" w:cs="Arial"/>
          <w:b/>
          <w:sz w:val="20"/>
          <w:lang w:eastAsia="en-US"/>
        </w:rPr>
      </w:pPr>
    </w:p>
    <w:p w14:paraId="5F2E1B0E"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Videndum is a leading global provider of premium branded hardware products and software solutions to the content creation market. We are organised in three Divisions: Videndum Media Solutions, Videndum Production Solutions and Videndum Creative Solutions.</w:t>
      </w:r>
    </w:p>
    <w:p w14:paraId="06D0D184"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 </w:t>
      </w:r>
    </w:p>
    <w:p w14:paraId="140257DF"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Videndum's customers include broadcasters, film studios, production and rental companies, photographers, independent content creators ("ICC"), professional musicians and enterprises. Our product portfolio includes camera supports, video transmission systems and monitors, live streaming solutions, smartphone accessories, robotic camera systems, prompters, LED lighting, mobile power, carrying solutions, backgrounds, audio capture, and noise reduction equipment.</w:t>
      </w:r>
    </w:p>
    <w:p w14:paraId="38F1D237"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 </w:t>
      </w:r>
    </w:p>
    <w:p w14:paraId="301A5768"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We employ around 1,600 people across the world in ten different countries. Videndum plc is listed on the London Stock Exchange, ticker: VID.</w:t>
      </w:r>
    </w:p>
    <w:p w14:paraId="7D97F8EF"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 </w:t>
      </w:r>
    </w:p>
    <w:p w14:paraId="4A35E5F4"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More information can be found at: </w:t>
      </w:r>
      <w:hyperlink r:id="rId6" w:history="1">
        <w:r w:rsidRPr="00BF260D">
          <w:rPr>
            <w:rStyle w:val="Hyperlink"/>
            <w:rFonts w:ascii="Arial" w:eastAsiaTheme="minorHAnsi" w:hAnsi="Arial" w:cs="Arial"/>
            <w:sz w:val="20"/>
            <w:szCs w:val="20"/>
          </w:rPr>
          <w:t>https://videndum.com/</w:t>
        </w:r>
      </w:hyperlink>
    </w:p>
    <w:p w14:paraId="10C3A8AC"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 </w:t>
      </w:r>
    </w:p>
    <w:p w14:paraId="3D2A7898" w14:textId="77777777" w:rsidR="00BF260D" w:rsidRPr="00BF260D" w:rsidRDefault="00BF260D" w:rsidP="00BF260D">
      <w:pPr>
        <w:autoSpaceDE w:val="0"/>
        <w:autoSpaceDN w:val="0"/>
        <w:adjustRightInd w:val="0"/>
        <w:spacing w:after="0"/>
        <w:ind w:right="34"/>
        <w:jc w:val="both"/>
        <w:rPr>
          <w:rFonts w:ascii="Arial" w:eastAsiaTheme="minorHAnsi" w:hAnsi="Arial" w:cs="Arial"/>
          <w:color w:val="000000"/>
          <w:sz w:val="20"/>
          <w:szCs w:val="20"/>
        </w:rPr>
      </w:pPr>
      <w:r w:rsidRPr="00BF260D">
        <w:rPr>
          <w:rFonts w:ascii="Arial" w:eastAsiaTheme="minorHAnsi" w:hAnsi="Arial" w:cs="Arial"/>
          <w:color w:val="000000"/>
          <w:sz w:val="20"/>
          <w:szCs w:val="20"/>
        </w:rPr>
        <w:t>LEI number: 2138007H5DQ4X8YOCF14</w:t>
      </w:r>
    </w:p>
    <w:p w14:paraId="1D810173" w14:textId="77777777" w:rsidR="00391D86" w:rsidRPr="000739A6" w:rsidRDefault="00391D86" w:rsidP="000739A6">
      <w:pPr>
        <w:autoSpaceDE w:val="0"/>
        <w:autoSpaceDN w:val="0"/>
        <w:adjustRightInd w:val="0"/>
        <w:spacing w:after="0"/>
        <w:ind w:right="34"/>
        <w:jc w:val="both"/>
        <w:rPr>
          <w:rFonts w:ascii="Arial" w:eastAsia="Calibri" w:hAnsi="Arial" w:cs="Arial"/>
          <w:b/>
          <w:sz w:val="20"/>
          <w:lang w:eastAsia="en-US"/>
        </w:rPr>
      </w:pPr>
    </w:p>
    <w:p w14:paraId="19CA69BB" w14:textId="68AFBA7A" w:rsidR="00EC34BD" w:rsidRPr="00892EF1" w:rsidRDefault="00EC34BD" w:rsidP="00BA7B40">
      <w:pPr>
        <w:spacing w:after="0" w:line="240" w:lineRule="auto"/>
        <w:ind w:right="-188"/>
        <w:rPr>
          <w:rFonts w:ascii="Arial" w:hAnsi="Arial" w:cs="Arial"/>
          <w:sz w:val="20"/>
          <w:szCs w:val="20"/>
        </w:rPr>
      </w:pPr>
    </w:p>
    <w:sectPr w:rsidR="00EC34BD" w:rsidRPr="00892EF1" w:rsidSect="00EC34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E5DDE" w14:textId="77777777" w:rsidR="00170025" w:rsidRDefault="00170025" w:rsidP="00983BDA">
      <w:pPr>
        <w:spacing w:after="0" w:line="240" w:lineRule="auto"/>
      </w:pPr>
      <w:r>
        <w:separator/>
      </w:r>
    </w:p>
  </w:endnote>
  <w:endnote w:type="continuationSeparator" w:id="0">
    <w:p w14:paraId="4AEDF13E" w14:textId="77777777" w:rsidR="00170025" w:rsidRDefault="00170025" w:rsidP="0098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3A4BE" w14:textId="77777777" w:rsidR="00170025" w:rsidRDefault="00170025" w:rsidP="00983BDA">
      <w:pPr>
        <w:spacing w:after="0" w:line="240" w:lineRule="auto"/>
      </w:pPr>
      <w:r>
        <w:separator/>
      </w:r>
    </w:p>
  </w:footnote>
  <w:footnote w:type="continuationSeparator" w:id="0">
    <w:p w14:paraId="57CE5880" w14:textId="77777777" w:rsidR="00170025" w:rsidRDefault="00170025" w:rsidP="00983B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A050C"/>
    <w:rsid w:val="00064EC5"/>
    <w:rsid w:val="000739A6"/>
    <w:rsid w:val="00077041"/>
    <w:rsid w:val="0009116F"/>
    <w:rsid w:val="000C02FC"/>
    <w:rsid w:val="000C5CFB"/>
    <w:rsid w:val="000D647B"/>
    <w:rsid w:val="00112459"/>
    <w:rsid w:val="001423CD"/>
    <w:rsid w:val="0015621C"/>
    <w:rsid w:val="00170025"/>
    <w:rsid w:val="001719B7"/>
    <w:rsid w:val="00186346"/>
    <w:rsid w:val="001A36CC"/>
    <w:rsid w:val="001B04FA"/>
    <w:rsid w:val="001C0BF8"/>
    <w:rsid w:val="001C728F"/>
    <w:rsid w:val="001E1BF3"/>
    <w:rsid w:val="001E37E7"/>
    <w:rsid w:val="00213A59"/>
    <w:rsid w:val="00216079"/>
    <w:rsid w:val="00230DA0"/>
    <w:rsid w:val="002667BB"/>
    <w:rsid w:val="002C094A"/>
    <w:rsid w:val="002E5A6C"/>
    <w:rsid w:val="003527D1"/>
    <w:rsid w:val="0035658D"/>
    <w:rsid w:val="00377C1D"/>
    <w:rsid w:val="00391D86"/>
    <w:rsid w:val="003F01CA"/>
    <w:rsid w:val="00436AE0"/>
    <w:rsid w:val="00440488"/>
    <w:rsid w:val="00441009"/>
    <w:rsid w:val="004444EE"/>
    <w:rsid w:val="004B40E2"/>
    <w:rsid w:val="0050259C"/>
    <w:rsid w:val="0051026D"/>
    <w:rsid w:val="00511ED8"/>
    <w:rsid w:val="00652CC7"/>
    <w:rsid w:val="00656469"/>
    <w:rsid w:val="006635AE"/>
    <w:rsid w:val="006B1710"/>
    <w:rsid w:val="006C0261"/>
    <w:rsid w:val="006E57E9"/>
    <w:rsid w:val="00704274"/>
    <w:rsid w:val="00710076"/>
    <w:rsid w:val="007C030A"/>
    <w:rsid w:val="007D1B8B"/>
    <w:rsid w:val="00812EC8"/>
    <w:rsid w:val="00823BF8"/>
    <w:rsid w:val="008370CC"/>
    <w:rsid w:val="00850774"/>
    <w:rsid w:val="008556B9"/>
    <w:rsid w:val="008630DB"/>
    <w:rsid w:val="00892EF1"/>
    <w:rsid w:val="008E53ED"/>
    <w:rsid w:val="009163AB"/>
    <w:rsid w:val="00941BAE"/>
    <w:rsid w:val="00980F3C"/>
    <w:rsid w:val="00983BDA"/>
    <w:rsid w:val="00994A5F"/>
    <w:rsid w:val="009C140E"/>
    <w:rsid w:val="009D117F"/>
    <w:rsid w:val="009E3C66"/>
    <w:rsid w:val="00A02AB5"/>
    <w:rsid w:val="00A56EBD"/>
    <w:rsid w:val="00A57478"/>
    <w:rsid w:val="00A75B50"/>
    <w:rsid w:val="00A93F49"/>
    <w:rsid w:val="00AA050C"/>
    <w:rsid w:val="00AA0AE8"/>
    <w:rsid w:val="00AA562B"/>
    <w:rsid w:val="00AC5707"/>
    <w:rsid w:val="00B2305F"/>
    <w:rsid w:val="00B25F00"/>
    <w:rsid w:val="00B7730D"/>
    <w:rsid w:val="00B90D32"/>
    <w:rsid w:val="00B96C54"/>
    <w:rsid w:val="00BA7B40"/>
    <w:rsid w:val="00BB6C16"/>
    <w:rsid w:val="00BD3F2F"/>
    <w:rsid w:val="00BF260D"/>
    <w:rsid w:val="00C01069"/>
    <w:rsid w:val="00C02F30"/>
    <w:rsid w:val="00C11018"/>
    <w:rsid w:val="00C15C44"/>
    <w:rsid w:val="00C83AD5"/>
    <w:rsid w:val="00CB211F"/>
    <w:rsid w:val="00CB3B64"/>
    <w:rsid w:val="00CC4FC9"/>
    <w:rsid w:val="00CD477C"/>
    <w:rsid w:val="00CE2D5B"/>
    <w:rsid w:val="00CF74DB"/>
    <w:rsid w:val="00D0353F"/>
    <w:rsid w:val="00D15FAD"/>
    <w:rsid w:val="00D9258F"/>
    <w:rsid w:val="00DA14F1"/>
    <w:rsid w:val="00DC170F"/>
    <w:rsid w:val="00DD0000"/>
    <w:rsid w:val="00E1025B"/>
    <w:rsid w:val="00E325FA"/>
    <w:rsid w:val="00E57430"/>
    <w:rsid w:val="00E73D40"/>
    <w:rsid w:val="00E81893"/>
    <w:rsid w:val="00EB70C7"/>
    <w:rsid w:val="00EC34BD"/>
    <w:rsid w:val="00ED74F0"/>
    <w:rsid w:val="00FA3B13"/>
    <w:rsid w:val="00FB4911"/>
    <w:rsid w:val="00FB7698"/>
    <w:rsid w:val="00FF6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5316DA"/>
  <w15:docId w15:val="{7EE03A9D-0A1D-4844-8173-1F14D597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50C"/>
    <w:rPr>
      <w:color w:val="0000FF" w:themeColor="hyperlink"/>
      <w:u w:val="single"/>
    </w:rPr>
  </w:style>
  <w:style w:type="paragraph" w:styleId="BalloonText">
    <w:name w:val="Balloon Text"/>
    <w:basedOn w:val="Normal"/>
    <w:link w:val="BalloonTextChar"/>
    <w:uiPriority w:val="99"/>
    <w:semiHidden/>
    <w:unhideWhenUsed/>
    <w:rsid w:val="00BB6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C16"/>
    <w:rPr>
      <w:rFonts w:ascii="Tahoma" w:hAnsi="Tahoma" w:cs="Tahoma"/>
      <w:sz w:val="16"/>
      <w:szCs w:val="16"/>
    </w:rPr>
  </w:style>
  <w:style w:type="paragraph" w:customStyle="1" w:styleId="ah">
    <w:name w:val="ah"/>
    <w:basedOn w:val="Normal"/>
    <w:rsid w:val="00812EC8"/>
    <w:rPr>
      <w:rFonts w:ascii="Calibri" w:eastAsia="Times New Roman" w:hAnsi="Calibri" w:cs="Times New Roman"/>
      <w:i/>
      <w:iCs/>
    </w:rPr>
  </w:style>
  <w:style w:type="character" w:customStyle="1" w:styleId="q">
    <w:name w:val="q"/>
    <w:basedOn w:val="DefaultParagraphFont"/>
    <w:rsid w:val="00812EC8"/>
    <w:rPr>
      <w:rFonts w:ascii="Arial" w:hAnsi="Arial" w:cs="Arial" w:hint="default"/>
      <w:sz w:val="20"/>
      <w:szCs w:val="20"/>
    </w:rPr>
  </w:style>
  <w:style w:type="character" w:customStyle="1" w:styleId="t">
    <w:name w:val="t"/>
    <w:basedOn w:val="DefaultParagraphFont"/>
    <w:rsid w:val="00980F3C"/>
    <w:rPr>
      <w:rFonts w:ascii="Arial" w:hAnsi="Arial" w:cs="Arial" w:hint="default"/>
      <w:sz w:val="22"/>
      <w:szCs w:val="22"/>
    </w:rPr>
  </w:style>
  <w:style w:type="paragraph" w:styleId="Revision">
    <w:name w:val="Revision"/>
    <w:hidden/>
    <w:uiPriority w:val="99"/>
    <w:semiHidden/>
    <w:rsid w:val="00391D86"/>
    <w:pPr>
      <w:spacing w:after="0" w:line="240" w:lineRule="auto"/>
    </w:pPr>
  </w:style>
  <w:style w:type="paragraph" w:customStyle="1" w:styleId="aj">
    <w:name w:val="aj"/>
    <w:basedOn w:val="Normal"/>
    <w:rsid w:val="00391D86"/>
    <w:pPr>
      <w:spacing w:before="100" w:beforeAutospacing="1" w:after="100" w:afterAutospacing="1" w:line="240" w:lineRule="auto"/>
    </w:pPr>
    <w:rPr>
      <w:rFonts w:ascii="Calibri" w:eastAsiaTheme="minorHAnsi" w:hAnsi="Calibri" w:cs="Calibri"/>
    </w:rPr>
  </w:style>
  <w:style w:type="character" w:customStyle="1" w:styleId="al">
    <w:name w:val="al"/>
    <w:basedOn w:val="DefaultParagraphFont"/>
    <w:rsid w:val="00391D86"/>
  </w:style>
  <w:style w:type="character" w:styleId="UnresolvedMention">
    <w:name w:val="Unresolved Mention"/>
    <w:basedOn w:val="DefaultParagraphFont"/>
    <w:uiPriority w:val="99"/>
    <w:semiHidden/>
    <w:unhideWhenUsed/>
    <w:rsid w:val="00BF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6616">
      <w:bodyDiv w:val="1"/>
      <w:marLeft w:val="0"/>
      <w:marRight w:val="0"/>
      <w:marTop w:val="0"/>
      <w:marBottom w:val="0"/>
      <w:divBdr>
        <w:top w:val="none" w:sz="0" w:space="0" w:color="auto"/>
        <w:left w:val="none" w:sz="0" w:space="0" w:color="auto"/>
        <w:bottom w:val="none" w:sz="0" w:space="0" w:color="auto"/>
        <w:right w:val="none" w:sz="0" w:space="0" w:color="auto"/>
      </w:divBdr>
    </w:div>
    <w:div w:id="266156407">
      <w:bodyDiv w:val="1"/>
      <w:marLeft w:val="0"/>
      <w:marRight w:val="0"/>
      <w:marTop w:val="0"/>
      <w:marBottom w:val="0"/>
      <w:divBdr>
        <w:top w:val="none" w:sz="0" w:space="0" w:color="auto"/>
        <w:left w:val="none" w:sz="0" w:space="0" w:color="auto"/>
        <w:bottom w:val="none" w:sz="0" w:space="0" w:color="auto"/>
        <w:right w:val="none" w:sz="0" w:space="0" w:color="auto"/>
      </w:divBdr>
    </w:div>
    <w:div w:id="266812469">
      <w:bodyDiv w:val="1"/>
      <w:marLeft w:val="0"/>
      <w:marRight w:val="0"/>
      <w:marTop w:val="0"/>
      <w:marBottom w:val="0"/>
      <w:divBdr>
        <w:top w:val="none" w:sz="0" w:space="0" w:color="auto"/>
        <w:left w:val="none" w:sz="0" w:space="0" w:color="auto"/>
        <w:bottom w:val="none" w:sz="0" w:space="0" w:color="auto"/>
        <w:right w:val="none" w:sz="0" w:space="0" w:color="auto"/>
      </w:divBdr>
    </w:div>
    <w:div w:id="578514569">
      <w:bodyDiv w:val="1"/>
      <w:marLeft w:val="0"/>
      <w:marRight w:val="0"/>
      <w:marTop w:val="0"/>
      <w:marBottom w:val="0"/>
      <w:divBdr>
        <w:top w:val="none" w:sz="0" w:space="0" w:color="auto"/>
        <w:left w:val="none" w:sz="0" w:space="0" w:color="auto"/>
        <w:bottom w:val="none" w:sz="0" w:space="0" w:color="auto"/>
        <w:right w:val="none" w:sz="0" w:space="0" w:color="auto"/>
      </w:divBdr>
    </w:div>
    <w:div w:id="740450284">
      <w:bodyDiv w:val="1"/>
      <w:marLeft w:val="0"/>
      <w:marRight w:val="0"/>
      <w:marTop w:val="0"/>
      <w:marBottom w:val="0"/>
      <w:divBdr>
        <w:top w:val="none" w:sz="0" w:space="0" w:color="auto"/>
        <w:left w:val="none" w:sz="0" w:space="0" w:color="auto"/>
        <w:bottom w:val="none" w:sz="0" w:space="0" w:color="auto"/>
        <w:right w:val="none" w:sz="0" w:space="0" w:color="auto"/>
      </w:divBdr>
    </w:div>
    <w:div w:id="773087115">
      <w:bodyDiv w:val="1"/>
      <w:marLeft w:val="0"/>
      <w:marRight w:val="0"/>
      <w:marTop w:val="0"/>
      <w:marBottom w:val="0"/>
      <w:divBdr>
        <w:top w:val="none" w:sz="0" w:space="0" w:color="auto"/>
        <w:left w:val="none" w:sz="0" w:space="0" w:color="auto"/>
        <w:bottom w:val="none" w:sz="0" w:space="0" w:color="auto"/>
        <w:right w:val="none" w:sz="0" w:space="0" w:color="auto"/>
      </w:divBdr>
      <w:divsChild>
        <w:div w:id="492456836">
          <w:marLeft w:val="0"/>
          <w:marRight w:val="0"/>
          <w:marTop w:val="0"/>
          <w:marBottom w:val="0"/>
          <w:divBdr>
            <w:top w:val="none" w:sz="0" w:space="0" w:color="auto"/>
            <w:left w:val="none" w:sz="0" w:space="0" w:color="auto"/>
            <w:bottom w:val="none" w:sz="0" w:space="0" w:color="auto"/>
            <w:right w:val="none" w:sz="0" w:space="0" w:color="auto"/>
          </w:divBdr>
          <w:divsChild>
            <w:div w:id="1584948702">
              <w:marLeft w:val="0"/>
              <w:marRight w:val="0"/>
              <w:marTop w:val="0"/>
              <w:marBottom w:val="0"/>
              <w:divBdr>
                <w:top w:val="none" w:sz="0" w:space="0" w:color="auto"/>
                <w:left w:val="none" w:sz="0" w:space="0" w:color="auto"/>
                <w:bottom w:val="none" w:sz="0" w:space="0" w:color="auto"/>
                <w:right w:val="none" w:sz="0" w:space="0" w:color="auto"/>
              </w:divBdr>
              <w:divsChild>
                <w:div w:id="889420504">
                  <w:marLeft w:val="0"/>
                  <w:marRight w:val="0"/>
                  <w:marTop w:val="0"/>
                  <w:marBottom w:val="0"/>
                  <w:divBdr>
                    <w:top w:val="none" w:sz="0" w:space="0" w:color="auto"/>
                    <w:left w:val="none" w:sz="0" w:space="0" w:color="auto"/>
                    <w:bottom w:val="none" w:sz="0" w:space="0" w:color="auto"/>
                    <w:right w:val="none" w:sz="0" w:space="0" w:color="auto"/>
                  </w:divBdr>
                  <w:divsChild>
                    <w:div w:id="617299029">
                      <w:marLeft w:val="0"/>
                      <w:marRight w:val="0"/>
                      <w:marTop w:val="0"/>
                      <w:marBottom w:val="0"/>
                      <w:divBdr>
                        <w:top w:val="none" w:sz="0" w:space="0" w:color="auto"/>
                        <w:left w:val="none" w:sz="0" w:space="0" w:color="auto"/>
                        <w:bottom w:val="none" w:sz="0" w:space="0" w:color="auto"/>
                        <w:right w:val="none" w:sz="0" w:space="0" w:color="auto"/>
                      </w:divBdr>
                      <w:divsChild>
                        <w:div w:id="1602683358">
                          <w:marLeft w:val="0"/>
                          <w:marRight w:val="0"/>
                          <w:marTop w:val="0"/>
                          <w:marBottom w:val="0"/>
                          <w:divBdr>
                            <w:top w:val="none" w:sz="0" w:space="0" w:color="auto"/>
                            <w:left w:val="none" w:sz="0" w:space="0" w:color="auto"/>
                            <w:bottom w:val="none" w:sz="0" w:space="0" w:color="auto"/>
                            <w:right w:val="none" w:sz="0" w:space="0" w:color="auto"/>
                          </w:divBdr>
                          <w:divsChild>
                            <w:div w:id="11665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690594">
      <w:bodyDiv w:val="1"/>
      <w:marLeft w:val="0"/>
      <w:marRight w:val="0"/>
      <w:marTop w:val="0"/>
      <w:marBottom w:val="0"/>
      <w:divBdr>
        <w:top w:val="none" w:sz="0" w:space="0" w:color="auto"/>
        <w:left w:val="none" w:sz="0" w:space="0" w:color="auto"/>
        <w:bottom w:val="none" w:sz="0" w:space="0" w:color="auto"/>
        <w:right w:val="none" w:sz="0" w:space="0" w:color="auto"/>
      </w:divBdr>
    </w:div>
    <w:div w:id="1760445164">
      <w:bodyDiv w:val="1"/>
      <w:marLeft w:val="0"/>
      <w:marRight w:val="0"/>
      <w:marTop w:val="0"/>
      <w:marBottom w:val="0"/>
      <w:divBdr>
        <w:top w:val="none" w:sz="0" w:space="0" w:color="auto"/>
        <w:left w:val="none" w:sz="0" w:space="0" w:color="auto"/>
        <w:bottom w:val="none" w:sz="0" w:space="0" w:color="auto"/>
        <w:right w:val="none" w:sz="0" w:space="0" w:color="auto"/>
      </w:divBdr>
    </w:div>
    <w:div w:id="1815560452">
      <w:bodyDiv w:val="1"/>
      <w:marLeft w:val="0"/>
      <w:marRight w:val="0"/>
      <w:marTop w:val="0"/>
      <w:marBottom w:val="0"/>
      <w:divBdr>
        <w:top w:val="none" w:sz="0" w:space="0" w:color="auto"/>
        <w:left w:val="none" w:sz="0" w:space="0" w:color="auto"/>
        <w:bottom w:val="none" w:sz="0" w:space="0" w:color="auto"/>
        <w:right w:val="none" w:sz="0" w:space="0" w:color="auto"/>
      </w:divBdr>
    </w:div>
    <w:div w:id="1842038921">
      <w:bodyDiv w:val="1"/>
      <w:marLeft w:val="0"/>
      <w:marRight w:val="0"/>
      <w:marTop w:val="0"/>
      <w:marBottom w:val="0"/>
      <w:divBdr>
        <w:top w:val="none" w:sz="0" w:space="0" w:color="auto"/>
        <w:left w:val="none" w:sz="0" w:space="0" w:color="auto"/>
        <w:bottom w:val="none" w:sz="0" w:space="0" w:color="auto"/>
        <w:right w:val="none" w:sz="0" w:space="0" w:color="auto"/>
      </w:divBdr>
      <w:divsChild>
        <w:div w:id="1217277421">
          <w:marLeft w:val="0"/>
          <w:marRight w:val="0"/>
          <w:marTop w:val="0"/>
          <w:marBottom w:val="0"/>
          <w:divBdr>
            <w:top w:val="none" w:sz="0" w:space="0" w:color="auto"/>
            <w:left w:val="none" w:sz="0" w:space="0" w:color="auto"/>
            <w:bottom w:val="none" w:sz="0" w:space="0" w:color="auto"/>
            <w:right w:val="none" w:sz="0" w:space="0" w:color="auto"/>
          </w:divBdr>
          <w:divsChild>
            <w:div w:id="1876889636">
              <w:marLeft w:val="0"/>
              <w:marRight w:val="0"/>
              <w:marTop w:val="0"/>
              <w:marBottom w:val="0"/>
              <w:divBdr>
                <w:top w:val="none" w:sz="0" w:space="0" w:color="auto"/>
                <w:left w:val="none" w:sz="0" w:space="0" w:color="auto"/>
                <w:bottom w:val="none" w:sz="0" w:space="0" w:color="auto"/>
                <w:right w:val="none" w:sz="0" w:space="0" w:color="auto"/>
              </w:divBdr>
              <w:divsChild>
                <w:div w:id="236794219">
                  <w:marLeft w:val="0"/>
                  <w:marRight w:val="0"/>
                  <w:marTop w:val="0"/>
                  <w:marBottom w:val="0"/>
                  <w:divBdr>
                    <w:top w:val="none" w:sz="0" w:space="0" w:color="auto"/>
                    <w:left w:val="none" w:sz="0" w:space="0" w:color="auto"/>
                    <w:bottom w:val="none" w:sz="0" w:space="0" w:color="auto"/>
                    <w:right w:val="none" w:sz="0" w:space="0" w:color="auto"/>
                  </w:divBdr>
                  <w:divsChild>
                    <w:div w:id="1748838310">
                      <w:marLeft w:val="0"/>
                      <w:marRight w:val="0"/>
                      <w:marTop w:val="0"/>
                      <w:marBottom w:val="0"/>
                      <w:divBdr>
                        <w:top w:val="none" w:sz="0" w:space="0" w:color="auto"/>
                        <w:left w:val="none" w:sz="0" w:space="0" w:color="auto"/>
                        <w:bottom w:val="none" w:sz="0" w:space="0" w:color="auto"/>
                        <w:right w:val="none" w:sz="0" w:space="0" w:color="auto"/>
                      </w:divBdr>
                      <w:divsChild>
                        <w:div w:id="1172254749">
                          <w:marLeft w:val="0"/>
                          <w:marRight w:val="0"/>
                          <w:marTop w:val="0"/>
                          <w:marBottom w:val="0"/>
                          <w:divBdr>
                            <w:top w:val="none" w:sz="0" w:space="0" w:color="auto"/>
                            <w:left w:val="none" w:sz="0" w:space="0" w:color="auto"/>
                            <w:bottom w:val="none" w:sz="0" w:space="0" w:color="auto"/>
                            <w:right w:val="none" w:sz="0" w:space="0" w:color="auto"/>
                          </w:divBdr>
                          <w:divsChild>
                            <w:div w:id="2877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88456">
      <w:bodyDiv w:val="1"/>
      <w:marLeft w:val="0"/>
      <w:marRight w:val="0"/>
      <w:marTop w:val="0"/>
      <w:marBottom w:val="0"/>
      <w:divBdr>
        <w:top w:val="none" w:sz="0" w:space="0" w:color="auto"/>
        <w:left w:val="none" w:sz="0" w:space="0" w:color="auto"/>
        <w:bottom w:val="none" w:sz="0" w:space="0" w:color="auto"/>
        <w:right w:val="none" w:sz="0" w:space="0" w:color="auto"/>
      </w:divBdr>
    </w:div>
    <w:div w:id="2082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dendum.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Nelson</dc:creator>
  <cp:lastModifiedBy>Maninder Dhiman</cp:lastModifiedBy>
  <cp:revision>3</cp:revision>
  <cp:lastPrinted>2017-05-17T12:49:00Z</cp:lastPrinted>
  <dcterms:created xsi:type="dcterms:W3CDTF">2024-06-19T08:48:00Z</dcterms:created>
  <dcterms:modified xsi:type="dcterms:W3CDTF">2024-06-19T08:49:00Z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c79d4a-8636-4734-9a24-702408a372e1_Enabled">
    <vt:lpwstr>true</vt:lpwstr>
  </property>
  <property fmtid="{D5CDD505-2E9C-101B-9397-08002B2CF9AE}" pid="3" name="MSIP_Label_bec79d4a-8636-4734-9a24-702408a372e1_SetDate">
    <vt:lpwstr>2022-04-25T10:08:35Z</vt:lpwstr>
  </property>
  <property fmtid="{D5CDD505-2E9C-101B-9397-08002B2CF9AE}" pid="4" name="MSIP_Label_bec79d4a-8636-4734-9a24-702408a372e1_Method">
    <vt:lpwstr>Privileged</vt:lpwstr>
  </property>
  <property fmtid="{D5CDD505-2E9C-101B-9397-08002B2CF9AE}" pid="5" name="MSIP_Label_bec79d4a-8636-4734-9a24-702408a372e1_Name">
    <vt:lpwstr>bec79d4a-8636-4734-9a24-702408a372e1</vt:lpwstr>
  </property>
  <property fmtid="{D5CDD505-2E9C-101B-9397-08002B2CF9AE}" pid="6" name="MSIP_Label_bec79d4a-8636-4734-9a24-702408a372e1_SiteId">
    <vt:lpwstr>6d6a11bc-469a-48df-a548-d3f353ac1be8</vt:lpwstr>
  </property>
  <property fmtid="{D5CDD505-2E9C-101B-9397-08002B2CF9AE}" pid="7" name="MSIP_Label_bec79d4a-8636-4734-9a24-702408a372e1_ActionId">
    <vt:lpwstr>068939b0-eebd-4427-86a9-296e3de7a992</vt:lpwstr>
  </property>
  <property fmtid="{D5CDD505-2E9C-101B-9397-08002B2CF9AE}" pid="8" name="MSIP_Label_bec79d4a-8636-4734-9a24-702408a372e1_ContentBits">
    <vt:lpwstr>0</vt:lpwstr>
  </property>
</Properties>
</file>