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1DC" w:rsidRDefault="009477D2" w:rsidP="002F61DC">
      <w:pPr>
        <w:pStyle w:val="Heading3"/>
        <w:spacing w:line="249" w:lineRule="auto"/>
        <w:ind w:left="117" w:right="115"/>
      </w:pPr>
      <w:r w:rsidRPr="00904FCF">
        <w:t xml:space="preserve">This document comprises a supplementary prospectus relating to </w:t>
      </w:r>
      <w:r w:rsidR="00A06BE2">
        <w:t>Capital Gearing Trust</w:t>
      </w:r>
      <w:r w:rsidRPr="00904FCF">
        <w:t xml:space="preserve"> P</w:t>
      </w:r>
      <w:r w:rsidR="00A06BE2">
        <w:t>.</w:t>
      </w:r>
      <w:r w:rsidRPr="00904FCF">
        <w:t>L</w:t>
      </w:r>
      <w:r w:rsidR="00A06BE2">
        <w:t>.</w:t>
      </w:r>
      <w:r w:rsidRPr="00904FCF">
        <w:t>C</w:t>
      </w:r>
      <w:r w:rsidR="00A06BE2">
        <w:t>.</w:t>
      </w:r>
      <w:r w:rsidRPr="00904FCF">
        <w:t xml:space="preserve"> (the "Company"). This document has been approved by the Financial Conduct Authority (the "FCA"), as competent authority under the UK Prospectus Regulation (being Regulation (EU 2017/1129 as it forms part of UK domestic law by virtue of the European Union (Withdrawal) Act 2018). The FCA only approves this document as meeting the standards of completeness, comprehensibility and consistency imposed by the UK Prospectus Regulation. Such approval should not be considered as an endorsement of the issuer that is the subject of this prospectus, nor should it be considered as an endorsement of the quality of the securities that are the subject of this prospectus. Investors should make their own assessment as to the suitability of investing in the Ordinary Shares. This document will be made available to the public in accordance with the UK Prospectus Regulation Rules by being made available at</w:t>
      </w:r>
      <w:r w:rsidR="002F61DC">
        <w:rPr>
          <w:color w:val="231F20"/>
          <w:spacing w:val="-9"/>
        </w:rPr>
        <w:t xml:space="preserve"> </w:t>
      </w:r>
      <w:hyperlink r:id="rId6">
        <w:proofErr w:type="spellStart"/>
        <w:r w:rsidR="002F61DC">
          <w:rPr>
            <w:color w:val="231F20"/>
          </w:rPr>
          <w:t>www.capitalgearingtrust.com</w:t>
        </w:r>
        <w:proofErr w:type="spellEnd"/>
        <w:r w:rsidR="002F61DC">
          <w:rPr>
            <w:color w:val="231F20"/>
          </w:rPr>
          <w:t>.</w:t>
        </w:r>
      </w:hyperlink>
    </w:p>
    <w:p w:rsidR="002F61DC" w:rsidRDefault="002F61DC" w:rsidP="002F61DC">
      <w:pPr>
        <w:pStyle w:val="BodyText"/>
        <w:spacing w:before="114" w:line="249" w:lineRule="auto"/>
        <w:ind w:left="117" w:right="115"/>
        <w:jc w:val="both"/>
      </w:pPr>
      <w:r>
        <w:rPr>
          <w:color w:val="231F20"/>
        </w:rPr>
        <w:t>This Supplementary Prospectus is supplemental to, and should be read in conjunction with, the prospectus published by the Company on 17 June 2021 relating to the issue of New Shares (the “</w:t>
      </w:r>
      <w:r>
        <w:rPr>
          <w:b/>
          <w:color w:val="231F20"/>
        </w:rPr>
        <w:t>Prospectus</w:t>
      </w:r>
      <w:r>
        <w:rPr>
          <w:color w:val="231F20"/>
        </w:rPr>
        <w:t>”)</w:t>
      </w:r>
      <w:r w:rsidR="00D92AE1">
        <w:rPr>
          <w:color w:val="231F20"/>
        </w:rPr>
        <w:t xml:space="preserve"> and the supplementary prospectus published by the Company on 12 November 2021 (the "</w:t>
      </w:r>
      <w:r w:rsidR="00D92AE1" w:rsidRPr="00D92AE1">
        <w:rPr>
          <w:b/>
          <w:color w:val="231F20"/>
        </w:rPr>
        <w:t>2021 Supplementary Prospectus</w:t>
      </w:r>
      <w:r w:rsidR="00D92AE1">
        <w:rPr>
          <w:color w:val="231F20"/>
        </w:rPr>
        <w:t>")</w:t>
      </w:r>
      <w:r>
        <w:rPr>
          <w:color w:val="231F20"/>
        </w:rPr>
        <w:t>. Except as expressly stated herein, or unless the context otherwise requires, the definitions used or referred to in the Prospectus</w:t>
      </w:r>
      <w:r w:rsidR="00D92AE1">
        <w:rPr>
          <w:color w:val="231F20"/>
        </w:rPr>
        <w:t xml:space="preserve"> and the 2021 Supplementary Prospectus</w:t>
      </w:r>
      <w:r>
        <w:rPr>
          <w:color w:val="231F20"/>
        </w:rPr>
        <w:t xml:space="preserve"> also apply in this Supplementary Prospectus.</w:t>
      </w:r>
    </w:p>
    <w:p w:rsidR="002F61DC" w:rsidRDefault="002F61DC" w:rsidP="002F61DC">
      <w:pPr>
        <w:pStyle w:val="BodyText"/>
        <w:spacing w:before="227" w:line="249" w:lineRule="auto"/>
        <w:ind w:left="117" w:right="115"/>
        <w:jc w:val="both"/>
      </w:pPr>
      <w:r>
        <w:rPr>
          <w:color w:val="231F20"/>
        </w:rPr>
        <w:t>The Directors and the Company each accept responsibility for the information contained in this Supplementary Prospectus</w:t>
      </w:r>
      <w:r w:rsidR="00D92AE1">
        <w:rPr>
          <w:color w:val="231F20"/>
        </w:rPr>
        <w:t>, the 2021 Supplementary Prospectus</w:t>
      </w:r>
      <w:r>
        <w:rPr>
          <w:color w:val="231F20"/>
        </w:rPr>
        <w:t xml:space="preserve"> and the Prospectus. The Directors and the Company believe that the information contained in this Supplementary Prospectus</w:t>
      </w:r>
      <w:r w:rsidR="00D92AE1">
        <w:rPr>
          <w:color w:val="231F20"/>
        </w:rPr>
        <w:t>, the 2021 Supplementary Prospectus</w:t>
      </w:r>
      <w:r>
        <w:rPr>
          <w:color w:val="231F20"/>
        </w:rPr>
        <w:t xml:space="preserve"> and the Prospectus is, to the best of the knowledge of the Directors and the Company, in accordance with the facts and this Supplementary Prospectus</w:t>
      </w:r>
      <w:r w:rsidR="00D92AE1">
        <w:rPr>
          <w:color w:val="231F20"/>
        </w:rPr>
        <w:t>, the 2021 Supplementary Prospectus</w:t>
      </w:r>
      <w:r>
        <w:rPr>
          <w:color w:val="231F20"/>
        </w:rPr>
        <w:t xml:space="preserve"> and the Prospectus do not omit anything likely to affect the import of such information.</w:t>
      </w:r>
    </w:p>
    <w:p w:rsidR="002F61DC" w:rsidRDefault="0092714C" w:rsidP="002F61DC">
      <w:pPr>
        <w:pStyle w:val="BodyText"/>
        <w:spacing w:before="1"/>
        <w:rPr>
          <w:sz w:val="12"/>
        </w:rPr>
      </w:pPr>
      <w:r>
        <w:rPr>
          <w:noProof/>
        </w:rPr>
        <mc:AlternateContent>
          <mc:Choice Requires="wps">
            <w:drawing>
              <wp:anchor distT="0" distB="0" distL="0" distR="0" simplePos="0" relativeHeight="503308192" behindDoc="0" locked="0" layoutInCell="1" allowOverlap="1" wp14:anchorId="049EAD03" wp14:editId="4144D2AD">
                <wp:simplePos x="0" y="0"/>
                <wp:positionH relativeFrom="page">
                  <wp:posOffset>899795</wp:posOffset>
                </wp:positionH>
                <wp:positionV relativeFrom="paragraph">
                  <wp:posOffset>116205</wp:posOffset>
                </wp:positionV>
                <wp:extent cx="5760085" cy="0"/>
                <wp:effectExtent l="13970" t="12065" r="7620" b="6985"/>
                <wp:wrapTopAndBottom/>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56A1" id="Line 12" o:spid="_x0000_s1026" style="position:absolute;z-index:50330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9.15pt" to="524.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" strokecolor="#231f20" strokeweight=".5pt">
                <w10:wrap type="topAndBottom" anchorx="page"/>
              </v:line>
            </w:pict>
          </mc:Fallback>
        </mc:AlternateContent>
      </w:r>
    </w:p>
    <w:p w:rsidR="002F61DC" w:rsidRDefault="002F61DC" w:rsidP="002F61DC">
      <w:pPr>
        <w:spacing w:before="230"/>
        <w:ind w:left="826" w:right="826"/>
        <w:jc w:val="center"/>
        <w:rPr>
          <w:b/>
          <w:sz w:val="40"/>
        </w:rPr>
      </w:pPr>
      <w:r>
        <w:rPr>
          <w:b/>
          <w:color w:val="231F20"/>
          <w:sz w:val="40"/>
        </w:rPr>
        <w:t>CAPITAL GEARING TRUST P.L.C.</w:t>
      </w:r>
    </w:p>
    <w:p w:rsidR="002570B0" w:rsidRDefault="002F61DC" w:rsidP="002F61DC">
      <w:pPr>
        <w:spacing w:before="50" w:line="336" w:lineRule="auto"/>
        <w:ind w:left="1566" w:right="1594" w:firstLine="838"/>
        <w:rPr>
          <w:i/>
          <w:color w:val="231F20"/>
          <w:sz w:val="16"/>
        </w:rPr>
      </w:pPr>
      <w:r>
        <w:rPr>
          <w:i/>
          <w:color w:val="231F20"/>
          <w:sz w:val="16"/>
        </w:rPr>
        <w:t xml:space="preserve">(Incorporated in Northern Ireland with registered no. NI005574)  </w:t>
      </w:r>
    </w:p>
    <w:p w:rsidR="002F61DC" w:rsidRDefault="002F61DC" w:rsidP="00904FCF">
      <w:pPr>
        <w:spacing w:before="50" w:line="336" w:lineRule="auto"/>
        <w:ind w:right="34"/>
        <w:jc w:val="center"/>
        <w:rPr>
          <w:i/>
          <w:sz w:val="16"/>
        </w:rPr>
      </w:pPr>
      <w:r>
        <w:rPr>
          <w:i/>
          <w:color w:val="231F20"/>
          <w:sz w:val="16"/>
        </w:rPr>
        <w:t>(Registered as an investment company under section 833 of the Companies Act</w:t>
      </w:r>
      <w:r>
        <w:rPr>
          <w:i/>
          <w:color w:val="231F20"/>
          <w:spacing w:val="8"/>
          <w:sz w:val="16"/>
        </w:rPr>
        <w:t xml:space="preserve"> </w:t>
      </w:r>
      <w:r>
        <w:rPr>
          <w:i/>
          <w:color w:val="231F20"/>
          <w:sz w:val="16"/>
        </w:rPr>
        <w:t>2006)</w:t>
      </w:r>
    </w:p>
    <w:p w:rsidR="002F61DC" w:rsidRDefault="002F61DC" w:rsidP="002F61DC">
      <w:pPr>
        <w:pStyle w:val="BodyText"/>
        <w:rPr>
          <w:i/>
        </w:rPr>
      </w:pPr>
    </w:p>
    <w:p w:rsidR="002F61DC" w:rsidRDefault="002F61DC" w:rsidP="00F21DE0">
      <w:pPr>
        <w:spacing w:before="140" w:line="312" w:lineRule="auto"/>
        <w:ind w:left="828" w:right="826"/>
        <w:jc w:val="center"/>
        <w:rPr>
          <w:b/>
        </w:rPr>
      </w:pPr>
      <w:r>
        <w:rPr>
          <w:b/>
          <w:color w:val="231F20"/>
          <w:sz w:val="24"/>
        </w:rPr>
        <w:t>Issue of new Ordinary Shares pursuant to the Company’s discount and premium control policy</w:t>
      </w:r>
    </w:p>
    <w:p w:rsidR="002F61DC" w:rsidRDefault="0092714C" w:rsidP="002F61DC">
      <w:pPr>
        <w:pStyle w:val="BodyText"/>
        <w:spacing w:before="5"/>
        <w:rPr>
          <w:b/>
          <w:sz w:val="14"/>
        </w:rPr>
      </w:pPr>
      <w:r>
        <w:rPr>
          <w:noProof/>
        </w:rPr>
        <mc:AlternateContent>
          <mc:Choice Requires="wps">
            <w:drawing>
              <wp:anchor distT="0" distB="0" distL="0" distR="0" simplePos="0" relativeHeight="503309216" behindDoc="0" locked="0" layoutInCell="1" allowOverlap="1" wp14:anchorId="565FF97F" wp14:editId="716DA210">
                <wp:simplePos x="0" y="0"/>
                <wp:positionH relativeFrom="page">
                  <wp:posOffset>899795</wp:posOffset>
                </wp:positionH>
                <wp:positionV relativeFrom="paragraph">
                  <wp:posOffset>133985</wp:posOffset>
                </wp:positionV>
                <wp:extent cx="5760085" cy="0"/>
                <wp:effectExtent l="13970" t="11430" r="7620" b="7620"/>
                <wp:wrapTopAndBottom/>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884ED" id="Line 13" o:spid="_x0000_s1026" style="position:absolute;z-index:50330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0.55pt" to="524.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RbFQ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" strokecolor="#231f20" strokeweight=".5pt">
                <w10:wrap type="topAndBottom" anchorx="page"/>
              </v:line>
            </w:pict>
          </mc:Fallback>
        </mc:AlternateContent>
      </w:r>
    </w:p>
    <w:p w:rsidR="002F61DC" w:rsidRDefault="002F61DC" w:rsidP="002F61DC">
      <w:pPr>
        <w:pStyle w:val="BodyText"/>
        <w:spacing w:before="193" w:line="249" w:lineRule="auto"/>
        <w:ind w:left="117" w:right="115"/>
        <w:jc w:val="both"/>
      </w:pPr>
      <w:r>
        <w:rPr>
          <w:color w:val="231F20"/>
        </w:rPr>
        <w:t>This Supplementary Prospectus</w:t>
      </w:r>
      <w:r w:rsidR="00D92AE1">
        <w:rPr>
          <w:color w:val="231F20"/>
        </w:rPr>
        <w:t xml:space="preserve">, the </w:t>
      </w:r>
      <w:r w:rsidR="00C45346">
        <w:rPr>
          <w:color w:val="231F20"/>
        </w:rPr>
        <w:t>2021 Supplementary Prospectus</w:t>
      </w:r>
      <w:r>
        <w:rPr>
          <w:color w:val="231F20"/>
        </w:rPr>
        <w:t xml:space="preserve"> and the Prospectus do not constitute, and may not be used for the purposes of, an offer or solicitation to anyone in any jurisdiction in which such offer or solicitation is not </w:t>
      </w:r>
      <w:proofErr w:type="spellStart"/>
      <w:r>
        <w:rPr>
          <w:color w:val="231F20"/>
        </w:rPr>
        <w:t>authorised</w:t>
      </w:r>
      <w:proofErr w:type="spellEnd"/>
      <w:r>
        <w:rPr>
          <w:color w:val="231F20"/>
        </w:rPr>
        <w:t xml:space="preserve"> or to any person to whom it is unlawful to make such offer or solicitation. The distribution of this Supplementary Prospectus</w:t>
      </w:r>
      <w:r w:rsidR="00C45346">
        <w:rPr>
          <w:color w:val="231F20"/>
        </w:rPr>
        <w:t>, the 2021 Supplementary Prospectus</w:t>
      </w:r>
      <w:r>
        <w:rPr>
          <w:color w:val="231F20"/>
        </w:rPr>
        <w:t xml:space="preserve"> and the Prospectus and the offering of New Shares in certain jurisdictions may be restricted and accordingly persons into whose possession this Supplementary Prospectus</w:t>
      </w:r>
      <w:r w:rsidR="00C45346">
        <w:rPr>
          <w:color w:val="231F20"/>
        </w:rPr>
        <w:t>, the 2021 Supplementary Prospectus</w:t>
      </w:r>
      <w:r>
        <w:rPr>
          <w:color w:val="231F20"/>
        </w:rPr>
        <w:t xml:space="preserve"> and/or the Prospectus come are required to inform themselves about and to observe such restrictions. The New Shares have not been, and will not be, registered under the United States Securities Act of 1933 (as amended) or under any of the relevant securities laws of Canada, Australia or Japan. Accordingly, the New Shares may not (unless an exemption from such Act or such laws is available) be offered, sold or delivered, directly or indirectly, in or into the USA, Canada, Australia or Japan. The Company will not be registered under the United States Investment Company Act of 1940 (as amended) and investors will not be entitled to the benefits of such Act.</w:t>
      </w:r>
    </w:p>
    <w:p w:rsidR="002F61DC" w:rsidRDefault="002F61DC" w:rsidP="002F61DC">
      <w:pPr>
        <w:pStyle w:val="BodyText"/>
        <w:spacing w:before="170" w:line="249" w:lineRule="auto"/>
        <w:ind w:left="117" w:right="115"/>
        <w:jc w:val="both"/>
      </w:pPr>
      <w:r>
        <w:rPr>
          <w:color w:val="231F20"/>
        </w:rPr>
        <w:t xml:space="preserve">Dickson Minto W.S., which is </w:t>
      </w:r>
      <w:proofErr w:type="spellStart"/>
      <w:r>
        <w:rPr>
          <w:color w:val="231F20"/>
          <w:spacing w:val="-3"/>
        </w:rPr>
        <w:t>authorised</w:t>
      </w:r>
      <w:proofErr w:type="spellEnd"/>
      <w:r>
        <w:rPr>
          <w:color w:val="231F20"/>
          <w:spacing w:val="-3"/>
        </w:rPr>
        <w:t xml:space="preserve"> </w:t>
      </w:r>
      <w:r>
        <w:rPr>
          <w:color w:val="231F20"/>
        </w:rPr>
        <w:t xml:space="preserve">and </w:t>
      </w:r>
      <w:r>
        <w:rPr>
          <w:color w:val="231F20"/>
          <w:spacing w:val="-3"/>
        </w:rPr>
        <w:t xml:space="preserve">regulated </w:t>
      </w:r>
      <w:r>
        <w:rPr>
          <w:color w:val="231F20"/>
        </w:rPr>
        <w:t xml:space="preserve">in the </w:t>
      </w:r>
      <w:r>
        <w:rPr>
          <w:color w:val="231F20"/>
          <w:spacing w:val="-2"/>
        </w:rPr>
        <w:t xml:space="preserve">United </w:t>
      </w:r>
      <w:r>
        <w:rPr>
          <w:color w:val="231F20"/>
          <w:spacing w:val="-3"/>
        </w:rPr>
        <w:t xml:space="preserve">Kingdom </w:t>
      </w:r>
      <w:r>
        <w:rPr>
          <w:color w:val="231F20"/>
        </w:rPr>
        <w:t xml:space="preserve">by the </w:t>
      </w:r>
      <w:r>
        <w:rPr>
          <w:color w:val="231F20"/>
          <w:spacing w:val="-3"/>
        </w:rPr>
        <w:t xml:space="preserve">Financial Conduct Authority, </w:t>
      </w:r>
      <w:r>
        <w:rPr>
          <w:color w:val="231F20"/>
        </w:rPr>
        <w:t xml:space="preserve">is the </w:t>
      </w:r>
      <w:r>
        <w:rPr>
          <w:color w:val="231F20"/>
          <w:spacing w:val="-3"/>
        </w:rPr>
        <w:t xml:space="preserve">sponsor </w:t>
      </w:r>
      <w:r>
        <w:rPr>
          <w:color w:val="231F20"/>
        </w:rPr>
        <w:t xml:space="preserve">to the </w:t>
      </w:r>
      <w:r>
        <w:rPr>
          <w:color w:val="231F20"/>
          <w:spacing w:val="-3"/>
        </w:rPr>
        <w:t xml:space="preserve">Company. Dickson </w:t>
      </w:r>
      <w:r>
        <w:rPr>
          <w:color w:val="231F20"/>
        </w:rPr>
        <w:t xml:space="preserve">Minto W.S. is not </w:t>
      </w:r>
      <w:r>
        <w:rPr>
          <w:color w:val="231F20"/>
          <w:spacing w:val="-3"/>
        </w:rPr>
        <w:t xml:space="preserve">acting </w:t>
      </w:r>
      <w:r>
        <w:rPr>
          <w:color w:val="231F20"/>
        </w:rPr>
        <w:t xml:space="preserve">for any </w:t>
      </w:r>
      <w:r>
        <w:rPr>
          <w:color w:val="231F20"/>
          <w:spacing w:val="-3"/>
        </w:rPr>
        <w:t xml:space="preserve">other person </w:t>
      </w:r>
      <w:r>
        <w:rPr>
          <w:color w:val="231F20"/>
        </w:rPr>
        <w:t xml:space="preserve">in </w:t>
      </w:r>
      <w:r>
        <w:rPr>
          <w:color w:val="231F20"/>
          <w:spacing w:val="-3"/>
        </w:rPr>
        <w:t>connection</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Issues.</w:t>
      </w:r>
      <w:r>
        <w:rPr>
          <w:color w:val="231F20"/>
          <w:spacing w:val="-9"/>
        </w:rPr>
        <w:t xml:space="preserve"> </w:t>
      </w:r>
      <w:r>
        <w:rPr>
          <w:color w:val="231F20"/>
        </w:rPr>
        <w:t>Apart</w:t>
      </w:r>
      <w:r>
        <w:rPr>
          <w:color w:val="231F20"/>
          <w:spacing w:val="-9"/>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spacing w:val="-3"/>
        </w:rPr>
        <w:t>responsibilities</w:t>
      </w:r>
      <w:r>
        <w:rPr>
          <w:color w:val="231F20"/>
          <w:spacing w:val="-9"/>
        </w:rPr>
        <w:t xml:space="preserve"> </w:t>
      </w:r>
      <w:r>
        <w:rPr>
          <w:color w:val="231F20"/>
        </w:rPr>
        <w:t>and</w:t>
      </w:r>
      <w:r>
        <w:rPr>
          <w:color w:val="231F20"/>
          <w:spacing w:val="-9"/>
        </w:rPr>
        <w:t xml:space="preserve"> </w:t>
      </w:r>
      <w:r>
        <w:rPr>
          <w:color w:val="231F20"/>
          <w:spacing w:val="-3"/>
        </w:rPr>
        <w:t>liabilities,</w:t>
      </w:r>
      <w:r>
        <w:rPr>
          <w:color w:val="231F20"/>
          <w:spacing w:val="-9"/>
        </w:rPr>
        <w:t xml:space="preserve"> </w:t>
      </w:r>
      <w:r>
        <w:rPr>
          <w:color w:val="231F20"/>
        </w:rPr>
        <w:t>if</w:t>
      </w:r>
      <w:r>
        <w:rPr>
          <w:color w:val="231F20"/>
          <w:spacing w:val="-9"/>
        </w:rPr>
        <w:t xml:space="preserve"> </w:t>
      </w:r>
      <w:r>
        <w:rPr>
          <w:color w:val="231F20"/>
        </w:rPr>
        <w:t>any,</w:t>
      </w:r>
      <w:r>
        <w:rPr>
          <w:color w:val="231F20"/>
          <w:spacing w:val="-9"/>
        </w:rPr>
        <w:t xml:space="preserve"> </w:t>
      </w:r>
      <w:r>
        <w:rPr>
          <w:color w:val="231F20"/>
          <w:spacing w:val="-3"/>
        </w:rPr>
        <w:t>which</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spacing w:val="-3"/>
        </w:rPr>
        <w:t>imposed</w:t>
      </w:r>
      <w:r>
        <w:rPr>
          <w:color w:val="231F20"/>
          <w:spacing w:val="-9"/>
        </w:rPr>
        <w:t xml:space="preserve"> </w:t>
      </w:r>
      <w:r>
        <w:rPr>
          <w:color w:val="231F20"/>
        </w:rPr>
        <w:t>on Dickson</w:t>
      </w:r>
      <w:r>
        <w:rPr>
          <w:color w:val="231F20"/>
          <w:spacing w:val="-8"/>
        </w:rPr>
        <w:t xml:space="preserve"> </w:t>
      </w:r>
      <w:r>
        <w:rPr>
          <w:color w:val="231F20"/>
        </w:rPr>
        <w:t>Minto</w:t>
      </w:r>
      <w:r>
        <w:rPr>
          <w:color w:val="231F20"/>
          <w:spacing w:val="-8"/>
        </w:rPr>
        <w:t xml:space="preserve"> </w:t>
      </w:r>
      <w:r>
        <w:rPr>
          <w:color w:val="231F20"/>
        </w:rPr>
        <w:t>W.S.</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spacing w:val="-3"/>
        </w:rPr>
        <w:t>Financial</w:t>
      </w:r>
      <w:r>
        <w:rPr>
          <w:color w:val="231F20"/>
          <w:spacing w:val="-8"/>
        </w:rPr>
        <w:t xml:space="preserve"> </w:t>
      </w:r>
      <w:r>
        <w:rPr>
          <w:color w:val="231F20"/>
          <w:spacing w:val="-3"/>
        </w:rPr>
        <w:t>Services</w:t>
      </w:r>
      <w:r>
        <w:rPr>
          <w:color w:val="231F20"/>
          <w:spacing w:val="-8"/>
        </w:rPr>
        <w:t xml:space="preserve"> </w:t>
      </w:r>
      <w:r>
        <w:rPr>
          <w:color w:val="231F20"/>
        </w:rPr>
        <w:t>and</w:t>
      </w:r>
      <w:r>
        <w:rPr>
          <w:color w:val="231F20"/>
          <w:spacing w:val="-8"/>
        </w:rPr>
        <w:t xml:space="preserve"> </w:t>
      </w:r>
      <w:r>
        <w:rPr>
          <w:color w:val="231F20"/>
        </w:rPr>
        <w:t>Markets</w:t>
      </w:r>
      <w:r>
        <w:rPr>
          <w:color w:val="231F20"/>
          <w:spacing w:val="-8"/>
        </w:rPr>
        <w:t xml:space="preserve"> </w:t>
      </w:r>
      <w:r>
        <w:rPr>
          <w:color w:val="231F20"/>
        </w:rPr>
        <w:t>Act</w:t>
      </w:r>
      <w:r>
        <w:rPr>
          <w:color w:val="231F20"/>
          <w:spacing w:val="-8"/>
        </w:rPr>
        <w:t xml:space="preserve"> </w:t>
      </w:r>
      <w:r>
        <w:rPr>
          <w:color w:val="231F20"/>
        </w:rPr>
        <w:t>2000</w:t>
      </w:r>
      <w:r>
        <w:rPr>
          <w:color w:val="231F20"/>
          <w:spacing w:val="-8"/>
        </w:rPr>
        <w:t xml:space="preserve"> </w:t>
      </w:r>
      <w:r>
        <w:rPr>
          <w:color w:val="231F20"/>
        </w:rPr>
        <w:t>or</w:t>
      </w:r>
      <w:r>
        <w:rPr>
          <w:color w:val="231F20"/>
          <w:spacing w:val="-8"/>
        </w:rPr>
        <w:t xml:space="preserve"> </w:t>
      </w:r>
      <w:r>
        <w:rPr>
          <w:color w:val="231F20"/>
        </w:rPr>
        <w:t>the</w:t>
      </w:r>
      <w:r>
        <w:rPr>
          <w:color w:val="231F20"/>
          <w:spacing w:val="-8"/>
        </w:rPr>
        <w:t xml:space="preserve"> </w:t>
      </w:r>
      <w:r>
        <w:rPr>
          <w:color w:val="231F20"/>
          <w:spacing w:val="-3"/>
        </w:rPr>
        <w:t>regulatory</w:t>
      </w:r>
      <w:r>
        <w:rPr>
          <w:color w:val="231F20"/>
          <w:spacing w:val="-8"/>
        </w:rPr>
        <w:t xml:space="preserve"> </w:t>
      </w:r>
      <w:r>
        <w:rPr>
          <w:color w:val="231F20"/>
        </w:rPr>
        <w:t>regime</w:t>
      </w:r>
      <w:r>
        <w:rPr>
          <w:color w:val="231F20"/>
          <w:spacing w:val="-8"/>
        </w:rPr>
        <w:t xml:space="preserve"> </w:t>
      </w:r>
      <w:r>
        <w:rPr>
          <w:color w:val="231F20"/>
          <w:spacing w:val="-3"/>
        </w:rPr>
        <w:t xml:space="preserve">established thereunder, Dickson </w:t>
      </w:r>
      <w:r>
        <w:rPr>
          <w:color w:val="231F20"/>
        </w:rPr>
        <w:t xml:space="preserve">Minto W.S. will not be </w:t>
      </w:r>
      <w:r>
        <w:rPr>
          <w:color w:val="231F20"/>
          <w:spacing w:val="-3"/>
        </w:rPr>
        <w:t xml:space="preserve">responsible </w:t>
      </w:r>
      <w:r>
        <w:rPr>
          <w:color w:val="231F20"/>
        </w:rPr>
        <w:t xml:space="preserve">to </w:t>
      </w:r>
      <w:r>
        <w:rPr>
          <w:color w:val="231F20"/>
          <w:spacing w:val="-3"/>
        </w:rPr>
        <w:t xml:space="preserve">anyone </w:t>
      </w:r>
      <w:r>
        <w:rPr>
          <w:color w:val="231F20"/>
        </w:rPr>
        <w:t xml:space="preserve">other than the </w:t>
      </w:r>
      <w:r>
        <w:rPr>
          <w:color w:val="231F20"/>
          <w:spacing w:val="-3"/>
        </w:rPr>
        <w:t xml:space="preserve">Company </w:t>
      </w:r>
      <w:r>
        <w:rPr>
          <w:color w:val="231F20"/>
        </w:rPr>
        <w:t xml:space="preserve">for </w:t>
      </w:r>
      <w:r>
        <w:rPr>
          <w:color w:val="231F20"/>
          <w:spacing w:val="-3"/>
        </w:rPr>
        <w:t xml:space="preserve">providing </w:t>
      </w:r>
      <w:r>
        <w:rPr>
          <w:color w:val="231F20"/>
        </w:rPr>
        <w:t xml:space="preserve">the </w:t>
      </w:r>
      <w:r>
        <w:rPr>
          <w:color w:val="231F20"/>
          <w:spacing w:val="-3"/>
        </w:rPr>
        <w:t xml:space="preserve">protections afforded </w:t>
      </w:r>
      <w:r>
        <w:rPr>
          <w:color w:val="231F20"/>
        </w:rPr>
        <w:t xml:space="preserve">to </w:t>
      </w:r>
      <w:r>
        <w:rPr>
          <w:color w:val="231F20"/>
          <w:spacing w:val="-3"/>
        </w:rPr>
        <w:t xml:space="preserve">clients </w:t>
      </w:r>
      <w:r>
        <w:rPr>
          <w:color w:val="231F20"/>
        </w:rPr>
        <w:t xml:space="preserve">of </w:t>
      </w:r>
      <w:r>
        <w:rPr>
          <w:color w:val="231F20"/>
          <w:spacing w:val="-3"/>
        </w:rPr>
        <w:t xml:space="preserve">Dickson </w:t>
      </w:r>
      <w:r>
        <w:rPr>
          <w:color w:val="231F20"/>
        </w:rPr>
        <w:t xml:space="preserve">Minto W.S. and is not </w:t>
      </w:r>
      <w:r>
        <w:rPr>
          <w:color w:val="231F20"/>
          <w:spacing w:val="-3"/>
        </w:rPr>
        <w:t xml:space="preserve">advising </w:t>
      </w:r>
      <w:r>
        <w:rPr>
          <w:color w:val="231F20"/>
        </w:rPr>
        <w:t xml:space="preserve">any </w:t>
      </w:r>
      <w:r>
        <w:rPr>
          <w:color w:val="231F20"/>
          <w:spacing w:val="-3"/>
        </w:rPr>
        <w:t xml:space="preserve">other </w:t>
      </w:r>
      <w:r>
        <w:rPr>
          <w:color w:val="231F20"/>
        </w:rPr>
        <w:t xml:space="preserve">person in </w:t>
      </w:r>
      <w:r>
        <w:rPr>
          <w:color w:val="231F20"/>
          <w:spacing w:val="-3"/>
        </w:rPr>
        <w:t xml:space="preserve">relation </w:t>
      </w:r>
      <w:r>
        <w:rPr>
          <w:color w:val="231F20"/>
        </w:rPr>
        <w:t xml:space="preserve">to any </w:t>
      </w:r>
      <w:r>
        <w:rPr>
          <w:color w:val="231F20"/>
          <w:spacing w:val="-3"/>
        </w:rPr>
        <w:t xml:space="preserve">transaction contemplated </w:t>
      </w:r>
      <w:r>
        <w:rPr>
          <w:color w:val="231F20"/>
        </w:rPr>
        <w:t xml:space="preserve">in or by this </w:t>
      </w:r>
      <w:r>
        <w:rPr>
          <w:color w:val="231F20"/>
          <w:spacing w:val="-3"/>
        </w:rPr>
        <w:t>Supplementary Prospectus</w:t>
      </w:r>
      <w:r w:rsidR="00C45346">
        <w:rPr>
          <w:color w:val="231F20"/>
          <w:spacing w:val="-3"/>
        </w:rPr>
        <w:t>, 2021 Supplementary Prospectus</w:t>
      </w:r>
      <w:r>
        <w:rPr>
          <w:color w:val="231F20"/>
          <w:spacing w:val="-3"/>
        </w:rPr>
        <w:t xml:space="preserve"> and/or </w:t>
      </w:r>
      <w:r>
        <w:rPr>
          <w:color w:val="231F20"/>
        </w:rPr>
        <w:t>the</w:t>
      </w:r>
      <w:r w:rsidR="00C45346">
        <w:rPr>
          <w:color w:val="231F20"/>
          <w:spacing w:val="49"/>
        </w:rPr>
        <w:t xml:space="preserve"> </w:t>
      </w:r>
      <w:r>
        <w:rPr>
          <w:color w:val="231F20"/>
          <w:spacing w:val="-3"/>
        </w:rPr>
        <w:t>Prospectus.</w:t>
      </w:r>
    </w:p>
    <w:p w:rsidR="002F61DC" w:rsidRPr="00904FCF" w:rsidRDefault="002F61DC" w:rsidP="00F21DE0">
      <w:pPr>
        <w:pStyle w:val="BodyText"/>
        <w:spacing w:before="170" w:line="249" w:lineRule="auto"/>
        <w:ind w:left="117" w:right="115"/>
        <w:jc w:val="both"/>
        <w:rPr>
          <w:color w:val="231F20"/>
          <w:sz w:val="22"/>
          <w:szCs w:val="22"/>
        </w:rPr>
      </w:pPr>
      <w:r>
        <w:rPr>
          <w:color w:val="231F20"/>
        </w:rPr>
        <w:t>Potential investors should consult their stockbroker, bank manager, solicitor, accountant or other financial adviser before investing in the Company. Potential investors should also consider the risk factors relating to the Company set out in the Prospectus.</w:t>
      </w:r>
      <w:r w:rsidR="00F21DE0">
        <w:rPr>
          <w:color w:val="231F20"/>
        </w:rPr>
        <w:t xml:space="preserve">  </w:t>
      </w:r>
      <w:r w:rsidR="00F13A6F">
        <w:rPr>
          <w:b/>
          <w:bCs/>
          <w:color w:val="231F20"/>
          <w:sz w:val="22"/>
          <w:szCs w:val="22"/>
        </w:rPr>
        <w:t>30</w:t>
      </w:r>
      <w:r w:rsidRPr="00F21DE0">
        <w:rPr>
          <w:b/>
          <w:bCs/>
          <w:color w:val="231F20"/>
          <w:sz w:val="22"/>
          <w:szCs w:val="22"/>
        </w:rPr>
        <w:t xml:space="preserve"> </w:t>
      </w:r>
      <w:r w:rsidR="008B2943" w:rsidRPr="00F21DE0">
        <w:rPr>
          <w:b/>
          <w:bCs/>
          <w:color w:val="231F20"/>
          <w:sz w:val="22"/>
          <w:szCs w:val="22"/>
        </w:rPr>
        <w:t>May</w:t>
      </w:r>
      <w:r w:rsidRPr="00F21DE0">
        <w:rPr>
          <w:b/>
          <w:bCs/>
          <w:color w:val="231F20"/>
          <w:sz w:val="22"/>
          <w:szCs w:val="22"/>
        </w:rPr>
        <w:t xml:space="preserve"> 202</w:t>
      </w:r>
      <w:r w:rsidR="008B2943" w:rsidRPr="00F21DE0">
        <w:rPr>
          <w:b/>
          <w:bCs/>
          <w:color w:val="231F20"/>
          <w:sz w:val="22"/>
          <w:szCs w:val="22"/>
        </w:rPr>
        <w:t>2</w:t>
      </w:r>
    </w:p>
    <w:p w:rsidR="00DF6DF8" w:rsidRDefault="009477D2">
      <w:pPr>
        <w:pStyle w:val="Heading2"/>
        <w:ind w:left="1792"/>
      </w:pPr>
      <w:r>
        <w:rPr>
          <w:color w:val="231F20"/>
        </w:rPr>
        <w:br w:type="page"/>
      </w:r>
      <w:r w:rsidR="00904FCF">
        <w:rPr>
          <w:color w:val="231F20"/>
        </w:rPr>
        <w:t>Events arising since publication of the Prospectus</w:t>
      </w:r>
    </w:p>
    <w:p w:rsidR="00DF6DF8" w:rsidRDefault="00DF6DF8">
      <w:pPr>
        <w:pStyle w:val="BodyText"/>
        <w:spacing w:before="7"/>
        <w:rPr>
          <w:b/>
          <w:sz w:val="29"/>
        </w:rPr>
      </w:pPr>
    </w:p>
    <w:p w:rsidR="00DF6DF8" w:rsidRDefault="00904FCF">
      <w:pPr>
        <w:pStyle w:val="BodyText"/>
        <w:spacing w:line="249" w:lineRule="auto"/>
        <w:ind w:left="157" w:right="155"/>
        <w:jc w:val="both"/>
      </w:pPr>
      <w:r>
        <w:rPr>
          <w:color w:val="231F20"/>
        </w:rPr>
        <w:t>This Supplementary Prospectus is being published in relation to the Issues. This Supplementary Prospectus</w:t>
      </w:r>
      <w:r>
        <w:rPr>
          <w:color w:val="231F20"/>
          <w:spacing w:val="-11"/>
        </w:rPr>
        <w:t xml:space="preserve"> </w:t>
      </w:r>
      <w:r>
        <w:rPr>
          <w:color w:val="231F20"/>
        </w:rPr>
        <w:t>is</w:t>
      </w:r>
      <w:r>
        <w:rPr>
          <w:color w:val="231F20"/>
          <w:spacing w:val="-11"/>
        </w:rPr>
        <w:t xml:space="preserve"> </w:t>
      </w:r>
      <w:r>
        <w:rPr>
          <w:color w:val="231F20"/>
        </w:rPr>
        <w:t>a</w:t>
      </w:r>
      <w:r>
        <w:rPr>
          <w:color w:val="231F20"/>
          <w:spacing w:val="-11"/>
        </w:rPr>
        <w:t xml:space="preserve"> </w:t>
      </w:r>
      <w:r>
        <w:rPr>
          <w:color w:val="231F20"/>
        </w:rPr>
        <w:t>regulatory</w:t>
      </w:r>
      <w:r>
        <w:rPr>
          <w:color w:val="231F20"/>
          <w:spacing w:val="-11"/>
        </w:rPr>
        <w:t xml:space="preserve"> </w:t>
      </w:r>
      <w:r>
        <w:rPr>
          <w:color w:val="231F20"/>
        </w:rPr>
        <w:t>requirement</w:t>
      </w:r>
      <w:r>
        <w:rPr>
          <w:color w:val="231F20"/>
          <w:spacing w:val="-11"/>
        </w:rPr>
        <w:t xml:space="preserve"> </w:t>
      </w:r>
      <w:r>
        <w:rPr>
          <w:color w:val="231F20"/>
        </w:rPr>
        <w:t>under</w:t>
      </w:r>
      <w:r>
        <w:rPr>
          <w:color w:val="231F20"/>
          <w:spacing w:val="-11"/>
        </w:rPr>
        <w:t xml:space="preserve"> </w:t>
      </w:r>
      <w:r>
        <w:rPr>
          <w:color w:val="231F20"/>
        </w:rPr>
        <w:t>the</w:t>
      </w:r>
      <w:r>
        <w:rPr>
          <w:color w:val="231F20"/>
          <w:spacing w:val="-11"/>
        </w:rPr>
        <w:t xml:space="preserve"> </w:t>
      </w:r>
      <w:r>
        <w:rPr>
          <w:color w:val="231F20"/>
        </w:rPr>
        <w:t>Prospectus</w:t>
      </w:r>
      <w:r>
        <w:rPr>
          <w:color w:val="231F20"/>
          <w:spacing w:val="-11"/>
        </w:rPr>
        <w:t xml:space="preserve"> </w:t>
      </w:r>
      <w:r>
        <w:rPr>
          <w:color w:val="231F20"/>
        </w:rPr>
        <w:t>Regulation</w:t>
      </w:r>
      <w:r>
        <w:rPr>
          <w:color w:val="231F20"/>
          <w:spacing w:val="-11"/>
        </w:rPr>
        <w:t xml:space="preserve"> </w:t>
      </w:r>
      <w:r>
        <w:rPr>
          <w:color w:val="231F20"/>
        </w:rPr>
        <w:t>Rules</w:t>
      </w:r>
      <w:r>
        <w:rPr>
          <w:color w:val="231F20"/>
          <w:spacing w:val="-11"/>
        </w:rPr>
        <w:t xml:space="preserve"> </w:t>
      </w:r>
      <w:r>
        <w:rPr>
          <w:color w:val="231F20"/>
        </w:rPr>
        <w:t>following</w:t>
      </w:r>
      <w:r>
        <w:rPr>
          <w:color w:val="231F20"/>
          <w:spacing w:val="-11"/>
        </w:rPr>
        <w:t xml:space="preserve"> </w:t>
      </w:r>
      <w:r>
        <w:rPr>
          <w:color w:val="231F20"/>
        </w:rPr>
        <w:t>the</w:t>
      </w:r>
      <w:r>
        <w:rPr>
          <w:color w:val="231F20"/>
          <w:spacing w:val="-11"/>
        </w:rPr>
        <w:t xml:space="preserve"> </w:t>
      </w:r>
      <w:r>
        <w:rPr>
          <w:color w:val="231F20"/>
        </w:rPr>
        <w:t xml:space="preserve">publication of the Company’s </w:t>
      </w:r>
      <w:r w:rsidR="009477D2">
        <w:rPr>
          <w:color w:val="231F20"/>
        </w:rPr>
        <w:t xml:space="preserve">audited </w:t>
      </w:r>
      <w:r w:rsidR="00ED3898">
        <w:rPr>
          <w:color w:val="231F20"/>
        </w:rPr>
        <w:t>annual report and accounts for the period ended 31 March 2022</w:t>
      </w:r>
      <w:r w:rsidR="009477D2">
        <w:rPr>
          <w:color w:val="231F20"/>
        </w:rPr>
        <w:t xml:space="preserve"> (the</w:t>
      </w:r>
      <w:r w:rsidR="00ED3898">
        <w:rPr>
          <w:color w:val="231F20"/>
        </w:rPr>
        <w:t xml:space="preserve"> </w:t>
      </w:r>
      <w:r w:rsidR="009477D2">
        <w:rPr>
          <w:color w:val="231F20"/>
        </w:rPr>
        <w:t>“</w:t>
      </w:r>
      <w:r w:rsidR="00ED3898" w:rsidRPr="00ED3898">
        <w:rPr>
          <w:b/>
          <w:color w:val="231F20"/>
        </w:rPr>
        <w:t>Annual Report and Accounts</w:t>
      </w:r>
      <w:r w:rsidR="00ED3898">
        <w:rPr>
          <w:color w:val="231F20"/>
        </w:rPr>
        <w:t>")</w:t>
      </w:r>
      <w:r w:rsidR="009477D2">
        <w:rPr>
          <w:color w:val="231F20"/>
        </w:rPr>
        <w:t>.</w:t>
      </w:r>
      <w:r>
        <w:rPr>
          <w:color w:val="231F20"/>
        </w:rPr>
        <w:t xml:space="preserve"> This Supplementary Prospectus has been approved for publication by the</w:t>
      </w:r>
      <w:r>
        <w:rPr>
          <w:color w:val="231F20"/>
          <w:spacing w:val="14"/>
        </w:rPr>
        <w:t xml:space="preserve"> </w:t>
      </w:r>
      <w:r>
        <w:rPr>
          <w:color w:val="231F20"/>
        </w:rPr>
        <w:t>FCA.</w:t>
      </w:r>
    </w:p>
    <w:p w:rsidR="00DF6DF8" w:rsidRDefault="00DF6DF8">
      <w:pPr>
        <w:pStyle w:val="BodyText"/>
        <w:spacing w:before="8"/>
        <w:rPr>
          <w:sz w:val="24"/>
        </w:rPr>
      </w:pPr>
    </w:p>
    <w:p w:rsidR="00DF6DF8" w:rsidRDefault="00904FCF">
      <w:pPr>
        <w:pStyle w:val="Heading3"/>
      </w:pPr>
      <w:r>
        <w:rPr>
          <w:color w:val="231F20"/>
        </w:rPr>
        <w:t>Significant new factor</w:t>
      </w:r>
    </w:p>
    <w:p w:rsidR="00DF6DF8" w:rsidRPr="00526410" w:rsidRDefault="00904FCF" w:rsidP="00526410">
      <w:pPr>
        <w:pStyle w:val="BodyText"/>
        <w:spacing w:before="66" w:line="249" w:lineRule="auto"/>
        <w:ind w:left="157" w:right="155"/>
        <w:jc w:val="both"/>
        <w:rPr>
          <w:color w:val="231F20"/>
        </w:rPr>
      </w:pPr>
      <w:r>
        <w:rPr>
          <w:color w:val="231F20"/>
        </w:rPr>
        <w:t xml:space="preserve">On </w:t>
      </w:r>
      <w:r w:rsidR="00F13A6F">
        <w:rPr>
          <w:color w:val="231F20"/>
        </w:rPr>
        <w:t>30</w:t>
      </w:r>
      <w:r w:rsidR="00ED3898">
        <w:rPr>
          <w:color w:val="231F20"/>
        </w:rPr>
        <w:t xml:space="preserve"> May 2022,</w:t>
      </w:r>
      <w:r>
        <w:rPr>
          <w:color w:val="231F20"/>
        </w:rPr>
        <w:t xml:space="preserve"> the Company announced that it had published </w:t>
      </w:r>
      <w:r w:rsidR="00CC5A8F">
        <w:rPr>
          <w:color w:val="231F20"/>
        </w:rPr>
        <w:t xml:space="preserve">its </w:t>
      </w:r>
      <w:r w:rsidR="00ED3898">
        <w:rPr>
          <w:color w:val="231F20"/>
        </w:rPr>
        <w:t>Annual Report and Accounts.</w:t>
      </w:r>
      <w:r w:rsidR="009477D2">
        <w:rPr>
          <w:color w:val="231F20"/>
        </w:rPr>
        <w:t xml:space="preserve"> </w:t>
      </w:r>
      <w:r>
        <w:rPr>
          <w:color w:val="231F20"/>
        </w:rPr>
        <w:t xml:space="preserve">By virtue of this document, the </w:t>
      </w:r>
      <w:r w:rsidR="00ED3898">
        <w:rPr>
          <w:color w:val="231F20"/>
        </w:rPr>
        <w:t xml:space="preserve">Annual Report and Accounts </w:t>
      </w:r>
      <w:r w:rsidR="001766FE">
        <w:rPr>
          <w:color w:val="231F20"/>
        </w:rPr>
        <w:t xml:space="preserve">is </w:t>
      </w:r>
      <w:r>
        <w:rPr>
          <w:color w:val="231F20"/>
        </w:rPr>
        <w:t>incorporated into, and form</w:t>
      </w:r>
      <w:r w:rsidR="001766FE">
        <w:rPr>
          <w:color w:val="231F20"/>
        </w:rPr>
        <w:t>s</w:t>
      </w:r>
      <w:r>
        <w:rPr>
          <w:color w:val="231F20"/>
        </w:rPr>
        <w:t xml:space="preserve"> part of, the Prospectus. The non-incorporated parts of the </w:t>
      </w:r>
      <w:r w:rsidR="00ED3898">
        <w:rPr>
          <w:color w:val="231F20"/>
        </w:rPr>
        <w:t>Annual Report and Accounts</w:t>
      </w:r>
      <w:r>
        <w:rPr>
          <w:color w:val="231F20"/>
        </w:rPr>
        <w:t xml:space="preserve"> are either not relevant to investors or covered elsewhere in the Prospectus.</w:t>
      </w:r>
      <w:r w:rsidR="00526410">
        <w:rPr>
          <w:color w:val="231F20"/>
        </w:rPr>
        <w:t xml:space="preserve"> </w:t>
      </w:r>
    </w:p>
    <w:p w:rsidR="00DF6DF8" w:rsidRDefault="00DF6DF8">
      <w:pPr>
        <w:pStyle w:val="BodyText"/>
        <w:spacing w:before="7"/>
        <w:rPr>
          <w:sz w:val="24"/>
        </w:rPr>
      </w:pPr>
    </w:p>
    <w:p w:rsidR="00DF6DF8" w:rsidRDefault="00904FCF">
      <w:pPr>
        <w:pStyle w:val="Heading3"/>
        <w:spacing w:before="1"/>
      </w:pPr>
      <w:r>
        <w:rPr>
          <w:color w:val="231F20"/>
        </w:rPr>
        <w:t>Supplements to the summary</w:t>
      </w:r>
    </w:p>
    <w:p w:rsidR="00DF6DF8" w:rsidRDefault="00904FCF">
      <w:pPr>
        <w:pStyle w:val="BodyText"/>
        <w:spacing w:before="67" w:line="249" w:lineRule="auto"/>
        <w:ind w:left="157" w:right="155"/>
        <w:jc w:val="both"/>
      </w:pPr>
      <w:r>
        <w:rPr>
          <w:color w:val="231F20"/>
        </w:rPr>
        <w:t xml:space="preserve">As a result of the publication of the </w:t>
      </w:r>
      <w:r w:rsidR="00E902E4">
        <w:rPr>
          <w:color w:val="231F20"/>
        </w:rPr>
        <w:t>Annual Report and Accounts</w:t>
      </w:r>
      <w:r>
        <w:rPr>
          <w:color w:val="231F20"/>
        </w:rPr>
        <w:t>, the summary document which forms part of the Prospectus is hereby supplemented as follows:</w:t>
      </w:r>
    </w:p>
    <w:p w:rsidR="00DF6DF8" w:rsidRDefault="00DF6DF8">
      <w:pPr>
        <w:pStyle w:val="BodyText"/>
        <w:spacing w:before="8"/>
        <w:rPr>
          <w:sz w:val="24"/>
        </w:rPr>
      </w:pPr>
    </w:p>
    <w:p w:rsidR="00DF6DF8" w:rsidRDefault="00904FCF">
      <w:pPr>
        <w:ind w:left="157"/>
        <w:jc w:val="both"/>
        <w:rPr>
          <w:b/>
          <w:i/>
          <w:sz w:val="20"/>
        </w:rPr>
      </w:pPr>
      <w:r>
        <w:rPr>
          <w:b/>
          <w:i/>
          <w:color w:val="231F20"/>
          <w:sz w:val="20"/>
        </w:rPr>
        <w:t>What is the key financial information regarding the issuer?</w:t>
      </w:r>
    </w:p>
    <w:p w:rsidR="00DF6DF8" w:rsidRDefault="00904FCF">
      <w:pPr>
        <w:pStyle w:val="BodyText"/>
        <w:spacing w:before="66" w:line="249" w:lineRule="auto"/>
        <w:ind w:left="157" w:right="155"/>
        <w:jc w:val="both"/>
      </w:pPr>
      <w:r>
        <w:rPr>
          <w:color w:val="231F20"/>
        </w:rPr>
        <w:t xml:space="preserve">Selected audited financial information relating to the Company which </w:t>
      </w:r>
      <w:r w:rsidRPr="001766FE">
        <w:rPr>
          <w:color w:val="231F20"/>
          <w:lang w:val="en-GB"/>
        </w:rPr>
        <w:t>summarises</w:t>
      </w:r>
      <w:r>
        <w:rPr>
          <w:color w:val="231F20"/>
        </w:rPr>
        <w:t xml:space="preserve"> the financial condition of the Company </w:t>
      </w:r>
      <w:r w:rsidR="00CC5A8F">
        <w:rPr>
          <w:color w:val="231F20"/>
        </w:rPr>
        <w:t xml:space="preserve">as at the </w:t>
      </w:r>
      <w:r w:rsidR="001766FE">
        <w:rPr>
          <w:color w:val="231F20"/>
        </w:rPr>
        <w:t>period ended 31 March 2022</w:t>
      </w:r>
      <w:r>
        <w:rPr>
          <w:color w:val="231F20"/>
        </w:rPr>
        <w:t xml:space="preserve"> is set out in the following table.</w:t>
      </w:r>
    </w:p>
    <w:p w:rsidR="00DF6DF8" w:rsidRDefault="000F0043">
      <w:pPr>
        <w:spacing w:before="170" w:line="254" w:lineRule="auto"/>
        <w:ind w:left="7977" w:right="155" w:hanging="201"/>
        <w:jc w:val="right"/>
        <w:rPr>
          <w:i/>
          <w:sz w:val="18"/>
        </w:rPr>
      </w:pPr>
      <w:r>
        <w:rPr>
          <w:i/>
          <w:color w:val="231F20"/>
          <w:sz w:val="18"/>
        </w:rPr>
        <w:t>6 April 2021 to 31 March 2022</w:t>
      </w:r>
    </w:p>
    <w:p w:rsidR="00DF6DF8" w:rsidRDefault="0092714C">
      <w:pPr>
        <w:pStyle w:val="Heading3"/>
        <w:spacing w:before="59"/>
        <w:jc w:val="left"/>
      </w:pPr>
      <w:r>
        <w:rPr>
          <w:noProof/>
        </w:rPr>
        <mc:AlternateContent>
          <mc:Choice Requires="wps">
            <w:drawing>
              <wp:anchor distT="0" distB="0" distL="114300" distR="114300" simplePos="0" relativeHeight="1168" behindDoc="0" locked="0" layoutInCell="1" allowOverlap="1" wp14:anchorId="71329941" wp14:editId="081F35E6">
                <wp:simplePos x="0" y="0"/>
                <wp:positionH relativeFrom="page">
                  <wp:posOffset>868045</wp:posOffset>
                </wp:positionH>
                <wp:positionV relativeFrom="paragraph">
                  <wp:posOffset>177165</wp:posOffset>
                </wp:positionV>
                <wp:extent cx="5823585" cy="2009140"/>
                <wp:effectExtent l="1270" t="0" r="4445"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200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50"/>
                              <w:gridCol w:w="2020"/>
                            </w:tblGrid>
                            <w:tr w:rsidR="00DF6DF8">
                              <w:trPr>
                                <w:trHeight w:hRule="exact" w:val="256"/>
                              </w:trPr>
                              <w:tc>
                                <w:tcPr>
                                  <w:tcW w:w="7150" w:type="dxa"/>
                                </w:tcPr>
                                <w:p w:rsidR="00DF6DF8" w:rsidRDefault="00904FCF">
                                  <w:pPr>
                                    <w:pStyle w:val="TableParagraph"/>
                                    <w:spacing w:before="20"/>
                                    <w:rPr>
                                      <w:sz w:val="20"/>
                                    </w:rPr>
                                  </w:pPr>
                                  <w:r>
                                    <w:rPr>
                                      <w:color w:val="231F20"/>
                                      <w:sz w:val="20"/>
                                    </w:rPr>
                                    <w:t>Number of Ordinary Shares in issue</w:t>
                                  </w:r>
                                </w:p>
                              </w:tc>
                              <w:tc>
                                <w:tcPr>
                                  <w:tcW w:w="2020" w:type="dxa"/>
                                </w:tcPr>
                                <w:p w:rsidR="00DF6DF8" w:rsidRDefault="000F0043">
                                  <w:pPr>
                                    <w:pStyle w:val="TableParagraph"/>
                                    <w:spacing w:before="20"/>
                                    <w:ind w:left="0" w:right="48"/>
                                    <w:jc w:val="right"/>
                                    <w:rPr>
                                      <w:sz w:val="20"/>
                                    </w:rPr>
                                  </w:pPr>
                                  <w:r>
                                    <w:rPr>
                                      <w:sz w:val="20"/>
                                    </w:rPr>
                                    <w:t>20,891,975</w:t>
                                  </w:r>
                                </w:p>
                              </w:tc>
                            </w:tr>
                            <w:tr w:rsidR="00DF6DF8">
                              <w:trPr>
                                <w:trHeight w:hRule="exact" w:val="240"/>
                              </w:trPr>
                              <w:tc>
                                <w:tcPr>
                                  <w:tcW w:w="7150" w:type="dxa"/>
                                </w:tcPr>
                                <w:p w:rsidR="00DF6DF8" w:rsidRDefault="00904FCF">
                                  <w:pPr>
                                    <w:pStyle w:val="TableParagraph"/>
                                    <w:rPr>
                                      <w:sz w:val="20"/>
                                    </w:rPr>
                                  </w:pPr>
                                  <w:r>
                                    <w:rPr>
                                      <w:color w:val="231F20"/>
                                      <w:sz w:val="20"/>
                                    </w:rPr>
                                    <w:t>Net assets (£’000)</w:t>
                                  </w:r>
                                </w:p>
                              </w:tc>
                              <w:tc>
                                <w:tcPr>
                                  <w:tcW w:w="2020" w:type="dxa"/>
                                </w:tcPr>
                                <w:p w:rsidR="00DF6DF8" w:rsidRDefault="000F0043">
                                  <w:pPr>
                                    <w:pStyle w:val="TableParagraph"/>
                                    <w:ind w:left="0" w:right="48"/>
                                    <w:jc w:val="right"/>
                                    <w:rPr>
                                      <w:sz w:val="20"/>
                                    </w:rPr>
                                  </w:pPr>
                                  <w:r>
                                    <w:rPr>
                                      <w:sz w:val="20"/>
                                    </w:rPr>
                                    <w:t>1,049,835</w:t>
                                  </w:r>
                                </w:p>
                              </w:tc>
                            </w:tr>
                            <w:tr w:rsidR="00DF6DF8">
                              <w:trPr>
                                <w:trHeight w:hRule="exact" w:val="238"/>
                              </w:trPr>
                              <w:tc>
                                <w:tcPr>
                                  <w:tcW w:w="7150" w:type="dxa"/>
                                </w:tcPr>
                                <w:p w:rsidR="00DF6DF8" w:rsidRDefault="00904FCF">
                                  <w:pPr>
                                    <w:pStyle w:val="TableParagraph"/>
                                    <w:rPr>
                                      <w:sz w:val="20"/>
                                    </w:rPr>
                                  </w:pPr>
                                  <w:r>
                                    <w:rPr>
                                      <w:color w:val="231F20"/>
                                      <w:sz w:val="20"/>
                                    </w:rPr>
                                    <w:t>Net asset value per Ordinary Share (p)</w:t>
                                  </w:r>
                                </w:p>
                              </w:tc>
                              <w:tc>
                                <w:tcPr>
                                  <w:tcW w:w="2020" w:type="dxa"/>
                                </w:tcPr>
                                <w:p w:rsidR="00DF6DF8" w:rsidRDefault="000F0043">
                                  <w:pPr>
                                    <w:pStyle w:val="TableParagraph"/>
                                    <w:ind w:left="0" w:right="48"/>
                                    <w:jc w:val="right"/>
                                    <w:rPr>
                                      <w:sz w:val="20"/>
                                    </w:rPr>
                                  </w:pPr>
                                  <w:r>
                                    <w:rPr>
                                      <w:sz w:val="20"/>
                                    </w:rPr>
                                    <w:t>5,025.1</w:t>
                                  </w:r>
                                </w:p>
                              </w:tc>
                            </w:tr>
                            <w:tr w:rsidR="00DF6DF8">
                              <w:trPr>
                                <w:trHeight w:hRule="exact" w:val="268"/>
                              </w:trPr>
                              <w:tc>
                                <w:tcPr>
                                  <w:tcW w:w="7150" w:type="dxa"/>
                                </w:tcPr>
                                <w:p w:rsidR="00DF6DF8" w:rsidRDefault="00904FCF">
                                  <w:pPr>
                                    <w:pStyle w:val="TableParagraph"/>
                                    <w:spacing w:before="5"/>
                                    <w:rPr>
                                      <w:b/>
                                      <w:sz w:val="20"/>
                                    </w:rPr>
                                  </w:pPr>
                                  <w:r>
                                    <w:rPr>
                                      <w:b/>
                                      <w:color w:val="231F20"/>
                                      <w:sz w:val="20"/>
                                    </w:rPr>
                                    <w:t>Ordinary Share price (p)</w:t>
                                  </w:r>
                                </w:p>
                              </w:tc>
                              <w:tc>
                                <w:tcPr>
                                  <w:tcW w:w="2020" w:type="dxa"/>
                                </w:tcPr>
                                <w:p w:rsidR="00DF6DF8" w:rsidRDefault="000F0043">
                                  <w:pPr>
                                    <w:pStyle w:val="TableParagraph"/>
                                    <w:spacing w:before="5"/>
                                    <w:ind w:left="0" w:right="48"/>
                                    <w:jc w:val="right"/>
                                    <w:rPr>
                                      <w:b/>
                                      <w:sz w:val="20"/>
                                    </w:rPr>
                                  </w:pPr>
                                  <w:r>
                                    <w:rPr>
                                      <w:b/>
                                      <w:sz w:val="20"/>
                                    </w:rPr>
                                    <w:t>5,140.0</w:t>
                                  </w:r>
                                </w:p>
                              </w:tc>
                            </w:tr>
                            <w:tr w:rsidR="00DF6DF8">
                              <w:trPr>
                                <w:trHeight w:hRule="exact" w:val="218"/>
                              </w:trPr>
                              <w:tc>
                                <w:tcPr>
                                  <w:tcW w:w="7150" w:type="dxa"/>
                                </w:tcPr>
                                <w:p w:rsidR="00DF6DF8" w:rsidRDefault="00904FCF">
                                  <w:pPr>
                                    <w:pStyle w:val="TableParagraph"/>
                                    <w:spacing w:before="0" w:line="207" w:lineRule="exact"/>
                                    <w:rPr>
                                      <w:b/>
                                      <w:sz w:val="20"/>
                                    </w:rPr>
                                  </w:pPr>
                                  <w:r>
                                    <w:rPr>
                                      <w:b/>
                                      <w:color w:val="231F20"/>
                                      <w:sz w:val="20"/>
                                    </w:rPr>
                                    <w:t>Income</w:t>
                                  </w:r>
                                </w:p>
                              </w:tc>
                              <w:tc>
                                <w:tcPr>
                                  <w:tcW w:w="2020" w:type="dxa"/>
                                </w:tcPr>
                                <w:p w:rsidR="00DF6DF8" w:rsidRDefault="00DF6DF8"/>
                              </w:tc>
                            </w:tr>
                            <w:tr w:rsidR="00DF6DF8">
                              <w:trPr>
                                <w:trHeight w:hRule="exact" w:val="235"/>
                              </w:trPr>
                              <w:tc>
                                <w:tcPr>
                                  <w:tcW w:w="7150" w:type="dxa"/>
                                </w:tcPr>
                                <w:p w:rsidR="00DF6DF8" w:rsidRDefault="00904FCF">
                                  <w:pPr>
                                    <w:pStyle w:val="TableParagraph"/>
                                    <w:spacing w:before="0" w:line="229" w:lineRule="exact"/>
                                    <w:rPr>
                                      <w:sz w:val="20"/>
                                    </w:rPr>
                                  </w:pPr>
                                  <w:r>
                                    <w:rPr>
                                      <w:color w:val="231F20"/>
                                      <w:sz w:val="20"/>
                                    </w:rPr>
                                    <w:t>Total investment income before operating expenses (£’000)</w:t>
                                  </w:r>
                                </w:p>
                              </w:tc>
                              <w:tc>
                                <w:tcPr>
                                  <w:tcW w:w="2020" w:type="dxa"/>
                                </w:tcPr>
                                <w:p w:rsidR="00DF6DF8" w:rsidRDefault="000F0043">
                                  <w:pPr>
                                    <w:pStyle w:val="TableParagraph"/>
                                    <w:spacing w:before="0" w:line="229" w:lineRule="exact"/>
                                    <w:ind w:left="0" w:right="48"/>
                                    <w:jc w:val="right"/>
                                    <w:rPr>
                                      <w:sz w:val="20"/>
                                    </w:rPr>
                                  </w:pPr>
                                  <w:r>
                                    <w:rPr>
                                      <w:sz w:val="20"/>
                                    </w:rPr>
                                    <w:t>14,677</w:t>
                                  </w:r>
                                </w:p>
                              </w:tc>
                            </w:tr>
                            <w:tr w:rsidR="00DF6DF8">
                              <w:trPr>
                                <w:trHeight w:hRule="exact" w:val="240"/>
                              </w:trPr>
                              <w:tc>
                                <w:tcPr>
                                  <w:tcW w:w="7150" w:type="dxa"/>
                                </w:tcPr>
                                <w:p w:rsidR="00DF6DF8" w:rsidRDefault="00904FCF">
                                  <w:pPr>
                                    <w:pStyle w:val="TableParagraph"/>
                                    <w:rPr>
                                      <w:sz w:val="20"/>
                                    </w:rPr>
                                  </w:pPr>
                                  <w:r>
                                    <w:rPr>
                                      <w:color w:val="231F20"/>
                                      <w:sz w:val="20"/>
                                    </w:rPr>
                                    <w:t>Net return attributable to equity shareholders (£’000)</w:t>
                                  </w:r>
                                </w:p>
                              </w:tc>
                              <w:tc>
                                <w:tcPr>
                                  <w:tcW w:w="2020" w:type="dxa"/>
                                </w:tcPr>
                                <w:p w:rsidR="00DF6DF8" w:rsidRDefault="000F0043">
                                  <w:pPr>
                                    <w:pStyle w:val="TableParagraph"/>
                                    <w:ind w:left="0" w:right="48"/>
                                    <w:jc w:val="right"/>
                                    <w:rPr>
                                      <w:sz w:val="20"/>
                                    </w:rPr>
                                  </w:pPr>
                                  <w:r>
                                    <w:rPr>
                                      <w:sz w:val="20"/>
                                    </w:rPr>
                                    <w:t>9,813</w:t>
                                  </w:r>
                                </w:p>
                              </w:tc>
                            </w:tr>
                            <w:tr w:rsidR="00DF6DF8">
                              <w:trPr>
                                <w:trHeight w:hRule="exact" w:val="240"/>
                              </w:trPr>
                              <w:tc>
                                <w:tcPr>
                                  <w:tcW w:w="7150" w:type="dxa"/>
                                </w:tcPr>
                                <w:p w:rsidR="00DF6DF8" w:rsidRDefault="00904FCF">
                                  <w:pPr>
                                    <w:pStyle w:val="TableParagraph"/>
                                    <w:rPr>
                                      <w:sz w:val="20"/>
                                    </w:rPr>
                                  </w:pPr>
                                  <w:r>
                                    <w:rPr>
                                      <w:color w:val="231F20"/>
                                      <w:sz w:val="20"/>
                                    </w:rPr>
                                    <w:t>Performance fee (accrued/paid) (£’000)</w:t>
                                  </w:r>
                                </w:p>
                              </w:tc>
                              <w:tc>
                                <w:tcPr>
                                  <w:tcW w:w="2020" w:type="dxa"/>
                                </w:tcPr>
                                <w:p w:rsidR="00DF6DF8" w:rsidRDefault="00904FCF">
                                  <w:pPr>
                                    <w:pStyle w:val="TableParagraph"/>
                                    <w:ind w:left="0" w:right="48"/>
                                    <w:jc w:val="right"/>
                                    <w:rPr>
                                      <w:sz w:val="20"/>
                                    </w:rPr>
                                  </w:pPr>
                                  <w:r>
                                    <w:rPr>
                                      <w:color w:val="231F20"/>
                                      <w:sz w:val="20"/>
                                    </w:rPr>
                                    <w:t>n/a</w:t>
                                  </w:r>
                                </w:p>
                              </w:tc>
                            </w:tr>
                            <w:tr w:rsidR="00DF6DF8">
                              <w:trPr>
                                <w:trHeight w:hRule="exact" w:val="240"/>
                              </w:trPr>
                              <w:tc>
                                <w:tcPr>
                                  <w:tcW w:w="7150" w:type="dxa"/>
                                </w:tcPr>
                                <w:p w:rsidR="00DF6DF8" w:rsidRDefault="00904FCF">
                                  <w:pPr>
                                    <w:pStyle w:val="TableParagraph"/>
                                    <w:rPr>
                                      <w:sz w:val="20"/>
                                    </w:rPr>
                                  </w:pPr>
                                  <w:r>
                                    <w:rPr>
                                      <w:color w:val="231F20"/>
                                      <w:sz w:val="20"/>
                                    </w:rPr>
                                    <w:t>Investment Manager fee charged to revenue (accrued/paid) (£’000)</w:t>
                                  </w:r>
                                </w:p>
                              </w:tc>
                              <w:tc>
                                <w:tcPr>
                                  <w:tcW w:w="2020" w:type="dxa"/>
                                </w:tcPr>
                                <w:p w:rsidR="00DF6DF8" w:rsidRDefault="000F0043">
                                  <w:pPr>
                                    <w:pStyle w:val="TableParagraph"/>
                                    <w:ind w:left="0" w:right="48"/>
                                    <w:jc w:val="right"/>
                                    <w:rPr>
                                      <w:sz w:val="20"/>
                                    </w:rPr>
                                  </w:pPr>
                                  <w:r>
                                    <w:rPr>
                                      <w:sz w:val="20"/>
                                    </w:rPr>
                                    <w:t>3,627</w:t>
                                  </w:r>
                                </w:p>
                              </w:tc>
                            </w:tr>
                            <w:tr w:rsidR="00DF6DF8">
                              <w:trPr>
                                <w:trHeight w:hRule="exact" w:val="240"/>
                              </w:trPr>
                              <w:tc>
                                <w:tcPr>
                                  <w:tcW w:w="7150" w:type="dxa"/>
                                </w:tcPr>
                                <w:p w:rsidR="00DF6DF8" w:rsidRDefault="00904FCF">
                                  <w:pPr>
                                    <w:pStyle w:val="TableParagraph"/>
                                    <w:rPr>
                                      <w:sz w:val="20"/>
                                    </w:rPr>
                                  </w:pPr>
                                  <w:r>
                                    <w:rPr>
                                      <w:color w:val="231F20"/>
                                      <w:sz w:val="20"/>
                                    </w:rPr>
                                    <w:t>Any other material fees (accrued/paid) to service providers (£’000)</w:t>
                                  </w:r>
                                </w:p>
                              </w:tc>
                              <w:tc>
                                <w:tcPr>
                                  <w:tcW w:w="2020" w:type="dxa"/>
                                </w:tcPr>
                                <w:p w:rsidR="00DF6DF8" w:rsidRDefault="000F0043">
                                  <w:pPr>
                                    <w:pStyle w:val="TableParagraph"/>
                                    <w:ind w:left="0" w:right="48"/>
                                    <w:jc w:val="right"/>
                                    <w:rPr>
                                      <w:sz w:val="20"/>
                                    </w:rPr>
                                  </w:pPr>
                                  <w:r>
                                    <w:rPr>
                                      <w:sz w:val="20"/>
                                    </w:rPr>
                                    <w:t>727</w:t>
                                  </w:r>
                                </w:p>
                              </w:tc>
                            </w:tr>
                            <w:tr w:rsidR="00DF6DF8">
                              <w:trPr>
                                <w:trHeight w:hRule="exact" w:val="240"/>
                              </w:trPr>
                              <w:tc>
                                <w:tcPr>
                                  <w:tcW w:w="7150" w:type="dxa"/>
                                </w:tcPr>
                                <w:p w:rsidR="00DF6DF8" w:rsidRDefault="00904FCF">
                                  <w:pPr>
                                    <w:pStyle w:val="TableParagraph"/>
                                    <w:rPr>
                                      <w:sz w:val="20"/>
                                    </w:rPr>
                                  </w:pPr>
                                  <w:r>
                                    <w:rPr>
                                      <w:color w:val="231F20"/>
                                      <w:sz w:val="20"/>
                                    </w:rPr>
                                    <w:t>Revenue return per Ordinary Share (p)</w:t>
                                  </w:r>
                                </w:p>
                              </w:tc>
                              <w:tc>
                                <w:tcPr>
                                  <w:tcW w:w="2020" w:type="dxa"/>
                                </w:tcPr>
                                <w:p w:rsidR="00DF6DF8" w:rsidRDefault="000F0043">
                                  <w:pPr>
                                    <w:pStyle w:val="TableParagraph"/>
                                    <w:ind w:left="0" w:right="48"/>
                                    <w:jc w:val="right"/>
                                    <w:rPr>
                                      <w:sz w:val="20"/>
                                    </w:rPr>
                                  </w:pPr>
                                  <w:r>
                                    <w:rPr>
                                      <w:sz w:val="20"/>
                                    </w:rPr>
                                    <w:t>56.81</w:t>
                                  </w:r>
                                </w:p>
                              </w:tc>
                            </w:tr>
                            <w:tr w:rsidR="00DF6DF8">
                              <w:trPr>
                                <w:trHeight w:hRule="exact" w:val="238"/>
                              </w:trPr>
                              <w:tc>
                                <w:tcPr>
                                  <w:tcW w:w="7150" w:type="dxa"/>
                                </w:tcPr>
                                <w:p w:rsidR="00DF6DF8" w:rsidRDefault="00904FCF">
                                  <w:pPr>
                                    <w:pStyle w:val="TableParagraph"/>
                                    <w:rPr>
                                      <w:sz w:val="20"/>
                                    </w:rPr>
                                  </w:pPr>
                                  <w:r>
                                    <w:rPr>
                                      <w:color w:val="231F20"/>
                                      <w:sz w:val="20"/>
                                    </w:rPr>
                                    <w:t>Dividend per Ordinary Share (p)</w:t>
                                  </w:r>
                                </w:p>
                              </w:tc>
                              <w:tc>
                                <w:tcPr>
                                  <w:tcW w:w="2020" w:type="dxa"/>
                                </w:tcPr>
                                <w:p w:rsidR="00DF6DF8" w:rsidRDefault="000F0043">
                                  <w:pPr>
                                    <w:pStyle w:val="TableParagraph"/>
                                    <w:ind w:left="0" w:right="48"/>
                                    <w:jc w:val="right"/>
                                    <w:rPr>
                                      <w:sz w:val="20"/>
                                    </w:rPr>
                                  </w:pPr>
                                  <w:r>
                                    <w:rPr>
                                      <w:sz w:val="20"/>
                                    </w:rPr>
                                    <w:t>46.0</w:t>
                                  </w:r>
                                </w:p>
                              </w:tc>
                            </w:tr>
                          </w:tbl>
                          <w:p w:rsidR="00DF6DF8" w:rsidRDefault="00DF6D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29941" id="_x0000_t202" coordsize="21600,21600" o:spt="202" path="m,l,21600r21600,l21600,xe">
                <v:stroke joinstyle="miter"/>
                <v:path gradientshapeok="t" o:connecttype="rect"/>
              </v:shapetype>
              <v:shape id="Text Box 3" o:spid="_x0000_s1026" type="#_x0000_t202" style="position:absolute;left:0;text-align:left;margin-left:68.35pt;margin-top:13.95pt;width:458.55pt;height:158.2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50"/>
                        <w:gridCol w:w="2020"/>
                      </w:tblGrid>
                      <w:tr w:rsidR="00DF6DF8">
                        <w:trPr>
                          <w:trHeight w:hRule="exact" w:val="256"/>
                        </w:trPr>
                        <w:tc>
                          <w:tcPr>
                            <w:tcW w:w="7150" w:type="dxa"/>
                          </w:tcPr>
                          <w:p w:rsidR="00DF6DF8" w:rsidRDefault="00904FCF">
                            <w:pPr>
                              <w:pStyle w:val="TableParagraph"/>
                              <w:spacing w:before="20"/>
                              <w:rPr>
                                <w:sz w:val="20"/>
                              </w:rPr>
                            </w:pPr>
                            <w:r>
                              <w:rPr>
                                <w:color w:val="231F20"/>
                                <w:sz w:val="20"/>
                              </w:rPr>
                              <w:t>Number of Ordinary Shares in issue</w:t>
                            </w:r>
                          </w:p>
                        </w:tc>
                        <w:tc>
                          <w:tcPr>
                            <w:tcW w:w="2020" w:type="dxa"/>
                          </w:tcPr>
                          <w:p w:rsidR="00DF6DF8" w:rsidRDefault="000F0043">
                            <w:pPr>
                              <w:pStyle w:val="TableParagraph"/>
                              <w:spacing w:before="20"/>
                              <w:ind w:left="0" w:right="48"/>
                              <w:jc w:val="right"/>
                              <w:rPr>
                                <w:sz w:val="20"/>
                              </w:rPr>
                            </w:pPr>
                            <w:r>
                              <w:rPr>
                                <w:sz w:val="20"/>
                              </w:rPr>
                              <w:t>20,891,975</w:t>
                            </w:r>
                          </w:p>
                        </w:tc>
                      </w:tr>
                      <w:tr w:rsidR="00DF6DF8">
                        <w:trPr>
                          <w:trHeight w:hRule="exact" w:val="240"/>
                        </w:trPr>
                        <w:tc>
                          <w:tcPr>
                            <w:tcW w:w="7150" w:type="dxa"/>
                          </w:tcPr>
                          <w:p w:rsidR="00DF6DF8" w:rsidRDefault="00904FCF">
                            <w:pPr>
                              <w:pStyle w:val="TableParagraph"/>
                              <w:rPr>
                                <w:sz w:val="20"/>
                              </w:rPr>
                            </w:pPr>
                            <w:r>
                              <w:rPr>
                                <w:color w:val="231F20"/>
                                <w:sz w:val="20"/>
                              </w:rPr>
                              <w:t>Net assets (£’000)</w:t>
                            </w:r>
                          </w:p>
                        </w:tc>
                        <w:tc>
                          <w:tcPr>
                            <w:tcW w:w="2020" w:type="dxa"/>
                          </w:tcPr>
                          <w:p w:rsidR="00DF6DF8" w:rsidRDefault="000F0043">
                            <w:pPr>
                              <w:pStyle w:val="TableParagraph"/>
                              <w:ind w:left="0" w:right="48"/>
                              <w:jc w:val="right"/>
                              <w:rPr>
                                <w:sz w:val="20"/>
                              </w:rPr>
                            </w:pPr>
                            <w:r>
                              <w:rPr>
                                <w:sz w:val="20"/>
                              </w:rPr>
                              <w:t>1,049,835</w:t>
                            </w:r>
                          </w:p>
                        </w:tc>
                      </w:tr>
                      <w:tr w:rsidR="00DF6DF8">
                        <w:trPr>
                          <w:trHeight w:hRule="exact" w:val="238"/>
                        </w:trPr>
                        <w:tc>
                          <w:tcPr>
                            <w:tcW w:w="7150" w:type="dxa"/>
                          </w:tcPr>
                          <w:p w:rsidR="00DF6DF8" w:rsidRDefault="00904FCF">
                            <w:pPr>
                              <w:pStyle w:val="TableParagraph"/>
                              <w:rPr>
                                <w:sz w:val="20"/>
                              </w:rPr>
                            </w:pPr>
                            <w:r>
                              <w:rPr>
                                <w:color w:val="231F20"/>
                                <w:sz w:val="20"/>
                              </w:rPr>
                              <w:t>Net asset value per Ordinary Share (p)</w:t>
                            </w:r>
                          </w:p>
                        </w:tc>
                        <w:tc>
                          <w:tcPr>
                            <w:tcW w:w="2020" w:type="dxa"/>
                          </w:tcPr>
                          <w:p w:rsidR="00DF6DF8" w:rsidRDefault="000F0043">
                            <w:pPr>
                              <w:pStyle w:val="TableParagraph"/>
                              <w:ind w:left="0" w:right="48"/>
                              <w:jc w:val="right"/>
                              <w:rPr>
                                <w:sz w:val="20"/>
                              </w:rPr>
                            </w:pPr>
                            <w:r>
                              <w:rPr>
                                <w:sz w:val="20"/>
                              </w:rPr>
                              <w:t>5,025.1</w:t>
                            </w:r>
                          </w:p>
                        </w:tc>
                      </w:tr>
                      <w:tr w:rsidR="00DF6DF8">
                        <w:trPr>
                          <w:trHeight w:hRule="exact" w:val="268"/>
                        </w:trPr>
                        <w:tc>
                          <w:tcPr>
                            <w:tcW w:w="7150" w:type="dxa"/>
                          </w:tcPr>
                          <w:p w:rsidR="00DF6DF8" w:rsidRDefault="00904FCF">
                            <w:pPr>
                              <w:pStyle w:val="TableParagraph"/>
                              <w:spacing w:before="5"/>
                              <w:rPr>
                                <w:b/>
                                <w:sz w:val="20"/>
                              </w:rPr>
                            </w:pPr>
                            <w:r>
                              <w:rPr>
                                <w:b/>
                                <w:color w:val="231F20"/>
                                <w:sz w:val="20"/>
                              </w:rPr>
                              <w:t>Ordinary Share price (p)</w:t>
                            </w:r>
                          </w:p>
                        </w:tc>
                        <w:tc>
                          <w:tcPr>
                            <w:tcW w:w="2020" w:type="dxa"/>
                          </w:tcPr>
                          <w:p w:rsidR="00DF6DF8" w:rsidRDefault="000F0043">
                            <w:pPr>
                              <w:pStyle w:val="TableParagraph"/>
                              <w:spacing w:before="5"/>
                              <w:ind w:left="0" w:right="48"/>
                              <w:jc w:val="right"/>
                              <w:rPr>
                                <w:b/>
                                <w:sz w:val="20"/>
                              </w:rPr>
                            </w:pPr>
                            <w:r>
                              <w:rPr>
                                <w:b/>
                                <w:sz w:val="20"/>
                              </w:rPr>
                              <w:t>5,140.0</w:t>
                            </w:r>
                          </w:p>
                        </w:tc>
                      </w:tr>
                      <w:tr w:rsidR="00DF6DF8">
                        <w:trPr>
                          <w:trHeight w:hRule="exact" w:val="218"/>
                        </w:trPr>
                        <w:tc>
                          <w:tcPr>
                            <w:tcW w:w="7150" w:type="dxa"/>
                          </w:tcPr>
                          <w:p w:rsidR="00DF6DF8" w:rsidRDefault="00904FCF">
                            <w:pPr>
                              <w:pStyle w:val="TableParagraph"/>
                              <w:spacing w:before="0" w:line="207" w:lineRule="exact"/>
                              <w:rPr>
                                <w:b/>
                                <w:sz w:val="20"/>
                              </w:rPr>
                            </w:pPr>
                            <w:r>
                              <w:rPr>
                                <w:b/>
                                <w:color w:val="231F20"/>
                                <w:sz w:val="20"/>
                              </w:rPr>
                              <w:t>Income</w:t>
                            </w:r>
                          </w:p>
                        </w:tc>
                        <w:tc>
                          <w:tcPr>
                            <w:tcW w:w="2020" w:type="dxa"/>
                          </w:tcPr>
                          <w:p w:rsidR="00DF6DF8" w:rsidRDefault="00DF6DF8"/>
                        </w:tc>
                      </w:tr>
                      <w:tr w:rsidR="00DF6DF8">
                        <w:trPr>
                          <w:trHeight w:hRule="exact" w:val="235"/>
                        </w:trPr>
                        <w:tc>
                          <w:tcPr>
                            <w:tcW w:w="7150" w:type="dxa"/>
                          </w:tcPr>
                          <w:p w:rsidR="00DF6DF8" w:rsidRDefault="00904FCF">
                            <w:pPr>
                              <w:pStyle w:val="TableParagraph"/>
                              <w:spacing w:before="0" w:line="229" w:lineRule="exact"/>
                              <w:rPr>
                                <w:sz w:val="20"/>
                              </w:rPr>
                            </w:pPr>
                            <w:r>
                              <w:rPr>
                                <w:color w:val="231F20"/>
                                <w:sz w:val="20"/>
                              </w:rPr>
                              <w:t>Total investment income before operating expenses (£’000)</w:t>
                            </w:r>
                          </w:p>
                        </w:tc>
                        <w:tc>
                          <w:tcPr>
                            <w:tcW w:w="2020" w:type="dxa"/>
                          </w:tcPr>
                          <w:p w:rsidR="00DF6DF8" w:rsidRDefault="000F0043">
                            <w:pPr>
                              <w:pStyle w:val="TableParagraph"/>
                              <w:spacing w:before="0" w:line="229" w:lineRule="exact"/>
                              <w:ind w:left="0" w:right="48"/>
                              <w:jc w:val="right"/>
                              <w:rPr>
                                <w:sz w:val="20"/>
                              </w:rPr>
                            </w:pPr>
                            <w:r>
                              <w:rPr>
                                <w:sz w:val="20"/>
                              </w:rPr>
                              <w:t>14,677</w:t>
                            </w:r>
                          </w:p>
                        </w:tc>
                      </w:tr>
                      <w:tr w:rsidR="00DF6DF8">
                        <w:trPr>
                          <w:trHeight w:hRule="exact" w:val="240"/>
                        </w:trPr>
                        <w:tc>
                          <w:tcPr>
                            <w:tcW w:w="7150" w:type="dxa"/>
                          </w:tcPr>
                          <w:p w:rsidR="00DF6DF8" w:rsidRDefault="00904FCF">
                            <w:pPr>
                              <w:pStyle w:val="TableParagraph"/>
                              <w:rPr>
                                <w:sz w:val="20"/>
                              </w:rPr>
                            </w:pPr>
                            <w:r>
                              <w:rPr>
                                <w:color w:val="231F20"/>
                                <w:sz w:val="20"/>
                              </w:rPr>
                              <w:t>Net return attributable to equity shareholders (£’000)</w:t>
                            </w:r>
                          </w:p>
                        </w:tc>
                        <w:tc>
                          <w:tcPr>
                            <w:tcW w:w="2020" w:type="dxa"/>
                          </w:tcPr>
                          <w:p w:rsidR="00DF6DF8" w:rsidRDefault="000F0043">
                            <w:pPr>
                              <w:pStyle w:val="TableParagraph"/>
                              <w:ind w:left="0" w:right="48"/>
                              <w:jc w:val="right"/>
                              <w:rPr>
                                <w:sz w:val="20"/>
                              </w:rPr>
                            </w:pPr>
                            <w:r>
                              <w:rPr>
                                <w:sz w:val="20"/>
                              </w:rPr>
                              <w:t>9,813</w:t>
                            </w:r>
                          </w:p>
                        </w:tc>
                      </w:tr>
                      <w:tr w:rsidR="00DF6DF8">
                        <w:trPr>
                          <w:trHeight w:hRule="exact" w:val="240"/>
                        </w:trPr>
                        <w:tc>
                          <w:tcPr>
                            <w:tcW w:w="7150" w:type="dxa"/>
                          </w:tcPr>
                          <w:p w:rsidR="00DF6DF8" w:rsidRDefault="00904FCF">
                            <w:pPr>
                              <w:pStyle w:val="TableParagraph"/>
                              <w:rPr>
                                <w:sz w:val="20"/>
                              </w:rPr>
                            </w:pPr>
                            <w:r>
                              <w:rPr>
                                <w:color w:val="231F20"/>
                                <w:sz w:val="20"/>
                              </w:rPr>
                              <w:t>Performance fee (accrued/paid) (£’000)</w:t>
                            </w:r>
                          </w:p>
                        </w:tc>
                        <w:tc>
                          <w:tcPr>
                            <w:tcW w:w="2020" w:type="dxa"/>
                          </w:tcPr>
                          <w:p w:rsidR="00DF6DF8" w:rsidRDefault="00904FCF">
                            <w:pPr>
                              <w:pStyle w:val="TableParagraph"/>
                              <w:ind w:left="0" w:right="48"/>
                              <w:jc w:val="right"/>
                              <w:rPr>
                                <w:sz w:val="20"/>
                              </w:rPr>
                            </w:pPr>
                            <w:r>
                              <w:rPr>
                                <w:color w:val="231F20"/>
                                <w:sz w:val="20"/>
                              </w:rPr>
                              <w:t>n/a</w:t>
                            </w:r>
                          </w:p>
                        </w:tc>
                      </w:tr>
                      <w:tr w:rsidR="00DF6DF8">
                        <w:trPr>
                          <w:trHeight w:hRule="exact" w:val="240"/>
                        </w:trPr>
                        <w:tc>
                          <w:tcPr>
                            <w:tcW w:w="7150" w:type="dxa"/>
                          </w:tcPr>
                          <w:p w:rsidR="00DF6DF8" w:rsidRDefault="00904FCF">
                            <w:pPr>
                              <w:pStyle w:val="TableParagraph"/>
                              <w:rPr>
                                <w:sz w:val="20"/>
                              </w:rPr>
                            </w:pPr>
                            <w:r>
                              <w:rPr>
                                <w:color w:val="231F20"/>
                                <w:sz w:val="20"/>
                              </w:rPr>
                              <w:t>Investment Manager fee charged to revenue (accrued/paid) (£’000)</w:t>
                            </w:r>
                          </w:p>
                        </w:tc>
                        <w:tc>
                          <w:tcPr>
                            <w:tcW w:w="2020" w:type="dxa"/>
                          </w:tcPr>
                          <w:p w:rsidR="00DF6DF8" w:rsidRDefault="000F0043">
                            <w:pPr>
                              <w:pStyle w:val="TableParagraph"/>
                              <w:ind w:left="0" w:right="48"/>
                              <w:jc w:val="right"/>
                              <w:rPr>
                                <w:sz w:val="20"/>
                              </w:rPr>
                            </w:pPr>
                            <w:r>
                              <w:rPr>
                                <w:sz w:val="20"/>
                              </w:rPr>
                              <w:t>3,627</w:t>
                            </w:r>
                          </w:p>
                        </w:tc>
                      </w:tr>
                      <w:tr w:rsidR="00DF6DF8">
                        <w:trPr>
                          <w:trHeight w:hRule="exact" w:val="240"/>
                        </w:trPr>
                        <w:tc>
                          <w:tcPr>
                            <w:tcW w:w="7150" w:type="dxa"/>
                          </w:tcPr>
                          <w:p w:rsidR="00DF6DF8" w:rsidRDefault="00904FCF">
                            <w:pPr>
                              <w:pStyle w:val="TableParagraph"/>
                              <w:rPr>
                                <w:sz w:val="20"/>
                              </w:rPr>
                            </w:pPr>
                            <w:r>
                              <w:rPr>
                                <w:color w:val="231F20"/>
                                <w:sz w:val="20"/>
                              </w:rPr>
                              <w:t>Any other material fees (accrued/paid) to service providers (£’000)</w:t>
                            </w:r>
                          </w:p>
                        </w:tc>
                        <w:tc>
                          <w:tcPr>
                            <w:tcW w:w="2020" w:type="dxa"/>
                          </w:tcPr>
                          <w:p w:rsidR="00DF6DF8" w:rsidRDefault="000F0043">
                            <w:pPr>
                              <w:pStyle w:val="TableParagraph"/>
                              <w:ind w:left="0" w:right="48"/>
                              <w:jc w:val="right"/>
                              <w:rPr>
                                <w:sz w:val="20"/>
                              </w:rPr>
                            </w:pPr>
                            <w:r>
                              <w:rPr>
                                <w:sz w:val="20"/>
                              </w:rPr>
                              <w:t>727</w:t>
                            </w:r>
                          </w:p>
                        </w:tc>
                      </w:tr>
                      <w:tr w:rsidR="00DF6DF8">
                        <w:trPr>
                          <w:trHeight w:hRule="exact" w:val="240"/>
                        </w:trPr>
                        <w:tc>
                          <w:tcPr>
                            <w:tcW w:w="7150" w:type="dxa"/>
                          </w:tcPr>
                          <w:p w:rsidR="00DF6DF8" w:rsidRDefault="00904FCF">
                            <w:pPr>
                              <w:pStyle w:val="TableParagraph"/>
                              <w:rPr>
                                <w:sz w:val="20"/>
                              </w:rPr>
                            </w:pPr>
                            <w:r>
                              <w:rPr>
                                <w:color w:val="231F20"/>
                                <w:sz w:val="20"/>
                              </w:rPr>
                              <w:t>Revenue return per Ordinary Share (p)</w:t>
                            </w:r>
                          </w:p>
                        </w:tc>
                        <w:tc>
                          <w:tcPr>
                            <w:tcW w:w="2020" w:type="dxa"/>
                          </w:tcPr>
                          <w:p w:rsidR="00DF6DF8" w:rsidRDefault="000F0043">
                            <w:pPr>
                              <w:pStyle w:val="TableParagraph"/>
                              <w:ind w:left="0" w:right="48"/>
                              <w:jc w:val="right"/>
                              <w:rPr>
                                <w:sz w:val="20"/>
                              </w:rPr>
                            </w:pPr>
                            <w:r>
                              <w:rPr>
                                <w:sz w:val="20"/>
                              </w:rPr>
                              <w:t>56.81</w:t>
                            </w:r>
                          </w:p>
                        </w:tc>
                      </w:tr>
                      <w:tr w:rsidR="00DF6DF8">
                        <w:trPr>
                          <w:trHeight w:hRule="exact" w:val="238"/>
                        </w:trPr>
                        <w:tc>
                          <w:tcPr>
                            <w:tcW w:w="7150" w:type="dxa"/>
                          </w:tcPr>
                          <w:p w:rsidR="00DF6DF8" w:rsidRDefault="00904FCF">
                            <w:pPr>
                              <w:pStyle w:val="TableParagraph"/>
                              <w:rPr>
                                <w:sz w:val="20"/>
                              </w:rPr>
                            </w:pPr>
                            <w:r>
                              <w:rPr>
                                <w:color w:val="231F20"/>
                                <w:sz w:val="20"/>
                              </w:rPr>
                              <w:t>Dividend per Ordinary Share (p)</w:t>
                            </w:r>
                          </w:p>
                        </w:tc>
                        <w:tc>
                          <w:tcPr>
                            <w:tcW w:w="2020" w:type="dxa"/>
                          </w:tcPr>
                          <w:p w:rsidR="00DF6DF8" w:rsidRDefault="000F0043">
                            <w:pPr>
                              <w:pStyle w:val="TableParagraph"/>
                              <w:ind w:left="0" w:right="48"/>
                              <w:jc w:val="right"/>
                              <w:rPr>
                                <w:sz w:val="20"/>
                              </w:rPr>
                            </w:pPr>
                            <w:r>
                              <w:rPr>
                                <w:sz w:val="20"/>
                              </w:rPr>
                              <w:t>46.0</w:t>
                            </w:r>
                          </w:p>
                        </w:tc>
                      </w:tr>
                    </w:tbl>
                    <w:p w:rsidR="00DF6DF8" w:rsidRDefault="00DF6DF8">
                      <w:pPr>
                        <w:pStyle w:val="BodyText"/>
                      </w:pPr>
                    </w:p>
                  </w:txbxContent>
                </v:textbox>
                <w10:wrap anchorx="page"/>
              </v:shape>
            </w:pict>
          </mc:Fallback>
        </mc:AlternateContent>
      </w:r>
      <w:r w:rsidR="00904FCF">
        <w:rPr>
          <w:color w:val="231F20"/>
        </w:rPr>
        <w:t>Net asset value</w:t>
      </w:r>
    </w:p>
    <w:p w:rsidR="00DF6DF8" w:rsidRDefault="00DF6DF8">
      <w:pPr>
        <w:pStyle w:val="BodyText"/>
        <w:rPr>
          <w:b/>
          <w:sz w:val="28"/>
        </w:rPr>
      </w:pPr>
    </w:p>
    <w:p w:rsidR="00DF6DF8" w:rsidRDefault="00DF6DF8">
      <w:pPr>
        <w:pStyle w:val="BodyText"/>
        <w:rPr>
          <w:b/>
          <w:sz w:val="28"/>
        </w:rPr>
      </w:pPr>
    </w:p>
    <w:p w:rsidR="00DF6DF8" w:rsidRDefault="00DF6DF8">
      <w:pPr>
        <w:pStyle w:val="BodyText"/>
        <w:rPr>
          <w:b/>
          <w:sz w:val="28"/>
        </w:rPr>
      </w:pPr>
    </w:p>
    <w:p w:rsidR="00CC5A8F" w:rsidRDefault="00CC5A8F">
      <w:pPr>
        <w:pStyle w:val="BodyText"/>
        <w:rPr>
          <w:b/>
          <w:sz w:val="28"/>
        </w:rPr>
      </w:pPr>
    </w:p>
    <w:p w:rsidR="00DF6DF8" w:rsidRDefault="00DF6DF8">
      <w:pPr>
        <w:pStyle w:val="BodyText"/>
        <w:rPr>
          <w:b/>
          <w:sz w:val="28"/>
        </w:rPr>
      </w:pPr>
    </w:p>
    <w:p w:rsidR="00DF6DF8" w:rsidRDefault="00DF6DF8">
      <w:pPr>
        <w:pStyle w:val="BodyText"/>
        <w:rPr>
          <w:b/>
          <w:sz w:val="28"/>
        </w:rPr>
      </w:pPr>
    </w:p>
    <w:p w:rsidR="00DF6DF8" w:rsidRDefault="00DF6DF8">
      <w:pPr>
        <w:pStyle w:val="BodyText"/>
        <w:rPr>
          <w:b/>
          <w:sz w:val="28"/>
        </w:rPr>
      </w:pPr>
    </w:p>
    <w:p w:rsidR="00DF6DF8" w:rsidRDefault="00DF6DF8">
      <w:pPr>
        <w:pStyle w:val="BodyText"/>
        <w:rPr>
          <w:b/>
          <w:sz w:val="28"/>
        </w:rPr>
      </w:pPr>
    </w:p>
    <w:p w:rsidR="00DF6DF8" w:rsidRDefault="00DF6DF8">
      <w:pPr>
        <w:pStyle w:val="BodyText"/>
        <w:rPr>
          <w:b/>
          <w:sz w:val="28"/>
        </w:rPr>
      </w:pPr>
    </w:p>
    <w:p w:rsidR="00DF6DF8" w:rsidRDefault="00904FCF">
      <w:pPr>
        <w:pStyle w:val="Heading3"/>
        <w:spacing w:before="9"/>
        <w:jc w:val="left"/>
      </w:pPr>
      <w:r>
        <w:rPr>
          <w:color w:val="231F20"/>
        </w:rPr>
        <w:t>Portfolio summary</w:t>
      </w:r>
    </w:p>
    <w:p w:rsidR="00DF6DF8" w:rsidRDefault="00904FCF">
      <w:pPr>
        <w:pStyle w:val="BodyText"/>
        <w:tabs>
          <w:tab w:val="left" w:pos="8505"/>
        </w:tabs>
        <w:spacing w:before="9"/>
        <w:ind w:left="157"/>
      </w:pPr>
      <w:r>
        <w:rPr>
          <w:color w:val="231F20"/>
        </w:rPr>
        <w:t>Shareholders’</w:t>
      </w:r>
      <w:r>
        <w:rPr>
          <w:color w:val="231F20"/>
          <w:spacing w:val="1"/>
        </w:rPr>
        <w:t xml:space="preserve"> </w:t>
      </w:r>
      <w:r>
        <w:rPr>
          <w:color w:val="231F20"/>
        </w:rPr>
        <w:t>funds</w:t>
      </w:r>
      <w:r>
        <w:rPr>
          <w:color w:val="231F20"/>
          <w:spacing w:val="1"/>
        </w:rPr>
        <w:t xml:space="preserve"> </w:t>
      </w:r>
      <w:r>
        <w:rPr>
          <w:color w:val="231F20"/>
        </w:rPr>
        <w:t>(£’000)</w:t>
      </w:r>
      <w:r w:rsidR="009606BF">
        <w:rPr>
          <w:color w:val="231F20"/>
        </w:rPr>
        <w:t xml:space="preserve">                                                                                                       1,049,835</w:t>
      </w:r>
    </w:p>
    <w:p w:rsidR="00DF6DF8" w:rsidRDefault="00DF6DF8">
      <w:pPr>
        <w:sectPr w:rsidR="00DF6DF8" w:rsidSect="00F21DE0">
          <w:headerReference w:type="default" r:id="rId7"/>
          <w:footerReference w:type="default" r:id="rId8"/>
          <w:pgSz w:w="11910" w:h="16840"/>
          <w:pgMar w:top="907" w:right="1134" w:bottom="907" w:left="1134" w:header="0" w:footer="828" w:gutter="0"/>
          <w:pgNumType w:start="2"/>
          <w:cols w:space="720"/>
        </w:sectPr>
      </w:pPr>
    </w:p>
    <w:p w:rsidR="00DF6DF8" w:rsidRDefault="00904FCF">
      <w:pPr>
        <w:pStyle w:val="Heading3"/>
        <w:spacing w:before="94"/>
      </w:pPr>
      <w:r>
        <w:rPr>
          <w:color w:val="231F20"/>
        </w:rPr>
        <w:t>Historical financial information</w:t>
      </w:r>
    </w:p>
    <w:p w:rsidR="00DF6DF8" w:rsidRDefault="00F0282B">
      <w:pPr>
        <w:pStyle w:val="BodyText"/>
        <w:spacing w:before="66" w:line="249" w:lineRule="auto"/>
        <w:ind w:left="157" w:right="175"/>
        <w:jc w:val="both"/>
      </w:pPr>
      <w:r>
        <w:rPr>
          <w:color w:val="231F20"/>
        </w:rPr>
        <w:t>A</w:t>
      </w:r>
      <w:r w:rsidR="00A07015">
        <w:rPr>
          <w:color w:val="231F20"/>
        </w:rPr>
        <w:t>udited h</w:t>
      </w:r>
      <w:r w:rsidR="00904FCF">
        <w:rPr>
          <w:color w:val="231F20"/>
        </w:rPr>
        <w:t xml:space="preserve">istorical financial information relating to the Company on the matters referred to below is included in the </w:t>
      </w:r>
      <w:r w:rsidR="0012335A">
        <w:rPr>
          <w:color w:val="231F20"/>
        </w:rPr>
        <w:t>Annual Report and Accounts</w:t>
      </w:r>
      <w:r w:rsidR="00904FCF">
        <w:rPr>
          <w:color w:val="231F20"/>
        </w:rPr>
        <w:t xml:space="preserve"> as set out in the table below and is expressly incorporated by reference into</w:t>
      </w:r>
      <w:r w:rsidR="00904FCF">
        <w:rPr>
          <w:color w:val="231F20"/>
          <w:spacing w:val="-8"/>
        </w:rPr>
        <w:t xml:space="preserve"> </w:t>
      </w:r>
      <w:r w:rsidR="00904FCF">
        <w:rPr>
          <w:color w:val="231F20"/>
        </w:rPr>
        <w:t>this</w:t>
      </w:r>
      <w:r w:rsidR="00904FCF">
        <w:rPr>
          <w:color w:val="231F20"/>
          <w:spacing w:val="-8"/>
        </w:rPr>
        <w:t xml:space="preserve"> </w:t>
      </w:r>
      <w:r w:rsidR="00904FCF">
        <w:rPr>
          <w:color w:val="231F20"/>
        </w:rPr>
        <w:t>document.</w:t>
      </w:r>
      <w:r w:rsidR="00904FCF">
        <w:rPr>
          <w:color w:val="231F20"/>
          <w:spacing w:val="-8"/>
        </w:rPr>
        <w:t xml:space="preserve"> </w:t>
      </w:r>
      <w:r w:rsidR="00904FCF">
        <w:rPr>
          <w:color w:val="231F20"/>
        </w:rPr>
        <w:t>The</w:t>
      </w:r>
      <w:r w:rsidR="00904FCF">
        <w:rPr>
          <w:color w:val="231F20"/>
          <w:spacing w:val="-8"/>
        </w:rPr>
        <w:t xml:space="preserve"> </w:t>
      </w:r>
      <w:r w:rsidR="00904FCF">
        <w:rPr>
          <w:color w:val="231F20"/>
        </w:rPr>
        <w:t>non-incorporated</w:t>
      </w:r>
      <w:r w:rsidR="00904FCF">
        <w:rPr>
          <w:color w:val="231F20"/>
          <w:spacing w:val="-7"/>
        </w:rPr>
        <w:t xml:space="preserve"> </w:t>
      </w:r>
      <w:r w:rsidR="00904FCF">
        <w:rPr>
          <w:color w:val="231F20"/>
        </w:rPr>
        <w:t>parts</w:t>
      </w:r>
      <w:r w:rsidR="00904FCF">
        <w:rPr>
          <w:color w:val="231F20"/>
          <w:spacing w:val="-8"/>
        </w:rPr>
        <w:t xml:space="preserve"> </w:t>
      </w:r>
      <w:r w:rsidR="00904FCF">
        <w:rPr>
          <w:color w:val="231F20"/>
        </w:rPr>
        <w:t>of</w:t>
      </w:r>
      <w:r w:rsidR="00904FCF">
        <w:rPr>
          <w:color w:val="231F20"/>
          <w:spacing w:val="-8"/>
        </w:rPr>
        <w:t xml:space="preserve"> </w:t>
      </w:r>
      <w:r w:rsidR="00904FCF">
        <w:rPr>
          <w:color w:val="231F20"/>
        </w:rPr>
        <w:t>the</w:t>
      </w:r>
      <w:r w:rsidR="00904FCF">
        <w:rPr>
          <w:color w:val="231F20"/>
          <w:spacing w:val="-8"/>
        </w:rPr>
        <w:t xml:space="preserve"> </w:t>
      </w:r>
      <w:r w:rsidR="00EE2C4E">
        <w:rPr>
          <w:color w:val="231F20"/>
        </w:rPr>
        <w:t>Annual</w:t>
      </w:r>
      <w:r w:rsidR="00904FCF">
        <w:rPr>
          <w:color w:val="231F20"/>
          <w:spacing w:val="-8"/>
        </w:rPr>
        <w:t xml:space="preserve"> </w:t>
      </w:r>
      <w:r w:rsidR="00904FCF">
        <w:rPr>
          <w:color w:val="231F20"/>
        </w:rPr>
        <w:t>Report</w:t>
      </w:r>
      <w:r w:rsidR="00904FCF">
        <w:rPr>
          <w:color w:val="231F20"/>
          <w:spacing w:val="-8"/>
        </w:rPr>
        <w:t xml:space="preserve"> </w:t>
      </w:r>
      <w:r w:rsidR="00904FCF">
        <w:rPr>
          <w:color w:val="231F20"/>
        </w:rPr>
        <w:t>are</w:t>
      </w:r>
      <w:r w:rsidR="00904FCF">
        <w:rPr>
          <w:color w:val="231F20"/>
          <w:spacing w:val="-8"/>
        </w:rPr>
        <w:t xml:space="preserve"> </w:t>
      </w:r>
      <w:r w:rsidR="00904FCF">
        <w:rPr>
          <w:color w:val="231F20"/>
        </w:rPr>
        <w:t>either</w:t>
      </w:r>
      <w:r w:rsidR="00904FCF">
        <w:rPr>
          <w:color w:val="231F20"/>
          <w:spacing w:val="-8"/>
        </w:rPr>
        <w:t xml:space="preserve"> </w:t>
      </w:r>
      <w:r w:rsidR="00904FCF">
        <w:rPr>
          <w:color w:val="231F20"/>
        </w:rPr>
        <w:t>not</w:t>
      </w:r>
      <w:r w:rsidR="00904FCF">
        <w:rPr>
          <w:color w:val="231F20"/>
          <w:spacing w:val="-8"/>
        </w:rPr>
        <w:t xml:space="preserve"> </w:t>
      </w:r>
      <w:r w:rsidR="00904FCF">
        <w:rPr>
          <w:color w:val="231F20"/>
        </w:rPr>
        <w:t>relevant to investors or covered elsewhere in the</w:t>
      </w:r>
      <w:r w:rsidR="00904FCF">
        <w:rPr>
          <w:color w:val="231F20"/>
          <w:spacing w:val="18"/>
        </w:rPr>
        <w:t xml:space="preserve"> </w:t>
      </w:r>
      <w:r w:rsidR="00904FCF">
        <w:rPr>
          <w:color w:val="231F20"/>
        </w:rPr>
        <w:t>Prospectus.</w:t>
      </w:r>
    </w:p>
    <w:p w:rsidR="00DF6DF8" w:rsidRDefault="00DF6DF8">
      <w:pPr>
        <w:spacing w:line="249" w:lineRule="auto"/>
        <w:jc w:val="both"/>
        <w:sectPr w:rsidR="00DF6DF8">
          <w:headerReference w:type="default" r:id="rId9"/>
          <w:footerReference w:type="default" r:id="rId10"/>
          <w:pgSz w:w="11910" w:h="16840"/>
          <w:pgMar w:top="980" w:right="1240" w:bottom="1020" w:left="1260" w:header="0" w:footer="826" w:gutter="0"/>
          <w:pgNumType w:start="3"/>
          <w:cols w:space="720"/>
        </w:sectPr>
      </w:pPr>
    </w:p>
    <w:p w:rsidR="00DF6DF8" w:rsidRDefault="00DF6DF8">
      <w:pPr>
        <w:pStyle w:val="BodyText"/>
        <w:rPr>
          <w:sz w:val="28"/>
        </w:rPr>
      </w:pPr>
    </w:p>
    <w:p w:rsidR="00DF6DF8" w:rsidRDefault="00DF6DF8">
      <w:pPr>
        <w:pStyle w:val="BodyText"/>
        <w:rPr>
          <w:sz w:val="28"/>
        </w:rPr>
      </w:pPr>
    </w:p>
    <w:p w:rsidR="00DF6DF8" w:rsidRDefault="00DF6DF8">
      <w:pPr>
        <w:pStyle w:val="BodyText"/>
        <w:spacing w:before="3"/>
        <w:rPr>
          <w:sz w:val="40"/>
        </w:rPr>
      </w:pPr>
    </w:p>
    <w:p w:rsidR="00DF6DF8" w:rsidRDefault="00904FCF">
      <w:pPr>
        <w:pStyle w:val="Heading3"/>
        <w:spacing w:line="220" w:lineRule="exact"/>
        <w:jc w:val="left"/>
      </w:pPr>
      <w:r>
        <w:rPr>
          <w:color w:val="231F20"/>
        </w:rPr>
        <w:t>Nature of Information</w:t>
      </w:r>
    </w:p>
    <w:p w:rsidR="00DF6DF8" w:rsidRDefault="00904FCF" w:rsidP="0012335A">
      <w:pPr>
        <w:spacing w:before="169" w:line="254" w:lineRule="auto"/>
        <w:ind w:left="297" w:right="172" w:hanging="140"/>
        <w:jc w:val="right"/>
        <w:rPr>
          <w:i/>
          <w:sz w:val="18"/>
        </w:rPr>
      </w:pPr>
      <w:r>
        <w:br w:type="column"/>
      </w:r>
      <w:r w:rsidR="00570076">
        <w:rPr>
          <w:i/>
          <w:color w:val="231F20"/>
          <w:sz w:val="18"/>
        </w:rPr>
        <w:t>Annual Report and Accounts for the period ended 31 March 2022</w:t>
      </w:r>
      <w:r w:rsidR="0012335A">
        <w:rPr>
          <w:i/>
          <w:color w:val="231F20"/>
          <w:sz w:val="18"/>
        </w:rPr>
        <w:t xml:space="preserve"> </w:t>
      </w:r>
    </w:p>
    <w:p w:rsidR="00DF6DF8" w:rsidRDefault="00904FCF">
      <w:pPr>
        <w:spacing w:before="12"/>
        <w:ind w:left="1532"/>
        <w:rPr>
          <w:i/>
          <w:sz w:val="18"/>
        </w:rPr>
      </w:pPr>
      <w:r>
        <w:rPr>
          <w:i/>
          <w:color w:val="231F20"/>
          <w:sz w:val="18"/>
        </w:rPr>
        <w:t>Page No.</w:t>
      </w:r>
    </w:p>
    <w:p w:rsidR="00DF6DF8" w:rsidRDefault="00DF6DF8">
      <w:pPr>
        <w:rPr>
          <w:sz w:val="18"/>
        </w:rPr>
        <w:sectPr w:rsidR="00DF6DF8">
          <w:type w:val="continuous"/>
          <w:pgSz w:w="11910" w:h="16840"/>
          <w:pgMar w:top="0" w:right="1240" w:bottom="280" w:left="1260" w:header="720" w:footer="720" w:gutter="0"/>
          <w:cols w:num="2" w:space="720" w:equalWidth="0">
            <w:col w:w="2202" w:space="4738"/>
            <w:col w:w="2470"/>
          </w:cols>
        </w:sectPr>
      </w:pPr>
    </w:p>
    <w:p w:rsidR="00DF6DF8" w:rsidRDefault="00904FCF">
      <w:pPr>
        <w:pStyle w:val="BodyText"/>
        <w:tabs>
          <w:tab w:val="right" w:pos="9228"/>
        </w:tabs>
        <w:spacing w:before="20"/>
        <w:ind w:left="157"/>
      </w:pPr>
      <w:r>
        <w:rPr>
          <w:color w:val="231F20"/>
        </w:rPr>
        <w:t>Financial</w:t>
      </w:r>
      <w:r>
        <w:rPr>
          <w:color w:val="231F20"/>
          <w:spacing w:val="4"/>
        </w:rPr>
        <w:t xml:space="preserve"> </w:t>
      </w:r>
      <w:r>
        <w:rPr>
          <w:color w:val="231F20"/>
        </w:rPr>
        <w:t>Summary</w:t>
      </w:r>
      <w:r>
        <w:rPr>
          <w:rFonts w:ascii="Times New Roman"/>
          <w:color w:val="231F20"/>
        </w:rPr>
        <w:tab/>
      </w:r>
      <w:r>
        <w:rPr>
          <w:color w:val="231F20"/>
        </w:rPr>
        <w:t>2</w:t>
      </w:r>
    </w:p>
    <w:p w:rsidR="00DF6DF8" w:rsidRDefault="00904FCF">
      <w:pPr>
        <w:pStyle w:val="BodyText"/>
        <w:tabs>
          <w:tab w:val="right" w:pos="9289"/>
        </w:tabs>
        <w:spacing w:before="10"/>
        <w:ind w:left="157"/>
      </w:pPr>
      <w:r>
        <w:rPr>
          <w:color w:val="231F20"/>
        </w:rPr>
        <w:t>Chairman’s</w:t>
      </w:r>
      <w:r>
        <w:rPr>
          <w:color w:val="231F20"/>
          <w:spacing w:val="4"/>
        </w:rPr>
        <w:t xml:space="preserve"> </w:t>
      </w:r>
      <w:r>
        <w:rPr>
          <w:color w:val="231F20"/>
        </w:rPr>
        <w:t>Statement</w:t>
      </w:r>
      <w:r>
        <w:rPr>
          <w:rFonts w:ascii="Times New Roman" w:hAnsi="Times New Roman"/>
          <w:color w:val="231F20"/>
        </w:rPr>
        <w:tab/>
      </w:r>
      <w:r w:rsidR="0012335A">
        <w:rPr>
          <w:color w:val="231F20"/>
          <w:spacing w:val="5"/>
        </w:rPr>
        <w:t>4-6</w:t>
      </w:r>
      <w:r>
        <w:rPr>
          <w:color w:val="231F20"/>
          <w:spacing w:val="5"/>
        </w:rPr>
        <w:t xml:space="preserve"> </w:t>
      </w:r>
    </w:p>
    <w:p w:rsidR="00DF6DF8" w:rsidRDefault="00904FCF">
      <w:pPr>
        <w:pStyle w:val="BodyText"/>
        <w:tabs>
          <w:tab w:val="right" w:pos="9228"/>
        </w:tabs>
        <w:spacing w:before="10"/>
        <w:ind w:left="157"/>
      </w:pPr>
      <w:r>
        <w:rPr>
          <w:color w:val="231F20"/>
        </w:rPr>
        <w:t>Investment</w:t>
      </w:r>
      <w:r>
        <w:rPr>
          <w:color w:val="231F20"/>
          <w:spacing w:val="4"/>
        </w:rPr>
        <w:t xml:space="preserve"> </w:t>
      </w:r>
      <w:r>
        <w:rPr>
          <w:color w:val="231F20"/>
        </w:rPr>
        <w:t>Manager</w:t>
      </w:r>
      <w:r>
        <w:rPr>
          <w:color w:val="231F20"/>
          <w:spacing w:val="4"/>
        </w:rPr>
        <w:t xml:space="preserve"> </w:t>
      </w:r>
      <w:r>
        <w:rPr>
          <w:color w:val="231F20"/>
        </w:rPr>
        <w:t>Report</w:t>
      </w:r>
      <w:r>
        <w:rPr>
          <w:rFonts w:ascii="Times New Roman" w:hAnsi="Times New Roman"/>
          <w:color w:val="231F20"/>
        </w:rPr>
        <w:tab/>
      </w:r>
      <w:r w:rsidR="0012335A">
        <w:rPr>
          <w:color w:val="231F20"/>
        </w:rPr>
        <w:t>7-8</w:t>
      </w:r>
    </w:p>
    <w:p w:rsidR="004B47B2" w:rsidRPr="004B47B2" w:rsidRDefault="00EE2C4E">
      <w:pPr>
        <w:pStyle w:val="BodyText"/>
        <w:tabs>
          <w:tab w:val="right" w:pos="9228"/>
        </w:tabs>
        <w:spacing w:before="10"/>
        <w:ind w:left="157"/>
      </w:pPr>
      <w:r>
        <w:rPr>
          <w:color w:val="231F20"/>
        </w:rPr>
        <w:t>Portfolio Analysis</w:t>
      </w:r>
      <w:r w:rsidR="00904FCF">
        <w:rPr>
          <w:rFonts w:ascii="Times New Roman"/>
          <w:color w:val="231F20"/>
        </w:rPr>
        <w:tab/>
      </w:r>
      <w:r w:rsidR="00904FCF">
        <w:rPr>
          <w:color w:val="231F20"/>
        </w:rPr>
        <w:t>9</w:t>
      </w:r>
    </w:p>
    <w:p w:rsidR="00DF6DF8" w:rsidRDefault="00904FCF">
      <w:pPr>
        <w:pStyle w:val="BodyText"/>
        <w:tabs>
          <w:tab w:val="right" w:pos="9228"/>
        </w:tabs>
        <w:spacing w:before="10"/>
        <w:ind w:left="157"/>
        <w:rPr>
          <w:color w:val="231F20"/>
        </w:rPr>
      </w:pPr>
      <w:r>
        <w:rPr>
          <w:color w:val="231F20"/>
        </w:rPr>
        <w:t>Investments of</w:t>
      </w:r>
      <w:r>
        <w:rPr>
          <w:color w:val="231F20"/>
          <w:spacing w:val="9"/>
        </w:rPr>
        <w:t xml:space="preserve"> </w:t>
      </w:r>
      <w:r>
        <w:rPr>
          <w:color w:val="231F20"/>
        </w:rPr>
        <w:t>the</w:t>
      </w:r>
      <w:r>
        <w:rPr>
          <w:color w:val="231F20"/>
          <w:spacing w:val="4"/>
        </w:rPr>
        <w:t xml:space="preserve"> </w:t>
      </w:r>
      <w:r>
        <w:rPr>
          <w:color w:val="231F20"/>
        </w:rPr>
        <w:t>Company</w:t>
      </w:r>
      <w:r>
        <w:rPr>
          <w:rFonts w:ascii="Times New Roman" w:hAnsi="Times New Roman"/>
          <w:color w:val="231F20"/>
        </w:rPr>
        <w:tab/>
      </w:r>
      <w:r w:rsidR="00EE2C4E">
        <w:rPr>
          <w:rFonts w:ascii="Times New Roman" w:hAnsi="Times New Roman"/>
          <w:color w:val="231F20"/>
        </w:rPr>
        <w:t>9</w:t>
      </w:r>
      <w:r w:rsidR="002570B0">
        <w:rPr>
          <w:color w:val="231F20"/>
        </w:rPr>
        <w:t>-1</w:t>
      </w:r>
      <w:r w:rsidR="0012335A">
        <w:rPr>
          <w:color w:val="231F20"/>
        </w:rPr>
        <w:t>2</w:t>
      </w:r>
    </w:p>
    <w:p w:rsidR="0012335A" w:rsidRDefault="0012335A">
      <w:pPr>
        <w:pStyle w:val="BodyText"/>
        <w:tabs>
          <w:tab w:val="right" w:pos="9228"/>
        </w:tabs>
        <w:spacing w:before="10"/>
        <w:ind w:left="157"/>
      </w:pPr>
      <w:r>
        <w:rPr>
          <w:color w:val="231F20"/>
        </w:rPr>
        <w:t>Statement of</w:t>
      </w:r>
      <w:r>
        <w:rPr>
          <w:color w:val="231F20"/>
          <w:spacing w:val="9"/>
        </w:rPr>
        <w:t xml:space="preserve"> </w:t>
      </w:r>
      <w:r>
        <w:rPr>
          <w:color w:val="231F20"/>
        </w:rPr>
        <w:t>Directors’</w:t>
      </w:r>
      <w:r>
        <w:rPr>
          <w:color w:val="231F20"/>
          <w:spacing w:val="4"/>
        </w:rPr>
        <w:t xml:space="preserve"> </w:t>
      </w:r>
      <w:r>
        <w:rPr>
          <w:color w:val="231F20"/>
        </w:rPr>
        <w:t>Responsibilities</w:t>
      </w:r>
      <w:r>
        <w:rPr>
          <w:rFonts w:ascii="Times New Roman" w:hAnsi="Times New Roman"/>
          <w:color w:val="231F20"/>
        </w:rPr>
        <w:tab/>
      </w:r>
      <w:r>
        <w:rPr>
          <w:color w:val="231F20"/>
        </w:rPr>
        <w:t>42</w:t>
      </w:r>
    </w:p>
    <w:p w:rsidR="005361B2" w:rsidRDefault="005361B2">
      <w:pPr>
        <w:pStyle w:val="BodyText"/>
        <w:tabs>
          <w:tab w:val="right" w:pos="9228"/>
        </w:tabs>
        <w:spacing w:before="10"/>
        <w:ind w:left="157"/>
        <w:rPr>
          <w:color w:val="231F20"/>
        </w:rPr>
      </w:pPr>
      <w:r>
        <w:rPr>
          <w:color w:val="231F20"/>
        </w:rPr>
        <w:t>Independent Auditors' Report</w:t>
      </w:r>
      <w:r>
        <w:rPr>
          <w:color w:val="231F20"/>
        </w:rPr>
        <w:tab/>
        <w:t>43-47</w:t>
      </w:r>
    </w:p>
    <w:p w:rsidR="00DF6DF8" w:rsidRDefault="00904FCF">
      <w:pPr>
        <w:pStyle w:val="BodyText"/>
        <w:tabs>
          <w:tab w:val="right" w:pos="9228"/>
        </w:tabs>
        <w:spacing w:before="10"/>
        <w:ind w:left="157"/>
      </w:pPr>
      <w:r>
        <w:rPr>
          <w:color w:val="231F20"/>
        </w:rPr>
        <w:t>Income</w:t>
      </w:r>
      <w:r>
        <w:rPr>
          <w:color w:val="231F20"/>
          <w:spacing w:val="4"/>
        </w:rPr>
        <w:t xml:space="preserve"> </w:t>
      </w:r>
      <w:r>
        <w:rPr>
          <w:color w:val="231F20"/>
        </w:rPr>
        <w:t>Statement</w:t>
      </w:r>
      <w:r>
        <w:rPr>
          <w:rFonts w:ascii="Times New Roman" w:hAnsi="Times New Roman"/>
          <w:color w:val="231F20"/>
        </w:rPr>
        <w:tab/>
      </w:r>
      <w:r w:rsidR="0012335A" w:rsidRPr="0012335A">
        <w:rPr>
          <w:color w:val="231F20"/>
        </w:rPr>
        <w:t>48</w:t>
      </w:r>
    </w:p>
    <w:p w:rsidR="00DF6DF8" w:rsidRDefault="00904FCF">
      <w:pPr>
        <w:pStyle w:val="BodyText"/>
        <w:tabs>
          <w:tab w:val="right" w:pos="9228"/>
        </w:tabs>
        <w:spacing w:before="10"/>
        <w:ind w:left="157"/>
      </w:pPr>
      <w:r>
        <w:rPr>
          <w:color w:val="231F20"/>
        </w:rPr>
        <w:t>Statement of Changes</w:t>
      </w:r>
      <w:r>
        <w:rPr>
          <w:color w:val="231F20"/>
          <w:spacing w:val="14"/>
        </w:rPr>
        <w:t xml:space="preserve"> </w:t>
      </w:r>
      <w:r>
        <w:rPr>
          <w:color w:val="231F20"/>
        </w:rPr>
        <w:t>in</w:t>
      </w:r>
      <w:r>
        <w:rPr>
          <w:color w:val="231F20"/>
          <w:spacing w:val="4"/>
        </w:rPr>
        <w:t xml:space="preserve"> </w:t>
      </w:r>
      <w:r>
        <w:rPr>
          <w:color w:val="231F20"/>
        </w:rPr>
        <w:t>Equity</w:t>
      </w:r>
      <w:r>
        <w:rPr>
          <w:rFonts w:ascii="Times New Roman"/>
          <w:color w:val="231F20"/>
        </w:rPr>
        <w:tab/>
      </w:r>
      <w:r w:rsidR="0012335A">
        <w:rPr>
          <w:color w:val="231F20"/>
        </w:rPr>
        <w:t>49</w:t>
      </w:r>
    </w:p>
    <w:p w:rsidR="00DF6DF8" w:rsidRDefault="00904FCF">
      <w:pPr>
        <w:pStyle w:val="BodyText"/>
        <w:tabs>
          <w:tab w:val="right" w:pos="9228"/>
        </w:tabs>
        <w:spacing w:before="10"/>
        <w:ind w:left="157"/>
      </w:pPr>
      <w:r>
        <w:rPr>
          <w:color w:val="231F20"/>
        </w:rPr>
        <w:t>Statement of</w:t>
      </w:r>
      <w:r>
        <w:rPr>
          <w:color w:val="231F20"/>
          <w:spacing w:val="9"/>
        </w:rPr>
        <w:t xml:space="preserve"> </w:t>
      </w:r>
      <w:r>
        <w:rPr>
          <w:color w:val="231F20"/>
        </w:rPr>
        <w:t>Financial</w:t>
      </w:r>
      <w:r>
        <w:rPr>
          <w:color w:val="231F20"/>
          <w:spacing w:val="4"/>
        </w:rPr>
        <w:t xml:space="preserve"> </w:t>
      </w:r>
      <w:r>
        <w:rPr>
          <w:color w:val="231F20"/>
        </w:rPr>
        <w:t>Position</w:t>
      </w:r>
      <w:r>
        <w:rPr>
          <w:rFonts w:ascii="Times New Roman"/>
          <w:color w:val="231F20"/>
        </w:rPr>
        <w:tab/>
      </w:r>
      <w:r w:rsidR="0012335A">
        <w:rPr>
          <w:color w:val="231F20"/>
        </w:rPr>
        <w:t>50</w:t>
      </w:r>
    </w:p>
    <w:p w:rsidR="00DF6DF8" w:rsidRDefault="00904FCF">
      <w:pPr>
        <w:pStyle w:val="BodyText"/>
        <w:tabs>
          <w:tab w:val="right" w:pos="9228"/>
        </w:tabs>
        <w:spacing w:before="10"/>
        <w:ind w:left="157"/>
      </w:pPr>
      <w:r>
        <w:rPr>
          <w:color w:val="231F20"/>
        </w:rPr>
        <w:t>Cash</w:t>
      </w:r>
      <w:r>
        <w:rPr>
          <w:color w:val="231F20"/>
          <w:spacing w:val="4"/>
        </w:rPr>
        <w:t xml:space="preserve"> </w:t>
      </w:r>
      <w:r>
        <w:rPr>
          <w:color w:val="231F20"/>
        </w:rPr>
        <w:t>Flow</w:t>
      </w:r>
      <w:r>
        <w:rPr>
          <w:color w:val="231F20"/>
          <w:spacing w:val="4"/>
        </w:rPr>
        <w:t xml:space="preserve"> </w:t>
      </w:r>
      <w:r>
        <w:rPr>
          <w:color w:val="231F20"/>
        </w:rPr>
        <w:t>Statement</w:t>
      </w:r>
      <w:r>
        <w:rPr>
          <w:rFonts w:ascii="Times New Roman"/>
          <w:color w:val="231F20"/>
        </w:rPr>
        <w:tab/>
      </w:r>
      <w:r w:rsidR="0012335A">
        <w:rPr>
          <w:color w:val="231F20"/>
        </w:rPr>
        <w:t>51</w:t>
      </w:r>
    </w:p>
    <w:p w:rsidR="00DF6DF8" w:rsidRDefault="00904FCF">
      <w:pPr>
        <w:pStyle w:val="BodyText"/>
        <w:tabs>
          <w:tab w:val="right" w:pos="9228"/>
        </w:tabs>
        <w:spacing w:before="10"/>
        <w:ind w:left="157"/>
      </w:pPr>
      <w:r>
        <w:rPr>
          <w:color w:val="231F20"/>
        </w:rPr>
        <w:t>Notes to the</w:t>
      </w:r>
      <w:r>
        <w:rPr>
          <w:color w:val="231F20"/>
          <w:spacing w:val="14"/>
        </w:rPr>
        <w:t xml:space="preserve"> </w:t>
      </w:r>
      <w:r>
        <w:rPr>
          <w:color w:val="231F20"/>
        </w:rPr>
        <w:t>Financial</w:t>
      </w:r>
      <w:r>
        <w:rPr>
          <w:color w:val="231F20"/>
          <w:spacing w:val="4"/>
        </w:rPr>
        <w:t xml:space="preserve"> </w:t>
      </w:r>
      <w:r>
        <w:rPr>
          <w:color w:val="231F20"/>
        </w:rPr>
        <w:t>Statements</w:t>
      </w:r>
      <w:r>
        <w:rPr>
          <w:rFonts w:ascii="Times New Roman" w:hAnsi="Times New Roman"/>
          <w:color w:val="231F20"/>
        </w:rPr>
        <w:tab/>
      </w:r>
      <w:r w:rsidR="0012335A">
        <w:rPr>
          <w:color w:val="231F20"/>
        </w:rPr>
        <w:t>52-65</w:t>
      </w:r>
    </w:p>
    <w:p w:rsidR="00DF6DF8" w:rsidRDefault="00904FCF">
      <w:pPr>
        <w:pStyle w:val="Heading3"/>
        <w:spacing w:before="293"/>
      </w:pPr>
      <w:r>
        <w:rPr>
          <w:color w:val="231F20"/>
        </w:rPr>
        <w:t>Selected financial information</w:t>
      </w:r>
    </w:p>
    <w:p w:rsidR="00DF6DF8" w:rsidRDefault="00904FCF">
      <w:pPr>
        <w:pStyle w:val="BodyText"/>
        <w:spacing w:before="66" w:line="249" w:lineRule="auto"/>
        <w:ind w:left="157" w:right="175"/>
        <w:jc w:val="both"/>
      </w:pPr>
      <w:r>
        <w:rPr>
          <w:color w:val="231F20"/>
        </w:rPr>
        <w:t xml:space="preserve">The information in this paragraph is information regarding the Company which has been prepared by the Company and has been extracted directly from the historical financial information referred to in the paragraph above entitled “Historical financial information”. Selected historical financial information relating to the Company which </w:t>
      </w:r>
      <w:proofErr w:type="spellStart"/>
      <w:r>
        <w:rPr>
          <w:color w:val="231F20"/>
        </w:rPr>
        <w:t>summarises</w:t>
      </w:r>
      <w:proofErr w:type="spellEnd"/>
      <w:r>
        <w:rPr>
          <w:color w:val="231F20"/>
        </w:rPr>
        <w:t xml:space="preserve"> the financial condition of the Company</w:t>
      </w:r>
      <w:r w:rsidR="00CC5A8F">
        <w:rPr>
          <w:color w:val="231F20"/>
        </w:rPr>
        <w:t xml:space="preserve"> as at and</w:t>
      </w:r>
      <w:r>
        <w:rPr>
          <w:color w:val="231F20"/>
        </w:rPr>
        <w:t xml:space="preserve"> for the </w:t>
      </w:r>
      <w:r w:rsidR="00712A93">
        <w:rPr>
          <w:color w:val="231F20"/>
        </w:rPr>
        <w:t>period ended 31 March 2022</w:t>
      </w:r>
      <w:r>
        <w:rPr>
          <w:color w:val="231F20"/>
        </w:rPr>
        <w:t xml:space="preserve"> is set out in the following table:</w:t>
      </w:r>
    </w:p>
    <w:p w:rsidR="00DF6DF8" w:rsidRDefault="00DF6DF8">
      <w:pPr>
        <w:spacing w:line="249" w:lineRule="auto"/>
        <w:jc w:val="both"/>
        <w:sectPr w:rsidR="00DF6DF8">
          <w:type w:val="continuous"/>
          <w:pgSz w:w="11910" w:h="16840"/>
          <w:pgMar w:top="0" w:right="1240" w:bottom="280" w:left="1260" w:header="720" w:footer="720" w:gutter="0"/>
          <w:cols w:space="720"/>
        </w:sectPr>
      </w:pPr>
    </w:p>
    <w:p w:rsidR="009D32B5" w:rsidRDefault="009D32B5" w:rsidP="009D32B5">
      <w:pPr>
        <w:spacing w:before="170" w:line="254" w:lineRule="auto"/>
        <w:ind w:left="7977" w:right="155" w:hanging="201"/>
        <w:jc w:val="right"/>
        <w:rPr>
          <w:i/>
          <w:sz w:val="18"/>
        </w:rPr>
      </w:pPr>
      <w:r>
        <w:rPr>
          <w:i/>
          <w:color w:val="231F20"/>
          <w:sz w:val="18"/>
        </w:rPr>
        <w:t>6 April 2021 to 31 March 2022</w:t>
      </w:r>
    </w:p>
    <w:p w:rsidR="009D32B5" w:rsidRDefault="0092714C" w:rsidP="009D32B5">
      <w:pPr>
        <w:pStyle w:val="Heading3"/>
        <w:spacing w:before="59"/>
        <w:jc w:val="left"/>
      </w:pPr>
      <w:r>
        <w:rPr>
          <w:noProof/>
        </w:rPr>
        <mc:AlternateContent>
          <mc:Choice Requires="wps">
            <w:drawing>
              <wp:anchor distT="0" distB="0" distL="114300" distR="114300" simplePos="0" relativeHeight="503311264" behindDoc="0" locked="0" layoutInCell="1" allowOverlap="1" wp14:anchorId="67ECB950" wp14:editId="1D20F82A">
                <wp:simplePos x="0" y="0"/>
                <wp:positionH relativeFrom="page">
                  <wp:posOffset>868045</wp:posOffset>
                </wp:positionH>
                <wp:positionV relativeFrom="paragraph">
                  <wp:posOffset>177165</wp:posOffset>
                </wp:positionV>
                <wp:extent cx="5823585" cy="2009140"/>
                <wp:effectExtent l="1270" t="0" r="4445" b="63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200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50"/>
                              <w:gridCol w:w="2020"/>
                            </w:tblGrid>
                            <w:tr w:rsidR="009D32B5">
                              <w:trPr>
                                <w:trHeight w:hRule="exact" w:val="256"/>
                              </w:trPr>
                              <w:tc>
                                <w:tcPr>
                                  <w:tcW w:w="7150" w:type="dxa"/>
                                </w:tcPr>
                                <w:p w:rsidR="009D32B5" w:rsidRDefault="009D32B5">
                                  <w:pPr>
                                    <w:pStyle w:val="TableParagraph"/>
                                    <w:spacing w:before="20"/>
                                    <w:rPr>
                                      <w:sz w:val="20"/>
                                    </w:rPr>
                                  </w:pPr>
                                  <w:r>
                                    <w:rPr>
                                      <w:color w:val="231F20"/>
                                      <w:sz w:val="20"/>
                                    </w:rPr>
                                    <w:t>Number of Ordinary Shares in issue</w:t>
                                  </w:r>
                                </w:p>
                              </w:tc>
                              <w:tc>
                                <w:tcPr>
                                  <w:tcW w:w="2020" w:type="dxa"/>
                                </w:tcPr>
                                <w:p w:rsidR="009D32B5" w:rsidRDefault="009D32B5">
                                  <w:pPr>
                                    <w:pStyle w:val="TableParagraph"/>
                                    <w:spacing w:before="20"/>
                                    <w:ind w:left="0" w:right="48"/>
                                    <w:jc w:val="right"/>
                                    <w:rPr>
                                      <w:sz w:val="20"/>
                                    </w:rPr>
                                  </w:pPr>
                                  <w:r>
                                    <w:rPr>
                                      <w:sz w:val="20"/>
                                    </w:rPr>
                                    <w:t>20,891,975</w:t>
                                  </w:r>
                                </w:p>
                              </w:tc>
                            </w:tr>
                            <w:tr w:rsidR="009D32B5">
                              <w:trPr>
                                <w:trHeight w:hRule="exact" w:val="240"/>
                              </w:trPr>
                              <w:tc>
                                <w:tcPr>
                                  <w:tcW w:w="7150" w:type="dxa"/>
                                </w:tcPr>
                                <w:p w:rsidR="009D32B5" w:rsidRDefault="009D32B5">
                                  <w:pPr>
                                    <w:pStyle w:val="TableParagraph"/>
                                    <w:rPr>
                                      <w:sz w:val="20"/>
                                    </w:rPr>
                                  </w:pPr>
                                  <w:r>
                                    <w:rPr>
                                      <w:color w:val="231F20"/>
                                      <w:sz w:val="20"/>
                                    </w:rPr>
                                    <w:t>Net assets (£’000)</w:t>
                                  </w:r>
                                </w:p>
                              </w:tc>
                              <w:tc>
                                <w:tcPr>
                                  <w:tcW w:w="2020" w:type="dxa"/>
                                </w:tcPr>
                                <w:p w:rsidR="009D32B5" w:rsidRDefault="009D32B5">
                                  <w:pPr>
                                    <w:pStyle w:val="TableParagraph"/>
                                    <w:ind w:left="0" w:right="48"/>
                                    <w:jc w:val="right"/>
                                    <w:rPr>
                                      <w:sz w:val="20"/>
                                    </w:rPr>
                                  </w:pPr>
                                  <w:r>
                                    <w:rPr>
                                      <w:sz w:val="20"/>
                                    </w:rPr>
                                    <w:t>1,049,835</w:t>
                                  </w:r>
                                </w:p>
                              </w:tc>
                            </w:tr>
                            <w:tr w:rsidR="009D32B5">
                              <w:trPr>
                                <w:trHeight w:hRule="exact" w:val="238"/>
                              </w:trPr>
                              <w:tc>
                                <w:tcPr>
                                  <w:tcW w:w="7150" w:type="dxa"/>
                                </w:tcPr>
                                <w:p w:rsidR="009D32B5" w:rsidRDefault="009D32B5">
                                  <w:pPr>
                                    <w:pStyle w:val="TableParagraph"/>
                                    <w:rPr>
                                      <w:sz w:val="20"/>
                                    </w:rPr>
                                  </w:pPr>
                                  <w:r>
                                    <w:rPr>
                                      <w:color w:val="231F20"/>
                                      <w:sz w:val="20"/>
                                    </w:rPr>
                                    <w:t>Net asset value per Ordinary Share (p)</w:t>
                                  </w:r>
                                </w:p>
                              </w:tc>
                              <w:tc>
                                <w:tcPr>
                                  <w:tcW w:w="2020" w:type="dxa"/>
                                </w:tcPr>
                                <w:p w:rsidR="009D32B5" w:rsidRDefault="009D32B5">
                                  <w:pPr>
                                    <w:pStyle w:val="TableParagraph"/>
                                    <w:ind w:left="0" w:right="48"/>
                                    <w:jc w:val="right"/>
                                    <w:rPr>
                                      <w:sz w:val="20"/>
                                    </w:rPr>
                                  </w:pPr>
                                  <w:r>
                                    <w:rPr>
                                      <w:sz w:val="20"/>
                                    </w:rPr>
                                    <w:t>5,025.1</w:t>
                                  </w:r>
                                </w:p>
                              </w:tc>
                            </w:tr>
                            <w:tr w:rsidR="009D32B5">
                              <w:trPr>
                                <w:trHeight w:hRule="exact" w:val="268"/>
                              </w:trPr>
                              <w:tc>
                                <w:tcPr>
                                  <w:tcW w:w="7150" w:type="dxa"/>
                                </w:tcPr>
                                <w:p w:rsidR="009D32B5" w:rsidRDefault="009D32B5">
                                  <w:pPr>
                                    <w:pStyle w:val="TableParagraph"/>
                                    <w:spacing w:before="5"/>
                                    <w:rPr>
                                      <w:b/>
                                      <w:sz w:val="20"/>
                                    </w:rPr>
                                  </w:pPr>
                                  <w:r>
                                    <w:rPr>
                                      <w:b/>
                                      <w:color w:val="231F20"/>
                                      <w:sz w:val="20"/>
                                    </w:rPr>
                                    <w:t>Ordinary Share price (p)</w:t>
                                  </w:r>
                                </w:p>
                              </w:tc>
                              <w:tc>
                                <w:tcPr>
                                  <w:tcW w:w="2020" w:type="dxa"/>
                                </w:tcPr>
                                <w:p w:rsidR="009D32B5" w:rsidRDefault="009D32B5">
                                  <w:pPr>
                                    <w:pStyle w:val="TableParagraph"/>
                                    <w:spacing w:before="5"/>
                                    <w:ind w:left="0" w:right="48"/>
                                    <w:jc w:val="right"/>
                                    <w:rPr>
                                      <w:b/>
                                      <w:sz w:val="20"/>
                                    </w:rPr>
                                  </w:pPr>
                                  <w:r>
                                    <w:rPr>
                                      <w:b/>
                                      <w:sz w:val="20"/>
                                    </w:rPr>
                                    <w:t>5,140.0</w:t>
                                  </w:r>
                                </w:p>
                              </w:tc>
                            </w:tr>
                            <w:tr w:rsidR="009D32B5">
                              <w:trPr>
                                <w:trHeight w:hRule="exact" w:val="218"/>
                              </w:trPr>
                              <w:tc>
                                <w:tcPr>
                                  <w:tcW w:w="7150" w:type="dxa"/>
                                </w:tcPr>
                                <w:p w:rsidR="009D32B5" w:rsidRDefault="009D32B5">
                                  <w:pPr>
                                    <w:pStyle w:val="TableParagraph"/>
                                    <w:spacing w:before="0" w:line="207" w:lineRule="exact"/>
                                    <w:rPr>
                                      <w:b/>
                                      <w:sz w:val="20"/>
                                    </w:rPr>
                                  </w:pPr>
                                  <w:r>
                                    <w:rPr>
                                      <w:b/>
                                      <w:color w:val="231F20"/>
                                      <w:sz w:val="20"/>
                                    </w:rPr>
                                    <w:t>Income</w:t>
                                  </w:r>
                                </w:p>
                              </w:tc>
                              <w:tc>
                                <w:tcPr>
                                  <w:tcW w:w="2020" w:type="dxa"/>
                                </w:tcPr>
                                <w:p w:rsidR="009D32B5" w:rsidRDefault="009D32B5"/>
                              </w:tc>
                            </w:tr>
                            <w:tr w:rsidR="009D32B5">
                              <w:trPr>
                                <w:trHeight w:hRule="exact" w:val="235"/>
                              </w:trPr>
                              <w:tc>
                                <w:tcPr>
                                  <w:tcW w:w="7150" w:type="dxa"/>
                                </w:tcPr>
                                <w:p w:rsidR="009D32B5" w:rsidRDefault="009D32B5">
                                  <w:pPr>
                                    <w:pStyle w:val="TableParagraph"/>
                                    <w:spacing w:before="0" w:line="229" w:lineRule="exact"/>
                                    <w:rPr>
                                      <w:sz w:val="20"/>
                                    </w:rPr>
                                  </w:pPr>
                                  <w:r>
                                    <w:rPr>
                                      <w:color w:val="231F20"/>
                                      <w:sz w:val="20"/>
                                    </w:rPr>
                                    <w:t>Total investment income before operating expenses (£’000)</w:t>
                                  </w:r>
                                </w:p>
                              </w:tc>
                              <w:tc>
                                <w:tcPr>
                                  <w:tcW w:w="2020" w:type="dxa"/>
                                </w:tcPr>
                                <w:p w:rsidR="009D32B5" w:rsidRDefault="009D32B5">
                                  <w:pPr>
                                    <w:pStyle w:val="TableParagraph"/>
                                    <w:spacing w:before="0" w:line="229" w:lineRule="exact"/>
                                    <w:ind w:left="0" w:right="48"/>
                                    <w:jc w:val="right"/>
                                    <w:rPr>
                                      <w:sz w:val="20"/>
                                    </w:rPr>
                                  </w:pPr>
                                  <w:r>
                                    <w:rPr>
                                      <w:sz w:val="20"/>
                                    </w:rPr>
                                    <w:t>14,677</w:t>
                                  </w:r>
                                </w:p>
                              </w:tc>
                            </w:tr>
                            <w:tr w:rsidR="009D32B5">
                              <w:trPr>
                                <w:trHeight w:hRule="exact" w:val="240"/>
                              </w:trPr>
                              <w:tc>
                                <w:tcPr>
                                  <w:tcW w:w="7150" w:type="dxa"/>
                                </w:tcPr>
                                <w:p w:rsidR="009D32B5" w:rsidRDefault="009D32B5">
                                  <w:pPr>
                                    <w:pStyle w:val="TableParagraph"/>
                                    <w:rPr>
                                      <w:sz w:val="20"/>
                                    </w:rPr>
                                  </w:pPr>
                                  <w:r>
                                    <w:rPr>
                                      <w:color w:val="231F20"/>
                                      <w:sz w:val="20"/>
                                    </w:rPr>
                                    <w:t>Net return attributable to equity shareholders (£’000)</w:t>
                                  </w:r>
                                </w:p>
                              </w:tc>
                              <w:tc>
                                <w:tcPr>
                                  <w:tcW w:w="2020" w:type="dxa"/>
                                </w:tcPr>
                                <w:p w:rsidR="009D32B5" w:rsidRDefault="009D32B5">
                                  <w:pPr>
                                    <w:pStyle w:val="TableParagraph"/>
                                    <w:ind w:left="0" w:right="48"/>
                                    <w:jc w:val="right"/>
                                    <w:rPr>
                                      <w:sz w:val="20"/>
                                    </w:rPr>
                                  </w:pPr>
                                  <w:r>
                                    <w:rPr>
                                      <w:sz w:val="20"/>
                                    </w:rPr>
                                    <w:t>9,813</w:t>
                                  </w:r>
                                </w:p>
                              </w:tc>
                            </w:tr>
                            <w:tr w:rsidR="009D32B5">
                              <w:trPr>
                                <w:trHeight w:hRule="exact" w:val="240"/>
                              </w:trPr>
                              <w:tc>
                                <w:tcPr>
                                  <w:tcW w:w="7150" w:type="dxa"/>
                                </w:tcPr>
                                <w:p w:rsidR="009D32B5" w:rsidRDefault="009D32B5">
                                  <w:pPr>
                                    <w:pStyle w:val="TableParagraph"/>
                                    <w:rPr>
                                      <w:sz w:val="20"/>
                                    </w:rPr>
                                  </w:pPr>
                                  <w:r>
                                    <w:rPr>
                                      <w:color w:val="231F20"/>
                                      <w:sz w:val="20"/>
                                    </w:rPr>
                                    <w:t>Performance fee (accrued/paid) (£’000)</w:t>
                                  </w:r>
                                </w:p>
                              </w:tc>
                              <w:tc>
                                <w:tcPr>
                                  <w:tcW w:w="2020" w:type="dxa"/>
                                </w:tcPr>
                                <w:p w:rsidR="009D32B5" w:rsidRDefault="009D32B5">
                                  <w:pPr>
                                    <w:pStyle w:val="TableParagraph"/>
                                    <w:ind w:left="0" w:right="48"/>
                                    <w:jc w:val="right"/>
                                    <w:rPr>
                                      <w:sz w:val="20"/>
                                    </w:rPr>
                                  </w:pPr>
                                  <w:r>
                                    <w:rPr>
                                      <w:color w:val="231F20"/>
                                      <w:sz w:val="20"/>
                                    </w:rPr>
                                    <w:t>n/a</w:t>
                                  </w:r>
                                </w:p>
                              </w:tc>
                            </w:tr>
                            <w:tr w:rsidR="009D32B5">
                              <w:trPr>
                                <w:trHeight w:hRule="exact" w:val="240"/>
                              </w:trPr>
                              <w:tc>
                                <w:tcPr>
                                  <w:tcW w:w="7150" w:type="dxa"/>
                                </w:tcPr>
                                <w:p w:rsidR="009D32B5" w:rsidRDefault="009D32B5">
                                  <w:pPr>
                                    <w:pStyle w:val="TableParagraph"/>
                                    <w:rPr>
                                      <w:sz w:val="20"/>
                                    </w:rPr>
                                  </w:pPr>
                                  <w:r>
                                    <w:rPr>
                                      <w:color w:val="231F20"/>
                                      <w:sz w:val="20"/>
                                    </w:rPr>
                                    <w:t>Investment Manager’s fee charged to revenue (accrued/paid) (£’000)</w:t>
                                  </w:r>
                                </w:p>
                              </w:tc>
                              <w:tc>
                                <w:tcPr>
                                  <w:tcW w:w="2020" w:type="dxa"/>
                                </w:tcPr>
                                <w:p w:rsidR="009D32B5" w:rsidRDefault="009D32B5">
                                  <w:pPr>
                                    <w:pStyle w:val="TableParagraph"/>
                                    <w:ind w:left="0" w:right="48"/>
                                    <w:jc w:val="right"/>
                                    <w:rPr>
                                      <w:sz w:val="20"/>
                                    </w:rPr>
                                  </w:pPr>
                                  <w:r>
                                    <w:rPr>
                                      <w:sz w:val="20"/>
                                    </w:rPr>
                                    <w:t>3,627</w:t>
                                  </w:r>
                                </w:p>
                              </w:tc>
                            </w:tr>
                            <w:tr w:rsidR="009D32B5">
                              <w:trPr>
                                <w:trHeight w:hRule="exact" w:val="240"/>
                              </w:trPr>
                              <w:tc>
                                <w:tcPr>
                                  <w:tcW w:w="7150" w:type="dxa"/>
                                </w:tcPr>
                                <w:p w:rsidR="009D32B5" w:rsidRDefault="009D32B5">
                                  <w:pPr>
                                    <w:pStyle w:val="TableParagraph"/>
                                    <w:rPr>
                                      <w:sz w:val="20"/>
                                    </w:rPr>
                                  </w:pPr>
                                  <w:r>
                                    <w:rPr>
                                      <w:color w:val="231F20"/>
                                      <w:sz w:val="20"/>
                                    </w:rPr>
                                    <w:t>Any other material fees (accrued/paid) to service providers (£’000)</w:t>
                                  </w:r>
                                </w:p>
                              </w:tc>
                              <w:tc>
                                <w:tcPr>
                                  <w:tcW w:w="2020" w:type="dxa"/>
                                </w:tcPr>
                                <w:p w:rsidR="009D32B5" w:rsidRDefault="009D32B5">
                                  <w:pPr>
                                    <w:pStyle w:val="TableParagraph"/>
                                    <w:ind w:left="0" w:right="48"/>
                                    <w:jc w:val="right"/>
                                    <w:rPr>
                                      <w:sz w:val="20"/>
                                    </w:rPr>
                                  </w:pPr>
                                  <w:r>
                                    <w:rPr>
                                      <w:sz w:val="20"/>
                                    </w:rPr>
                                    <w:t>727</w:t>
                                  </w:r>
                                </w:p>
                              </w:tc>
                            </w:tr>
                            <w:tr w:rsidR="009D32B5">
                              <w:trPr>
                                <w:trHeight w:hRule="exact" w:val="240"/>
                              </w:trPr>
                              <w:tc>
                                <w:tcPr>
                                  <w:tcW w:w="7150" w:type="dxa"/>
                                </w:tcPr>
                                <w:p w:rsidR="009D32B5" w:rsidRDefault="009D32B5">
                                  <w:pPr>
                                    <w:pStyle w:val="TableParagraph"/>
                                    <w:rPr>
                                      <w:sz w:val="20"/>
                                    </w:rPr>
                                  </w:pPr>
                                  <w:r>
                                    <w:rPr>
                                      <w:color w:val="231F20"/>
                                      <w:sz w:val="20"/>
                                    </w:rPr>
                                    <w:t>Revenue return per Ordinary Share (p)</w:t>
                                  </w:r>
                                </w:p>
                              </w:tc>
                              <w:tc>
                                <w:tcPr>
                                  <w:tcW w:w="2020" w:type="dxa"/>
                                </w:tcPr>
                                <w:p w:rsidR="009D32B5" w:rsidRDefault="009D32B5">
                                  <w:pPr>
                                    <w:pStyle w:val="TableParagraph"/>
                                    <w:ind w:left="0" w:right="48"/>
                                    <w:jc w:val="right"/>
                                    <w:rPr>
                                      <w:sz w:val="20"/>
                                    </w:rPr>
                                  </w:pPr>
                                  <w:r>
                                    <w:rPr>
                                      <w:sz w:val="20"/>
                                    </w:rPr>
                                    <w:t>56.81</w:t>
                                  </w:r>
                                </w:p>
                              </w:tc>
                            </w:tr>
                            <w:tr w:rsidR="009D32B5">
                              <w:trPr>
                                <w:trHeight w:hRule="exact" w:val="238"/>
                              </w:trPr>
                              <w:tc>
                                <w:tcPr>
                                  <w:tcW w:w="7150" w:type="dxa"/>
                                </w:tcPr>
                                <w:p w:rsidR="009D32B5" w:rsidRDefault="009D32B5">
                                  <w:pPr>
                                    <w:pStyle w:val="TableParagraph"/>
                                    <w:rPr>
                                      <w:sz w:val="20"/>
                                    </w:rPr>
                                  </w:pPr>
                                  <w:r>
                                    <w:rPr>
                                      <w:color w:val="231F20"/>
                                      <w:sz w:val="20"/>
                                    </w:rPr>
                                    <w:t>Dividend per Ordinary Share (p)</w:t>
                                  </w:r>
                                </w:p>
                              </w:tc>
                              <w:tc>
                                <w:tcPr>
                                  <w:tcW w:w="2020" w:type="dxa"/>
                                </w:tcPr>
                                <w:p w:rsidR="009D32B5" w:rsidRDefault="009D32B5">
                                  <w:pPr>
                                    <w:pStyle w:val="TableParagraph"/>
                                    <w:ind w:left="0" w:right="48"/>
                                    <w:jc w:val="right"/>
                                    <w:rPr>
                                      <w:sz w:val="20"/>
                                    </w:rPr>
                                  </w:pPr>
                                  <w:r>
                                    <w:rPr>
                                      <w:sz w:val="20"/>
                                    </w:rPr>
                                    <w:t>46.0</w:t>
                                  </w:r>
                                </w:p>
                              </w:tc>
                            </w:tr>
                          </w:tbl>
                          <w:p w:rsidR="009D32B5" w:rsidRDefault="009D32B5" w:rsidP="009D32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B950" id="Text Box 16" o:spid="_x0000_s1027" type="#_x0000_t202" style="position:absolute;left:0;text-align:left;margin-left:68.35pt;margin-top:13.95pt;width:458.55pt;height:158.2pt;z-index:50331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uksgIAALI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50"/>
                        <w:gridCol w:w="2020"/>
                      </w:tblGrid>
                      <w:tr w:rsidR="009D32B5">
                        <w:trPr>
                          <w:trHeight w:hRule="exact" w:val="256"/>
                        </w:trPr>
                        <w:tc>
                          <w:tcPr>
                            <w:tcW w:w="7150" w:type="dxa"/>
                          </w:tcPr>
                          <w:p w:rsidR="009D32B5" w:rsidRDefault="009D32B5">
                            <w:pPr>
                              <w:pStyle w:val="TableParagraph"/>
                              <w:spacing w:before="20"/>
                              <w:rPr>
                                <w:sz w:val="20"/>
                              </w:rPr>
                            </w:pPr>
                            <w:r>
                              <w:rPr>
                                <w:color w:val="231F20"/>
                                <w:sz w:val="20"/>
                              </w:rPr>
                              <w:t>Number of Ordinary Shares in issue</w:t>
                            </w:r>
                          </w:p>
                        </w:tc>
                        <w:tc>
                          <w:tcPr>
                            <w:tcW w:w="2020" w:type="dxa"/>
                          </w:tcPr>
                          <w:p w:rsidR="009D32B5" w:rsidRDefault="009D32B5">
                            <w:pPr>
                              <w:pStyle w:val="TableParagraph"/>
                              <w:spacing w:before="20"/>
                              <w:ind w:left="0" w:right="48"/>
                              <w:jc w:val="right"/>
                              <w:rPr>
                                <w:sz w:val="20"/>
                              </w:rPr>
                            </w:pPr>
                            <w:r>
                              <w:rPr>
                                <w:sz w:val="20"/>
                              </w:rPr>
                              <w:t>20,891,975</w:t>
                            </w:r>
                          </w:p>
                        </w:tc>
                      </w:tr>
                      <w:tr w:rsidR="009D32B5">
                        <w:trPr>
                          <w:trHeight w:hRule="exact" w:val="240"/>
                        </w:trPr>
                        <w:tc>
                          <w:tcPr>
                            <w:tcW w:w="7150" w:type="dxa"/>
                          </w:tcPr>
                          <w:p w:rsidR="009D32B5" w:rsidRDefault="009D32B5">
                            <w:pPr>
                              <w:pStyle w:val="TableParagraph"/>
                              <w:rPr>
                                <w:sz w:val="20"/>
                              </w:rPr>
                            </w:pPr>
                            <w:r>
                              <w:rPr>
                                <w:color w:val="231F20"/>
                                <w:sz w:val="20"/>
                              </w:rPr>
                              <w:t>Net assets (£’000)</w:t>
                            </w:r>
                          </w:p>
                        </w:tc>
                        <w:tc>
                          <w:tcPr>
                            <w:tcW w:w="2020" w:type="dxa"/>
                          </w:tcPr>
                          <w:p w:rsidR="009D32B5" w:rsidRDefault="009D32B5">
                            <w:pPr>
                              <w:pStyle w:val="TableParagraph"/>
                              <w:ind w:left="0" w:right="48"/>
                              <w:jc w:val="right"/>
                              <w:rPr>
                                <w:sz w:val="20"/>
                              </w:rPr>
                            </w:pPr>
                            <w:r>
                              <w:rPr>
                                <w:sz w:val="20"/>
                              </w:rPr>
                              <w:t>1,049,835</w:t>
                            </w:r>
                          </w:p>
                        </w:tc>
                      </w:tr>
                      <w:tr w:rsidR="009D32B5">
                        <w:trPr>
                          <w:trHeight w:hRule="exact" w:val="238"/>
                        </w:trPr>
                        <w:tc>
                          <w:tcPr>
                            <w:tcW w:w="7150" w:type="dxa"/>
                          </w:tcPr>
                          <w:p w:rsidR="009D32B5" w:rsidRDefault="009D32B5">
                            <w:pPr>
                              <w:pStyle w:val="TableParagraph"/>
                              <w:rPr>
                                <w:sz w:val="20"/>
                              </w:rPr>
                            </w:pPr>
                            <w:r>
                              <w:rPr>
                                <w:color w:val="231F20"/>
                                <w:sz w:val="20"/>
                              </w:rPr>
                              <w:t>Net asset value per Ordinary Share (p)</w:t>
                            </w:r>
                          </w:p>
                        </w:tc>
                        <w:tc>
                          <w:tcPr>
                            <w:tcW w:w="2020" w:type="dxa"/>
                          </w:tcPr>
                          <w:p w:rsidR="009D32B5" w:rsidRDefault="009D32B5">
                            <w:pPr>
                              <w:pStyle w:val="TableParagraph"/>
                              <w:ind w:left="0" w:right="48"/>
                              <w:jc w:val="right"/>
                              <w:rPr>
                                <w:sz w:val="20"/>
                              </w:rPr>
                            </w:pPr>
                            <w:r>
                              <w:rPr>
                                <w:sz w:val="20"/>
                              </w:rPr>
                              <w:t>5,025.1</w:t>
                            </w:r>
                          </w:p>
                        </w:tc>
                      </w:tr>
                      <w:tr w:rsidR="009D32B5">
                        <w:trPr>
                          <w:trHeight w:hRule="exact" w:val="268"/>
                        </w:trPr>
                        <w:tc>
                          <w:tcPr>
                            <w:tcW w:w="7150" w:type="dxa"/>
                          </w:tcPr>
                          <w:p w:rsidR="009D32B5" w:rsidRDefault="009D32B5">
                            <w:pPr>
                              <w:pStyle w:val="TableParagraph"/>
                              <w:spacing w:before="5"/>
                              <w:rPr>
                                <w:b/>
                                <w:sz w:val="20"/>
                              </w:rPr>
                            </w:pPr>
                            <w:r>
                              <w:rPr>
                                <w:b/>
                                <w:color w:val="231F20"/>
                                <w:sz w:val="20"/>
                              </w:rPr>
                              <w:t>Ordinary Share price (p)</w:t>
                            </w:r>
                          </w:p>
                        </w:tc>
                        <w:tc>
                          <w:tcPr>
                            <w:tcW w:w="2020" w:type="dxa"/>
                          </w:tcPr>
                          <w:p w:rsidR="009D32B5" w:rsidRDefault="009D32B5">
                            <w:pPr>
                              <w:pStyle w:val="TableParagraph"/>
                              <w:spacing w:before="5"/>
                              <w:ind w:left="0" w:right="48"/>
                              <w:jc w:val="right"/>
                              <w:rPr>
                                <w:b/>
                                <w:sz w:val="20"/>
                              </w:rPr>
                            </w:pPr>
                            <w:r>
                              <w:rPr>
                                <w:b/>
                                <w:sz w:val="20"/>
                              </w:rPr>
                              <w:t>5,140.0</w:t>
                            </w:r>
                          </w:p>
                        </w:tc>
                      </w:tr>
                      <w:tr w:rsidR="009D32B5">
                        <w:trPr>
                          <w:trHeight w:hRule="exact" w:val="218"/>
                        </w:trPr>
                        <w:tc>
                          <w:tcPr>
                            <w:tcW w:w="7150" w:type="dxa"/>
                          </w:tcPr>
                          <w:p w:rsidR="009D32B5" w:rsidRDefault="009D32B5">
                            <w:pPr>
                              <w:pStyle w:val="TableParagraph"/>
                              <w:spacing w:before="0" w:line="207" w:lineRule="exact"/>
                              <w:rPr>
                                <w:b/>
                                <w:sz w:val="20"/>
                              </w:rPr>
                            </w:pPr>
                            <w:r>
                              <w:rPr>
                                <w:b/>
                                <w:color w:val="231F20"/>
                                <w:sz w:val="20"/>
                              </w:rPr>
                              <w:t>Income</w:t>
                            </w:r>
                          </w:p>
                        </w:tc>
                        <w:tc>
                          <w:tcPr>
                            <w:tcW w:w="2020" w:type="dxa"/>
                          </w:tcPr>
                          <w:p w:rsidR="009D32B5" w:rsidRDefault="009D32B5"/>
                        </w:tc>
                      </w:tr>
                      <w:tr w:rsidR="009D32B5">
                        <w:trPr>
                          <w:trHeight w:hRule="exact" w:val="235"/>
                        </w:trPr>
                        <w:tc>
                          <w:tcPr>
                            <w:tcW w:w="7150" w:type="dxa"/>
                          </w:tcPr>
                          <w:p w:rsidR="009D32B5" w:rsidRDefault="009D32B5">
                            <w:pPr>
                              <w:pStyle w:val="TableParagraph"/>
                              <w:spacing w:before="0" w:line="229" w:lineRule="exact"/>
                              <w:rPr>
                                <w:sz w:val="20"/>
                              </w:rPr>
                            </w:pPr>
                            <w:r>
                              <w:rPr>
                                <w:color w:val="231F20"/>
                                <w:sz w:val="20"/>
                              </w:rPr>
                              <w:t>Total investment income before operating expenses (£’000)</w:t>
                            </w:r>
                          </w:p>
                        </w:tc>
                        <w:tc>
                          <w:tcPr>
                            <w:tcW w:w="2020" w:type="dxa"/>
                          </w:tcPr>
                          <w:p w:rsidR="009D32B5" w:rsidRDefault="009D32B5">
                            <w:pPr>
                              <w:pStyle w:val="TableParagraph"/>
                              <w:spacing w:before="0" w:line="229" w:lineRule="exact"/>
                              <w:ind w:left="0" w:right="48"/>
                              <w:jc w:val="right"/>
                              <w:rPr>
                                <w:sz w:val="20"/>
                              </w:rPr>
                            </w:pPr>
                            <w:r>
                              <w:rPr>
                                <w:sz w:val="20"/>
                              </w:rPr>
                              <w:t>14,677</w:t>
                            </w:r>
                          </w:p>
                        </w:tc>
                      </w:tr>
                      <w:tr w:rsidR="009D32B5">
                        <w:trPr>
                          <w:trHeight w:hRule="exact" w:val="240"/>
                        </w:trPr>
                        <w:tc>
                          <w:tcPr>
                            <w:tcW w:w="7150" w:type="dxa"/>
                          </w:tcPr>
                          <w:p w:rsidR="009D32B5" w:rsidRDefault="009D32B5">
                            <w:pPr>
                              <w:pStyle w:val="TableParagraph"/>
                              <w:rPr>
                                <w:sz w:val="20"/>
                              </w:rPr>
                            </w:pPr>
                            <w:r>
                              <w:rPr>
                                <w:color w:val="231F20"/>
                                <w:sz w:val="20"/>
                              </w:rPr>
                              <w:t>Net return attributable to equity shareholders (£’000)</w:t>
                            </w:r>
                          </w:p>
                        </w:tc>
                        <w:tc>
                          <w:tcPr>
                            <w:tcW w:w="2020" w:type="dxa"/>
                          </w:tcPr>
                          <w:p w:rsidR="009D32B5" w:rsidRDefault="009D32B5">
                            <w:pPr>
                              <w:pStyle w:val="TableParagraph"/>
                              <w:ind w:left="0" w:right="48"/>
                              <w:jc w:val="right"/>
                              <w:rPr>
                                <w:sz w:val="20"/>
                              </w:rPr>
                            </w:pPr>
                            <w:r>
                              <w:rPr>
                                <w:sz w:val="20"/>
                              </w:rPr>
                              <w:t>9,813</w:t>
                            </w:r>
                          </w:p>
                        </w:tc>
                      </w:tr>
                      <w:tr w:rsidR="009D32B5">
                        <w:trPr>
                          <w:trHeight w:hRule="exact" w:val="240"/>
                        </w:trPr>
                        <w:tc>
                          <w:tcPr>
                            <w:tcW w:w="7150" w:type="dxa"/>
                          </w:tcPr>
                          <w:p w:rsidR="009D32B5" w:rsidRDefault="009D32B5">
                            <w:pPr>
                              <w:pStyle w:val="TableParagraph"/>
                              <w:rPr>
                                <w:sz w:val="20"/>
                              </w:rPr>
                            </w:pPr>
                            <w:r>
                              <w:rPr>
                                <w:color w:val="231F20"/>
                                <w:sz w:val="20"/>
                              </w:rPr>
                              <w:t>Performance fee (accrued/paid) (£’000)</w:t>
                            </w:r>
                          </w:p>
                        </w:tc>
                        <w:tc>
                          <w:tcPr>
                            <w:tcW w:w="2020" w:type="dxa"/>
                          </w:tcPr>
                          <w:p w:rsidR="009D32B5" w:rsidRDefault="009D32B5">
                            <w:pPr>
                              <w:pStyle w:val="TableParagraph"/>
                              <w:ind w:left="0" w:right="48"/>
                              <w:jc w:val="right"/>
                              <w:rPr>
                                <w:sz w:val="20"/>
                              </w:rPr>
                            </w:pPr>
                            <w:r>
                              <w:rPr>
                                <w:color w:val="231F20"/>
                                <w:sz w:val="20"/>
                              </w:rPr>
                              <w:t>n/a</w:t>
                            </w:r>
                          </w:p>
                        </w:tc>
                      </w:tr>
                      <w:tr w:rsidR="009D32B5">
                        <w:trPr>
                          <w:trHeight w:hRule="exact" w:val="240"/>
                        </w:trPr>
                        <w:tc>
                          <w:tcPr>
                            <w:tcW w:w="7150" w:type="dxa"/>
                          </w:tcPr>
                          <w:p w:rsidR="009D32B5" w:rsidRDefault="009D32B5">
                            <w:pPr>
                              <w:pStyle w:val="TableParagraph"/>
                              <w:rPr>
                                <w:sz w:val="20"/>
                              </w:rPr>
                            </w:pPr>
                            <w:r>
                              <w:rPr>
                                <w:color w:val="231F20"/>
                                <w:sz w:val="20"/>
                              </w:rPr>
                              <w:t>Investment Manager’s fee charged to revenue (accrued/paid) (£’000)</w:t>
                            </w:r>
                          </w:p>
                        </w:tc>
                        <w:tc>
                          <w:tcPr>
                            <w:tcW w:w="2020" w:type="dxa"/>
                          </w:tcPr>
                          <w:p w:rsidR="009D32B5" w:rsidRDefault="009D32B5">
                            <w:pPr>
                              <w:pStyle w:val="TableParagraph"/>
                              <w:ind w:left="0" w:right="48"/>
                              <w:jc w:val="right"/>
                              <w:rPr>
                                <w:sz w:val="20"/>
                              </w:rPr>
                            </w:pPr>
                            <w:r>
                              <w:rPr>
                                <w:sz w:val="20"/>
                              </w:rPr>
                              <w:t>3,627</w:t>
                            </w:r>
                          </w:p>
                        </w:tc>
                      </w:tr>
                      <w:tr w:rsidR="009D32B5">
                        <w:trPr>
                          <w:trHeight w:hRule="exact" w:val="240"/>
                        </w:trPr>
                        <w:tc>
                          <w:tcPr>
                            <w:tcW w:w="7150" w:type="dxa"/>
                          </w:tcPr>
                          <w:p w:rsidR="009D32B5" w:rsidRDefault="009D32B5">
                            <w:pPr>
                              <w:pStyle w:val="TableParagraph"/>
                              <w:rPr>
                                <w:sz w:val="20"/>
                              </w:rPr>
                            </w:pPr>
                            <w:r>
                              <w:rPr>
                                <w:color w:val="231F20"/>
                                <w:sz w:val="20"/>
                              </w:rPr>
                              <w:t>Any other material fees (accrued/paid) to service providers (£’000)</w:t>
                            </w:r>
                          </w:p>
                        </w:tc>
                        <w:tc>
                          <w:tcPr>
                            <w:tcW w:w="2020" w:type="dxa"/>
                          </w:tcPr>
                          <w:p w:rsidR="009D32B5" w:rsidRDefault="009D32B5">
                            <w:pPr>
                              <w:pStyle w:val="TableParagraph"/>
                              <w:ind w:left="0" w:right="48"/>
                              <w:jc w:val="right"/>
                              <w:rPr>
                                <w:sz w:val="20"/>
                              </w:rPr>
                            </w:pPr>
                            <w:r>
                              <w:rPr>
                                <w:sz w:val="20"/>
                              </w:rPr>
                              <w:t>727</w:t>
                            </w:r>
                          </w:p>
                        </w:tc>
                      </w:tr>
                      <w:tr w:rsidR="009D32B5">
                        <w:trPr>
                          <w:trHeight w:hRule="exact" w:val="240"/>
                        </w:trPr>
                        <w:tc>
                          <w:tcPr>
                            <w:tcW w:w="7150" w:type="dxa"/>
                          </w:tcPr>
                          <w:p w:rsidR="009D32B5" w:rsidRDefault="009D32B5">
                            <w:pPr>
                              <w:pStyle w:val="TableParagraph"/>
                              <w:rPr>
                                <w:sz w:val="20"/>
                              </w:rPr>
                            </w:pPr>
                            <w:r>
                              <w:rPr>
                                <w:color w:val="231F20"/>
                                <w:sz w:val="20"/>
                              </w:rPr>
                              <w:t>Revenue return per Ordinary Share (p)</w:t>
                            </w:r>
                          </w:p>
                        </w:tc>
                        <w:tc>
                          <w:tcPr>
                            <w:tcW w:w="2020" w:type="dxa"/>
                          </w:tcPr>
                          <w:p w:rsidR="009D32B5" w:rsidRDefault="009D32B5">
                            <w:pPr>
                              <w:pStyle w:val="TableParagraph"/>
                              <w:ind w:left="0" w:right="48"/>
                              <w:jc w:val="right"/>
                              <w:rPr>
                                <w:sz w:val="20"/>
                              </w:rPr>
                            </w:pPr>
                            <w:r>
                              <w:rPr>
                                <w:sz w:val="20"/>
                              </w:rPr>
                              <w:t>56.81</w:t>
                            </w:r>
                          </w:p>
                        </w:tc>
                      </w:tr>
                      <w:tr w:rsidR="009D32B5">
                        <w:trPr>
                          <w:trHeight w:hRule="exact" w:val="238"/>
                        </w:trPr>
                        <w:tc>
                          <w:tcPr>
                            <w:tcW w:w="7150" w:type="dxa"/>
                          </w:tcPr>
                          <w:p w:rsidR="009D32B5" w:rsidRDefault="009D32B5">
                            <w:pPr>
                              <w:pStyle w:val="TableParagraph"/>
                              <w:rPr>
                                <w:sz w:val="20"/>
                              </w:rPr>
                            </w:pPr>
                            <w:r>
                              <w:rPr>
                                <w:color w:val="231F20"/>
                                <w:sz w:val="20"/>
                              </w:rPr>
                              <w:t>Dividend per Ordinary Share (p)</w:t>
                            </w:r>
                          </w:p>
                        </w:tc>
                        <w:tc>
                          <w:tcPr>
                            <w:tcW w:w="2020" w:type="dxa"/>
                          </w:tcPr>
                          <w:p w:rsidR="009D32B5" w:rsidRDefault="009D32B5">
                            <w:pPr>
                              <w:pStyle w:val="TableParagraph"/>
                              <w:ind w:left="0" w:right="48"/>
                              <w:jc w:val="right"/>
                              <w:rPr>
                                <w:sz w:val="20"/>
                              </w:rPr>
                            </w:pPr>
                            <w:r>
                              <w:rPr>
                                <w:sz w:val="20"/>
                              </w:rPr>
                              <w:t>46.0</w:t>
                            </w:r>
                          </w:p>
                        </w:tc>
                      </w:tr>
                    </w:tbl>
                    <w:p w:rsidR="009D32B5" w:rsidRDefault="009D32B5" w:rsidP="009D32B5">
                      <w:pPr>
                        <w:pStyle w:val="BodyText"/>
                      </w:pPr>
                    </w:p>
                  </w:txbxContent>
                </v:textbox>
                <w10:wrap anchorx="page"/>
              </v:shape>
            </w:pict>
          </mc:Fallback>
        </mc:AlternateContent>
      </w:r>
      <w:r w:rsidR="009D32B5">
        <w:rPr>
          <w:color w:val="231F20"/>
        </w:rPr>
        <w:t>Net asset value</w:t>
      </w: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9D32B5" w:rsidRDefault="009D32B5" w:rsidP="009D32B5">
      <w:pPr>
        <w:pStyle w:val="BodyText"/>
        <w:rPr>
          <w:b/>
          <w:sz w:val="28"/>
        </w:rPr>
      </w:pPr>
    </w:p>
    <w:p w:rsidR="00570076" w:rsidRDefault="00570076" w:rsidP="009D32B5">
      <w:pPr>
        <w:pStyle w:val="BodyText"/>
        <w:rPr>
          <w:b/>
          <w:sz w:val="28"/>
        </w:rPr>
      </w:pPr>
    </w:p>
    <w:p w:rsidR="009D32B5" w:rsidRDefault="009D32B5" w:rsidP="009D32B5">
      <w:pPr>
        <w:pStyle w:val="Heading3"/>
        <w:spacing w:before="9"/>
        <w:jc w:val="left"/>
      </w:pPr>
      <w:r>
        <w:rPr>
          <w:color w:val="231F20"/>
        </w:rPr>
        <w:t>Portfolio summary</w:t>
      </w:r>
    </w:p>
    <w:p w:rsidR="009D32B5" w:rsidRDefault="009D32B5" w:rsidP="009D32B5">
      <w:pPr>
        <w:pStyle w:val="BodyText"/>
        <w:tabs>
          <w:tab w:val="left" w:pos="8505"/>
        </w:tabs>
        <w:spacing w:before="9"/>
        <w:ind w:left="157"/>
      </w:pPr>
      <w:r>
        <w:rPr>
          <w:color w:val="231F20"/>
        </w:rPr>
        <w:t>Shareholders’</w:t>
      </w:r>
      <w:r>
        <w:rPr>
          <w:color w:val="231F20"/>
          <w:spacing w:val="1"/>
        </w:rPr>
        <w:t xml:space="preserve"> </w:t>
      </w:r>
      <w:r>
        <w:rPr>
          <w:color w:val="231F20"/>
        </w:rPr>
        <w:t>funds</w:t>
      </w:r>
      <w:r>
        <w:rPr>
          <w:color w:val="231F20"/>
          <w:spacing w:val="1"/>
        </w:rPr>
        <w:t xml:space="preserve"> </w:t>
      </w:r>
      <w:r>
        <w:rPr>
          <w:color w:val="231F20"/>
        </w:rPr>
        <w:t>(£’000)                                                                                                       1,049,835</w:t>
      </w:r>
    </w:p>
    <w:p w:rsidR="00DF6DF8" w:rsidRDefault="00DF6DF8">
      <w:pPr>
        <w:sectPr w:rsidR="00DF6DF8">
          <w:type w:val="continuous"/>
          <w:pgSz w:w="11910" w:h="16840"/>
          <w:pgMar w:top="0" w:right="1240" w:bottom="280" w:left="1260" w:header="720" w:footer="720" w:gutter="0"/>
          <w:cols w:space="720"/>
        </w:sectPr>
      </w:pPr>
    </w:p>
    <w:p w:rsidR="00DF6DF8" w:rsidRDefault="00904FCF">
      <w:pPr>
        <w:pStyle w:val="Heading3"/>
        <w:spacing w:before="94"/>
        <w:ind w:left="117"/>
      </w:pPr>
      <w:r>
        <w:rPr>
          <w:color w:val="231F20"/>
        </w:rPr>
        <w:t>Operating and financial review</w:t>
      </w:r>
    </w:p>
    <w:p w:rsidR="00DF6DF8" w:rsidRDefault="00904FCF">
      <w:pPr>
        <w:pStyle w:val="BodyText"/>
        <w:spacing w:before="66" w:line="249" w:lineRule="auto"/>
        <w:ind w:left="117" w:right="175"/>
        <w:jc w:val="both"/>
      </w:pPr>
      <w:r>
        <w:rPr>
          <w:color w:val="231F20"/>
        </w:rPr>
        <w:t xml:space="preserve">A description of changes in the performance of the Company, both capital and revenue, and changes to the Company’s portfolio of investments is set out in the sections headed “Chairman’s Statement”, “Investment Manager’s Report”, “Distribution of Investment Funds” and “Investments of the Company” in the </w:t>
      </w:r>
      <w:r w:rsidR="00EE2C4E">
        <w:rPr>
          <w:color w:val="231F20"/>
        </w:rPr>
        <w:t>Annual</w:t>
      </w:r>
      <w:r>
        <w:rPr>
          <w:color w:val="231F20"/>
        </w:rPr>
        <w:t xml:space="preserve"> Report as follows:</w:t>
      </w:r>
    </w:p>
    <w:p w:rsidR="00DF6DF8" w:rsidRDefault="00DF6DF8">
      <w:pPr>
        <w:spacing w:line="249" w:lineRule="auto"/>
        <w:jc w:val="both"/>
        <w:sectPr w:rsidR="00DF6DF8">
          <w:headerReference w:type="default" r:id="rId11"/>
          <w:footerReference w:type="default" r:id="rId12"/>
          <w:pgSz w:w="11910" w:h="16840"/>
          <w:pgMar w:top="980" w:right="1240" w:bottom="1020" w:left="1300" w:header="0" w:footer="826" w:gutter="0"/>
          <w:pgNumType w:start="4"/>
          <w:cols w:space="720"/>
        </w:sectPr>
      </w:pPr>
    </w:p>
    <w:p w:rsidR="00DF6DF8" w:rsidRDefault="00DF6DF8">
      <w:pPr>
        <w:pStyle w:val="BodyText"/>
        <w:rPr>
          <w:sz w:val="28"/>
        </w:rPr>
      </w:pPr>
    </w:p>
    <w:p w:rsidR="00DF6DF8" w:rsidRDefault="00DF6DF8">
      <w:pPr>
        <w:pStyle w:val="BodyText"/>
        <w:rPr>
          <w:sz w:val="28"/>
        </w:rPr>
      </w:pPr>
    </w:p>
    <w:p w:rsidR="00DF6DF8" w:rsidRDefault="00DF6DF8">
      <w:pPr>
        <w:pStyle w:val="BodyText"/>
        <w:spacing w:before="3"/>
        <w:rPr>
          <w:sz w:val="40"/>
        </w:rPr>
      </w:pPr>
    </w:p>
    <w:p w:rsidR="00DF6DF8" w:rsidRDefault="00904FCF">
      <w:pPr>
        <w:pStyle w:val="Heading3"/>
        <w:spacing w:line="220" w:lineRule="exact"/>
        <w:ind w:left="117"/>
        <w:jc w:val="left"/>
      </w:pPr>
      <w:r>
        <w:rPr>
          <w:color w:val="231F20"/>
        </w:rPr>
        <w:t>Nature of Information</w:t>
      </w:r>
    </w:p>
    <w:p w:rsidR="00DF6DF8" w:rsidRDefault="00904FCF">
      <w:pPr>
        <w:spacing w:before="169" w:line="254" w:lineRule="auto"/>
        <w:ind w:left="787" w:right="175" w:hanging="670"/>
        <w:jc w:val="right"/>
        <w:rPr>
          <w:i/>
          <w:sz w:val="18"/>
        </w:rPr>
      </w:pPr>
      <w:r>
        <w:br w:type="column"/>
      </w:r>
      <w:r w:rsidR="00EE2C4E">
        <w:rPr>
          <w:i/>
          <w:color w:val="231F20"/>
          <w:sz w:val="18"/>
        </w:rPr>
        <w:t>Annual Report and Accounts for the period ended 31 March 2022</w:t>
      </w:r>
    </w:p>
    <w:p w:rsidR="00DF6DF8" w:rsidRDefault="00904FCF">
      <w:pPr>
        <w:ind w:right="175"/>
        <w:jc w:val="right"/>
        <w:rPr>
          <w:i/>
          <w:sz w:val="18"/>
        </w:rPr>
      </w:pPr>
      <w:r>
        <w:rPr>
          <w:i/>
          <w:color w:val="231F20"/>
          <w:sz w:val="18"/>
        </w:rPr>
        <w:t>Page No.</w:t>
      </w:r>
    </w:p>
    <w:p w:rsidR="00DF6DF8" w:rsidRDefault="00DF6DF8">
      <w:pPr>
        <w:jc w:val="right"/>
        <w:rPr>
          <w:sz w:val="18"/>
        </w:rPr>
        <w:sectPr w:rsidR="00DF6DF8">
          <w:type w:val="continuous"/>
          <w:pgSz w:w="11910" w:h="16840"/>
          <w:pgMar w:top="0" w:right="1240" w:bottom="280" w:left="1300" w:header="720" w:footer="720" w:gutter="0"/>
          <w:cols w:num="2" w:space="720" w:equalWidth="0">
            <w:col w:w="2162" w:space="4513"/>
            <w:col w:w="2695"/>
          </w:cols>
        </w:sectPr>
      </w:pPr>
    </w:p>
    <w:p w:rsidR="00DF6DF8" w:rsidRDefault="00904FCF">
      <w:pPr>
        <w:pStyle w:val="BodyText"/>
        <w:tabs>
          <w:tab w:val="left" w:pos="8732"/>
        </w:tabs>
        <w:spacing w:before="20"/>
        <w:ind w:left="117"/>
        <w:jc w:val="both"/>
      </w:pPr>
      <w:r>
        <w:rPr>
          <w:color w:val="231F20"/>
        </w:rPr>
        <w:t>Chairman’s</w:t>
      </w:r>
      <w:r>
        <w:rPr>
          <w:color w:val="231F20"/>
          <w:spacing w:val="1"/>
        </w:rPr>
        <w:t xml:space="preserve"> </w:t>
      </w:r>
      <w:r>
        <w:rPr>
          <w:color w:val="231F20"/>
        </w:rPr>
        <w:t>Statement</w:t>
      </w:r>
      <w:r>
        <w:rPr>
          <w:rFonts w:ascii="Times New Roman" w:hAnsi="Times New Roman"/>
          <w:color w:val="231F20"/>
        </w:rPr>
        <w:tab/>
      </w:r>
      <w:r w:rsidR="00712A93">
        <w:rPr>
          <w:color w:val="231F20"/>
        </w:rPr>
        <w:t>4</w:t>
      </w:r>
      <w:r>
        <w:rPr>
          <w:color w:val="231F20"/>
        </w:rPr>
        <w:t xml:space="preserve"> </w:t>
      </w:r>
      <w:r>
        <w:rPr>
          <w:color w:val="231F20"/>
          <w:spacing w:val="5"/>
        </w:rPr>
        <w:t xml:space="preserve">– </w:t>
      </w:r>
      <w:r w:rsidR="00712A93">
        <w:rPr>
          <w:color w:val="231F20"/>
        </w:rPr>
        <w:t>6</w:t>
      </w:r>
      <w:r w:rsidR="002570B0">
        <w:rPr>
          <w:color w:val="231F20"/>
          <w:spacing w:val="5"/>
        </w:rPr>
        <w:t xml:space="preserve"> </w:t>
      </w:r>
    </w:p>
    <w:p w:rsidR="00DF6DF8" w:rsidRDefault="00904FCF" w:rsidP="00712A93">
      <w:pPr>
        <w:pStyle w:val="BodyText"/>
        <w:tabs>
          <w:tab w:val="left" w:pos="8565"/>
          <w:tab w:val="left" w:pos="9076"/>
        </w:tabs>
        <w:spacing w:before="10"/>
        <w:ind w:left="117"/>
        <w:jc w:val="both"/>
      </w:pPr>
      <w:r>
        <w:rPr>
          <w:color w:val="231F20"/>
        </w:rPr>
        <w:t>Investment</w:t>
      </w:r>
      <w:r>
        <w:rPr>
          <w:color w:val="231F20"/>
          <w:spacing w:val="1"/>
        </w:rPr>
        <w:t xml:space="preserve"> </w:t>
      </w:r>
      <w:r>
        <w:rPr>
          <w:color w:val="231F20"/>
        </w:rPr>
        <w:t>Manager</w:t>
      </w:r>
      <w:r>
        <w:rPr>
          <w:color w:val="231F20"/>
          <w:spacing w:val="1"/>
        </w:rPr>
        <w:t xml:space="preserve"> </w:t>
      </w:r>
      <w:r>
        <w:rPr>
          <w:color w:val="231F20"/>
        </w:rPr>
        <w:t>Report</w:t>
      </w:r>
      <w:r w:rsidR="00712A93">
        <w:rPr>
          <w:rFonts w:ascii="Times New Roman" w:hAnsi="Times New Roman"/>
          <w:color w:val="231F20"/>
        </w:rPr>
        <w:tab/>
        <w:t xml:space="preserve">    </w:t>
      </w:r>
      <w:r w:rsidR="00712A93" w:rsidRPr="00712A93">
        <w:rPr>
          <w:color w:val="231F20"/>
        </w:rPr>
        <w:t>7</w:t>
      </w:r>
      <w:r w:rsidR="00712A93">
        <w:rPr>
          <w:color w:val="231F20"/>
        </w:rPr>
        <w:t xml:space="preserve"> </w:t>
      </w:r>
      <w:r w:rsidR="00712A93">
        <w:rPr>
          <w:color w:val="231F20"/>
          <w:spacing w:val="5"/>
        </w:rPr>
        <w:t xml:space="preserve">– </w:t>
      </w:r>
      <w:r w:rsidR="00712A93" w:rsidRPr="00712A93">
        <w:rPr>
          <w:color w:val="231F20"/>
        </w:rPr>
        <w:t>8</w:t>
      </w:r>
      <w:r w:rsidR="00712A93">
        <w:rPr>
          <w:rFonts w:ascii="Times New Roman" w:hAnsi="Times New Roman"/>
          <w:color w:val="231F20"/>
        </w:rPr>
        <w:t xml:space="preserve"> </w:t>
      </w:r>
    </w:p>
    <w:p w:rsidR="00DF6DF8" w:rsidRDefault="00EE2C4E">
      <w:pPr>
        <w:pStyle w:val="BodyText"/>
        <w:tabs>
          <w:tab w:val="left" w:pos="9076"/>
        </w:tabs>
        <w:spacing w:before="10"/>
        <w:ind w:left="117"/>
        <w:jc w:val="both"/>
      </w:pPr>
      <w:r>
        <w:rPr>
          <w:color w:val="231F20"/>
        </w:rPr>
        <w:t>Portfolio Analysis</w:t>
      </w:r>
      <w:r w:rsidR="00904FCF">
        <w:rPr>
          <w:rFonts w:ascii="Times New Roman"/>
          <w:color w:val="231F20"/>
        </w:rPr>
        <w:tab/>
      </w:r>
      <w:r w:rsidR="00904FCF">
        <w:rPr>
          <w:color w:val="231F20"/>
        </w:rPr>
        <w:t>9</w:t>
      </w:r>
    </w:p>
    <w:p w:rsidR="00DF6DF8" w:rsidRDefault="00904FCF">
      <w:pPr>
        <w:pStyle w:val="BodyText"/>
        <w:tabs>
          <w:tab w:val="left" w:pos="8509"/>
        </w:tabs>
        <w:spacing w:before="10"/>
        <w:ind w:left="117"/>
        <w:jc w:val="both"/>
      </w:pPr>
      <w:r>
        <w:rPr>
          <w:color w:val="231F20"/>
        </w:rPr>
        <w:t>Investments of</w:t>
      </w:r>
      <w:r>
        <w:rPr>
          <w:color w:val="231F20"/>
          <w:spacing w:val="6"/>
        </w:rPr>
        <w:t xml:space="preserve"> </w:t>
      </w:r>
      <w:r>
        <w:rPr>
          <w:color w:val="231F20"/>
        </w:rPr>
        <w:t>the</w:t>
      </w:r>
      <w:r>
        <w:rPr>
          <w:color w:val="231F20"/>
          <w:spacing w:val="3"/>
        </w:rPr>
        <w:t xml:space="preserve"> </w:t>
      </w:r>
      <w:r>
        <w:rPr>
          <w:color w:val="231F20"/>
        </w:rPr>
        <w:t>Company</w:t>
      </w:r>
      <w:r>
        <w:rPr>
          <w:rFonts w:ascii="Times New Roman" w:hAnsi="Times New Roman"/>
          <w:color w:val="231F20"/>
        </w:rPr>
        <w:tab/>
      </w:r>
      <w:r>
        <w:rPr>
          <w:color w:val="231F20"/>
        </w:rPr>
        <w:t>10 –</w:t>
      </w:r>
      <w:r>
        <w:rPr>
          <w:color w:val="231F20"/>
          <w:spacing w:val="8"/>
        </w:rPr>
        <w:t xml:space="preserve"> </w:t>
      </w:r>
      <w:r>
        <w:rPr>
          <w:color w:val="231F20"/>
        </w:rPr>
        <w:t>1</w:t>
      </w:r>
      <w:r w:rsidR="00712A93">
        <w:rPr>
          <w:color w:val="231F20"/>
        </w:rPr>
        <w:t>2</w:t>
      </w:r>
    </w:p>
    <w:p w:rsidR="00DF6DF8" w:rsidRDefault="00DF6DF8">
      <w:pPr>
        <w:pStyle w:val="BodyText"/>
        <w:spacing w:before="6"/>
        <w:rPr>
          <w:sz w:val="25"/>
        </w:rPr>
      </w:pPr>
    </w:p>
    <w:p w:rsidR="00DF6DF8" w:rsidRDefault="00904FCF">
      <w:pPr>
        <w:pStyle w:val="Heading3"/>
        <w:ind w:left="117"/>
      </w:pPr>
      <w:r>
        <w:rPr>
          <w:color w:val="231F20"/>
        </w:rPr>
        <w:t>Significant change</w:t>
      </w:r>
    </w:p>
    <w:p w:rsidR="00DF6DF8" w:rsidRDefault="00904FCF">
      <w:pPr>
        <w:pStyle w:val="BodyText"/>
        <w:spacing w:before="66" w:line="249" w:lineRule="auto"/>
        <w:ind w:left="117" w:right="175"/>
        <w:jc w:val="both"/>
      </w:pPr>
      <w:r>
        <w:rPr>
          <w:color w:val="231F20"/>
        </w:rPr>
        <w:t xml:space="preserve">Since </w:t>
      </w:r>
      <w:r w:rsidR="005122BC">
        <w:rPr>
          <w:color w:val="231F20"/>
        </w:rPr>
        <w:t>31 March 2022</w:t>
      </w:r>
      <w:r>
        <w:rPr>
          <w:color w:val="231F20"/>
        </w:rPr>
        <w:t xml:space="preserve"> (being the end of the last financial period of the Company for which financial information has been published), there has been no significant change in the financial position of the Company.</w:t>
      </w:r>
    </w:p>
    <w:p w:rsidR="00DF6DF8" w:rsidRDefault="00DF6DF8">
      <w:pPr>
        <w:pStyle w:val="BodyText"/>
        <w:spacing w:before="7"/>
        <w:rPr>
          <w:sz w:val="24"/>
        </w:rPr>
      </w:pPr>
    </w:p>
    <w:p w:rsidR="00DF6DF8" w:rsidRDefault="00904FCF">
      <w:pPr>
        <w:pStyle w:val="Heading3"/>
        <w:spacing w:before="1"/>
        <w:ind w:left="117"/>
      </w:pPr>
      <w:r>
        <w:rPr>
          <w:color w:val="231F20"/>
        </w:rPr>
        <w:t>Documents available for inspection</w:t>
      </w:r>
    </w:p>
    <w:p w:rsidR="00DF6DF8" w:rsidRDefault="00904FCF">
      <w:pPr>
        <w:pStyle w:val="BodyText"/>
        <w:spacing w:before="67" w:line="249" w:lineRule="auto"/>
        <w:ind w:left="117" w:right="175"/>
        <w:jc w:val="both"/>
      </w:pPr>
      <w:r>
        <w:rPr>
          <w:color w:val="231F20"/>
        </w:rPr>
        <w:t xml:space="preserve">Copies of the </w:t>
      </w:r>
      <w:r w:rsidR="005122BC">
        <w:rPr>
          <w:color w:val="231F20"/>
        </w:rPr>
        <w:t>Annual Report and Accounts</w:t>
      </w:r>
      <w:r>
        <w:rPr>
          <w:color w:val="231F20"/>
        </w:rPr>
        <w:t xml:space="preserve"> are available for inspection during normal business hours on any weekday (Saturdays, Sundays and public holidays excepted) at the offices of Dickson Minto W.S., Broadgate</w:t>
      </w:r>
      <w:r>
        <w:rPr>
          <w:color w:val="231F20"/>
          <w:spacing w:val="-5"/>
        </w:rPr>
        <w:t xml:space="preserve"> </w:t>
      </w:r>
      <w:r>
        <w:rPr>
          <w:color w:val="231F20"/>
        </w:rPr>
        <w:t>Tower,</w:t>
      </w:r>
      <w:r>
        <w:rPr>
          <w:color w:val="231F20"/>
          <w:spacing w:val="-5"/>
        </w:rPr>
        <w:t xml:space="preserve"> </w:t>
      </w:r>
      <w:r>
        <w:rPr>
          <w:color w:val="231F20"/>
        </w:rPr>
        <w:t>20</w:t>
      </w:r>
      <w:r>
        <w:rPr>
          <w:color w:val="231F20"/>
          <w:spacing w:val="-5"/>
        </w:rPr>
        <w:t xml:space="preserve"> </w:t>
      </w:r>
      <w:r>
        <w:rPr>
          <w:color w:val="231F20"/>
        </w:rPr>
        <w:t>Primrose</w:t>
      </w:r>
      <w:r>
        <w:rPr>
          <w:color w:val="231F20"/>
          <w:spacing w:val="-5"/>
        </w:rPr>
        <w:t xml:space="preserve"> </w:t>
      </w:r>
      <w:r>
        <w:rPr>
          <w:color w:val="231F20"/>
        </w:rPr>
        <w:t>Street,</w:t>
      </w:r>
      <w:r>
        <w:rPr>
          <w:color w:val="231F20"/>
          <w:spacing w:val="-5"/>
        </w:rPr>
        <w:t xml:space="preserve"> </w:t>
      </w:r>
      <w:r>
        <w:rPr>
          <w:color w:val="231F20"/>
        </w:rPr>
        <w:t>London</w:t>
      </w:r>
      <w:r>
        <w:rPr>
          <w:color w:val="231F20"/>
          <w:spacing w:val="-5"/>
        </w:rPr>
        <w:t xml:space="preserve"> </w:t>
      </w:r>
      <w:r>
        <w:rPr>
          <w:color w:val="231F20"/>
        </w:rPr>
        <w:t>EC2A</w:t>
      </w:r>
      <w:r>
        <w:rPr>
          <w:color w:val="231F20"/>
          <w:spacing w:val="-5"/>
        </w:rPr>
        <w:t xml:space="preserve"> </w:t>
      </w:r>
      <w:r>
        <w:rPr>
          <w:color w:val="231F20"/>
        </w:rPr>
        <w:t>2EW</w:t>
      </w:r>
      <w:r>
        <w:rPr>
          <w:color w:val="231F20"/>
          <w:spacing w:val="-5"/>
        </w:rPr>
        <w:t xml:space="preserve"> </w:t>
      </w:r>
      <w:r>
        <w:rPr>
          <w:color w:val="231F20"/>
        </w:rPr>
        <w:t>and</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registered</w:t>
      </w:r>
      <w:r>
        <w:rPr>
          <w:color w:val="231F20"/>
          <w:spacing w:val="-5"/>
        </w:rPr>
        <w:t xml:space="preserve"> </w:t>
      </w:r>
      <w:r>
        <w:rPr>
          <w:color w:val="231F20"/>
        </w:rPr>
        <w:t>office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Company, Carson</w:t>
      </w:r>
      <w:r>
        <w:rPr>
          <w:color w:val="231F20"/>
          <w:spacing w:val="-13"/>
        </w:rPr>
        <w:t xml:space="preserve"> </w:t>
      </w:r>
      <w:r>
        <w:rPr>
          <w:color w:val="231F20"/>
        </w:rPr>
        <w:t>McDowell</w:t>
      </w:r>
      <w:r>
        <w:rPr>
          <w:color w:val="231F20"/>
          <w:spacing w:val="-13"/>
        </w:rPr>
        <w:t xml:space="preserve"> </w:t>
      </w:r>
      <w:r>
        <w:rPr>
          <w:color w:val="231F20"/>
        </w:rPr>
        <w:t>LLP,</w:t>
      </w:r>
      <w:r>
        <w:rPr>
          <w:color w:val="231F20"/>
          <w:spacing w:val="-13"/>
        </w:rPr>
        <w:t xml:space="preserve"> </w:t>
      </w:r>
      <w:r>
        <w:rPr>
          <w:color w:val="231F20"/>
        </w:rPr>
        <w:t>Murray</w:t>
      </w:r>
      <w:r>
        <w:rPr>
          <w:color w:val="231F20"/>
          <w:spacing w:val="-13"/>
        </w:rPr>
        <w:t xml:space="preserve"> </w:t>
      </w:r>
      <w:r>
        <w:rPr>
          <w:color w:val="231F20"/>
        </w:rPr>
        <w:t>House,</w:t>
      </w:r>
      <w:r>
        <w:rPr>
          <w:color w:val="231F20"/>
          <w:spacing w:val="-13"/>
        </w:rPr>
        <w:t xml:space="preserve"> </w:t>
      </w:r>
      <w:r>
        <w:rPr>
          <w:color w:val="231F20"/>
        </w:rPr>
        <w:t>Murray</w:t>
      </w:r>
      <w:r>
        <w:rPr>
          <w:color w:val="231F20"/>
          <w:spacing w:val="-13"/>
        </w:rPr>
        <w:t xml:space="preserve"> </w:t>
      </w:r>
      <w:r>
        <w:rPr>
          <w:color w:val="231F20"/>
        </w:rPr>
        <w:t>Street,</w:t>
      </w:r>
      <w:r>
        <w:rPr>
          <w:color w:val="231F20"/>
          <w:spacing w:val="-14"/>
        </w:rPr>
        <w:t xml:space="preserve"> </w:t>
      </w:r>
      <w:r>
        <w:rPr>
          <w:color w:val="231F20"/>
        </w:rPr>
        <w:t>Belfast</w:t>
      </w:r>
      <w:r>
        <w:rPr>
          <w:color w:val="231F20"/>
          <w:spacing w:val="-13"/>
        </w:rPr>
        <w:t xml:space="preserve"> </w:t>
      </w:r>
      <w:r>
        <w:rPr>
          <w:color w:val="231F20"/>
        </w:rPr>
        <w:t>BT1</w:t>
      </w:r>
      <w:r>
        <w:rPr>
          <w:color w:val="231F20"/>
          <w:spacing w:val="-14"/>
        </w:rPr>
        <w:t xml:space="preserve"> </w:t>
      </w:r>
      <w:r>
        <w:rPr>
          <w:color w:val="231F20"/>
        </w:rPr>
        <w:t>6DN</w:t>
      </w:r>
      <w:r>
        <w:rPr>
          <w:color w:val="231F20"/>
          <w:spacing w:val="-13"/>
        </w:rPr>
        <w:t xml:space="preserve"> </w:t>
      </w:r>
      <w:r>
        <w:rPr>
          <w:color w:val="231F20"/>
        </w:rPr>
        <w:t>until</w:t>
      </w:r>
      <w:r>
        <w:rPr>
          <w:color w:val="231F20"/>
          <w:spacing w:val="-13"/>
        </w:rPr>
        <w:t xml:space="preserve"> </w:t>
      </w:r>
      <w:r>
        <w:rPr>
          <w:color w:val="231F20"/>
        </w:rPr>
        <w:t>16</w:t>
      </w:r>
      <w:r>
        <w:rPr>
          <w:color w:val="231F20"/>
          <w:spacing w:val="-13"/>
        </w:rPr>
        <w:t xml:space="preserve"> </w:t>
      </w:r>
      <w:r>
        <w:rPr>
          <w:color w:val="231F20"/>
        </w:rPr>
        <w:t>June</w:t>
      </w:r>
      <w:r>
        <w:rPr>
          <w:color w:val="231F20"/>
          <w:spacing w:val="-13"/>
        </w:rPr>
        <w:t xml:space="preserve"> </w:t>
      </w:r>
      <w:r>
        <w:rPr>
          <w:color w:val="231F20"/>
        </w:rPr>
        <w:t>2022.</w:t>
      </w:r>
      <w:r>
        <w:rPr>
          <w:color w:val="231F20"/>
          <w:spacing w:val="-13"/>
        </w:rPr>
        <w:t xml:space="preserve"> </w:t>
      </w:r>
      <w:r>
        <w:rPr>
          <w:color w:val="231F20"/>
        </w:rPr>
        <w:t>Copies</w:t>
      </w:r>
      <w:r>
        <w:rPr>
          <w:color w:val="231F20"/>
          <w:spacing w:val="-13"/>
        </w:rPr>
        <w:t xml:space="preserve"> </w:t>
      </w:r>
      <w:r>
        <w:rPr>
          <w:color w:val="231F20"/>
        </w:rPr>
        <w:t>of</w:t>
      </w:r>
      <w:r>
        <w:rPr>
          <w:color w:val="231F20"/>
          <w:spacing w:val="-13"/>
        </w:rPr>
        <w:t xml:space="preserve"> </w:t>
      </w:r>
      <w:r>
        <w:rPr>
          <w:color w:val="231F20"/>
        </w:rPr>
        <w:t xml:space="preserve">the </w:t>
      </w:r>
      <w:r w:rsidR="005122BC">
        <w:rPr>
          <w:color w:val="231F20"/>
        </w:rPr>
        <w:t xml:space="preserve">Annual Report and Accounts </w:t>
      </w:r>
      <w:r>
        <w:rPr>
          <w:color w:val="231F20"/>
        </w:rPr>
        <w:t>are</w:t>
      </w:r>
      <w:r>
        <w:rPr>
          <w:color w:val="231F20"/>
          <w:spacing w:val="-9"/>
        </w:rPr>
        <w:t xml:space="preserve"> </w:t>
      </w:r>
      <w:r>
        <w:rPr>
          <w:color w:val="231F20"/>
        </w:rPr>
        <w:t>also</w:t>
      </w:r>
      <w:r>
        <w:rPr>
          <w:color w:val="231F20"/>
          <w:spacing w:val="-9"/>
        </w:rPr>
        <w:t xml:space="preserve"> </w:t>
      </w:r>
      <w:r>
        <w:rPr>
          <w:color w:val="231F20"/>
        </w:rPr>
        <w:t>available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Company’s</w:t>
      </w:r>
      <w:r>
        <w:rPr>
          <w:color w:val="231F20"/>
          <w:spacing w:val="-9"/>
        </w:rPr>
        <w:t xml:space="preserve"> </w:t>
      </w:r>
      <w:r>
        <w:rPr>
          <w:color w:val="231F20"/>
        </w:rPr>
        <w:t>website</w:t>
      </w:r>
      <w:r>
        <w:rPr>
          <w:color w:val="231F20"/>
          <w:spacing w:val="-9"/>
        </w:rPr>
        <w:t xml:space="preserve"> </w:t>
      </w:r>
      <w:hyperlink r:id="rId13">
        <w:proofErr w:type="spellStart"/>
        <w:r>
          <w:rPr>
            <w:color w:val="231F20"/>
          </w:rPr>
          <w:t>www.capitalgearingtrust.com</w:t>
        </w:r>
        <w:proofErr w:type="spellEnd"/>
        <w:r>
          <w:rPr>
            <w:color w:val="231F20"/>
          </w:rPr>
          <w:t>.</w:t>
        </w:r>
      </w:hyperlink>
    </w:p>
    <w:p w:rsidR="00DF6DF8" w:rsidRDefault="00904FCF">
      <w:pPr>
        <w:pStyle w:val="BodyText"/>
        <w:spacing w:before="171" w:line="249" w:lineRule="auto"/>
        <w:ind w:left="117" w:right="175"/>
        <w:jc w:val="both"/>
      </w:pPr>
      <w:r>
        <w:rPr>
          <w:color w:val="231F20"/>
        </w:rPr>
        <w:t xml:space="preserve">This Supplementary Prospectus is available for inspection at </w:t>
      </w:r>
      <w:hyperlink r:id="rId14">
        <w:r>
          <w:rPr>
            <w:color w:val="231F20"/>
          </w:rPr>
          <w:t>http://</w:t>
        </w:r>
        <w:proofErr w:type="spellStart"/>
        <w:r>
          <w:rPr>
            <w:color w:val="231F20"/>
          </w:rPr>
          <w:t>www.morningstar.co.uk</w:t>
        </w:r>
        <w:proofErr w:type="spellEnd"/>
        <w:r>
          <w:rPr>
            <w:color w:val="231F20"/>
          </w:rPr>
          <w:t>/</w:t>
        </w:r>
        <w:proofErr w:type="spellStart"/>
        <w:r>
          <w:rPr>
            <w:color w:val="231F20"/>
          </w:rPr>
          <w:t>uk</w:t>
        </w:r>
        <w:proofErr w:type="spellEnd"/>
        <w:r>
          <w:rPr>
            <w:color w:val="231F20"/>
          </w:rPr>
          <w:t>/NSM</w:t>
        </w:r>
      </w:hyperlink>
      <w:r>
        <w:rPr>
          <w:color w:val="231F20"/>
        </w:rPr>
        <w:t xml:space="preserve"> and, until 16 June 2022, copies are available for collection, free of charge, from the offices of Dickson Minto W.S., Broadgate Tower, 20 Primrose Street, London EC2A 2EW and at the registered office of the Company, Carson McDowell LLP, Murray House, Murray Street, Belfast BT1 6DN. This document is also available on the Company’s website </w:t>
      </w:r>
      <w:hyperlink r:id="rId15">
        <w:proofErr w:type="spellStart"/>
        <w:r>
          <w:rPr>
            <w:color w:val="231F20"/>
          </w:rPr>
          <w:t>www.capitalgearingtrust.com</w:t>
        </w:r>
        <w:proofErr w:type="spellEnd"/>
        <w:r>
          <w:rPr>
            <w:color w:val="231F20"/>
          </w:rPr>
          <w:t>.</w:t>
        </w:r>
      </w:hyperlink>
    </w:p>
    <w:p w:rsidR="00DF6DF8" w:rsidRDefault="00DF6DF8">
      <w:pPr>
        <w:pStyle w:val="BodyText"/>
        <w:spacing w:before="8"/>
        <w:rPr>
          <w:sz w:val="24"/>
        </w:rPr>
      </w:pPr>
    </w:p>
    <w:p w:rsidR="00DF6DF8" w:rsidRDefault="00904FCF">
      <w:pPr>
        <w:pStyle w:val="Heading3"/>
        <w:ind w:left="117"/>
      </w:pPr>
      <w:r>
        <w:rPr>
          <w:color w:val="231F20"/>
        </w:rPr>
        <w:t>General</w:t>
      </w:r>
    </w:p>
    <w:p w:rsidR="00DF6DF8" w:rsidRDefault="00904FCF">
      <w:pPr>
        <w:pStyle w:val="BodyText"/>
        <w:spacing w:before="66" w:line="249" w:lineRule="auto"/>
        <w:ind w:left="117" w:right="175"/>
        <w:jc w:val="both"/>
      </w:pPr>
      <w:r>
        <w:rPr>
          <w:color w:val="231F20"/>
        </w:rPr>
        <w:t xml:space="preserve">To the extent that there is any inconsistency between any statement in or incorporated by reference in this document and any other statement in or incorporated by reference in the </w:t>
      </w:r>
      <w:r w:rsidR="005122BC">
        <w:rPr>
          <w:color w:val="231F20"/>
        </w:rPr>
        <w:t xml:space="preserve">2021 Supplementary Prospectus or the </w:t>
      </w:r>
      <w:r>
        <w:rPr>
          <w:color w:val="231F20"/>
        </w:rPr>
        <w:t>Prospectus, the statements in or incorporated by reference in this document will prevail.</w:t>
      </w:r>
    </w:p>
    <w:p w:rsidR="00DF6DF8" w:rsidRDefault="00904FCF">
      <w:pPr>
        <w:pStyle w:val="BodyText"/>
        <w:spacing w:before="170" w:line="249" w:lineRule="auto"/>
        <w:ind w:left="117" w:right="175"/>
        <w:jc w:val="both"/>
      </w:pPr>
      <w:r>
        <w:rPr>
          <w:color w:val="231F20"/>
        </w:rPr>
        <w:t xml:space="preserve">Save as disclosed in this Supplementary Prospectus, no other significant new factor, material mistake or inaccuracy relating to information included in the </w:t>
      </w:r>
      <w:r w:rsidR="005122BC">
        <w:rPr>
          <w:color w:val="231F20"/>
        </w:rPr>
        <w:t xml:space="preserve">2021 Supplementary Prospectus or the </w:t>
      </w:r>
      <w:r>
        <w:rPr>
          <w:color w:val="231F20"/>
        </w:rPr>
        <w:t>Prospectus has arisen or been noted, as the case may be, since the publication of the Prospectus</w:t>
      </w:r>
      <w:r w:rsidR="00CC5A8F">
        <w:rPr>
          <w:color w:val="231F20"/>
        </w:rPr>
        <w:t xml:space="preserve"> or the 2021 Supplementary Prospectus</w:t>
      </w:r>
      <w:r>
        <w:rPr>
          <w:color w:val="231F20"/>
        </w:rPr>
        <w:t>.</w:t>
      </w:r>
    </w:p>
    <w:p w:rsidR="00DF6DF8" w:rsidRDefault="00F13A6F">
      <w:pPr>
        <w:pStyle w:val="Heading3"/>
        <w:spacing w:before="170"/>
        <w:ind w:left="117"/>
      </w:pPr>
      <w:r>
        <w:rPr>
          <w:color w:val="231F20"/>
        </w:rPr>
        <w:t>30</w:t>
      </w:r>
      <w:r w:rsidR="00904FCF">
        <w:rPr>
          <w:color w:val="231F20"/>
        </w:rPr>
        <w:t xml:space="preserve"> </w:t>
      </w:r>
      <w:r w:rsidR="005122BC">
        <w:rPr>
          <w:color w:val="231F20"/>
        </w:rPr>
        <w:t>May</w:t>
      </w:r>
      <w:r w:rsidR="00904FCF">
        <w:rPr>
          <w:color w:val="231F20"/>
        </w:rPr>
        <w:t xml:space="preserve"> 202</w:t>
      </w:r>
      <w:r w:rsidR="005122BC">
        <w:rPr>
          <w:color w:val="231F20"/>
        </w:rPr>
        <w:t>2</w:t>
      </w:r>
    </w:p>
    <w:sectPr w:rsidR="00DF6DF8">
      <w:type w:val="continuous"/>
      <w:pgSz w:w="11910" w:h="16840"/>
      <w:pgMar w:top="0" w:right="1240" w:bottom="280" w:left="13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9B72" w16cex:dateUtc="2022-05-12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817" w:rsidRDefault="00997817">
      <w:r>
        <w:separator/>
      </w:r>
    </w:p>
  </w:endnote>
  <w:endnote w:type="continuationSeparator" w:id="0">
    <w:p w:rsidR="00997817" w:rsidRDefault="0099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F8" w:rsidRDefault="0092714C">
    <w:pPr>
      <w:pStyle w:val="BodyText"/>
      <w:spacing w:line="14" w:lineRule="auto"/>
    </w:pPr>
    <w:r>
      <w:rPr>
        <w:noProof/>
      </w:rPr>
      <mc:AlternateContent>
        <mc:Choice Requires="wps">
          <w:drawing>
            <wp:anchor distT="0" distB="0" distL="114300" distR="114300" simplePos="0" relativeHeight="503306120" behindDoc="1" locked="0" layoutInCell="1" allowOverlap="1" wp14:anchorId="7C663C17" wp14:editId="2339AE11">
              <wp:simplePos x="0" y="0"/>
              <wp:positionH relativeFrom="page">
                <wp:posOffset>3719195</wp:posOffset>
              </wp:positionH>
              <wp:positionV relativeFrom="page">
                <wp:posOffset>10027920</wp:posOffset>
              </wp:positionV>
              <wp:extent cx="121920" cy="198755"/>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8" w:rsidRDefault="00DF6DF8">
                          <w:pPr>
                            <w:pStyle w:val="BodyText"/>
                            <w:spacing w:before="4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63C17" id="_x0000_t202" coordsize="21600,21600" o:spt="202" path="m,l,21600r21600,l21600,xe">
              <v:stroke joinstyle="miter"/>
              <v:path gradientshapeok="t" o:connecttype="rect"/>
            </v:shapetype>
            <v:shape id="_x0000_s1028" type="#_x0000_t202" style="position:absolute;margin-left:292.85pt;margin-top:789.6pt;width:9.6pt;height:15.6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H2qw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" filled="f" stroked="f">
              <v:textbox inset="0,0,0,0">
                <w:txbxContent>
                  <w:p w:rsidR="00DF6DF8" w:rsidRDefault="00DF6DF8">
                    <w:pPr>
                      <w:pStyle w:val="BodyText"/>
                      <w:spacing w:before="40"/>
                      <w:ind w:left="4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F8" w:rsidRDefault="0092714C">
    <w:pPr>
      <w:pStyle w:val="BodyText"/>
      <w:spacing w:line="14" w:lineRule="auto"/>
    </w:pPr>
    <w:r>
      <w:rPr>
        <w:noProof/>
      </w:rPr>
      <mc:AlternateContent>
        <mc:Choice Requires="wps">
          <w:drawing>
            <wp:anchor distT="0" distB="0" distL="114300" distR="114300" simplePos="0" relativeHeight="503306144" behindDoc="1" locked="0" layoutInCell="1" allowOverlap="1" wp14:anchorId="791C42D3" wp14:editId="4C983B4E">
              <wp:simplePos x="0" y="0"/>
              <wp:positionH relativeFrom="page">
                <wp:posOffset>3719195</wp:posOffset>
              </wp:positionH>
              <wp:positionV relativeFrom="page">
                <wp:posOffset>10027920</wp:posOffset>
              </wp:positionV>
              <wp:extent cx="121920" cy="198755"/>
              <wp:effectExtent l="444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8" w:rsidRDefault="00904FCF">
                          <w:pPr>
                            <w:pStyle w:val="BodyText"/>
                            <w:spacing w:before="40"/>
                            <w:ind w:left="40"/>
                          </w:pPr>
                          <w:r>
                            <w:fldChar w:fldCharType="begin"/>
                          </w:r>
                          <w:r>
                            <w:rPr>
                              <w:color w:val="231F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C42D3" id="_x0000_t202" coordsize="21600,21600" o:spt="202" path="m,l,21600r21600,l21600,xe">
              <v:stroke joinstyle="miter"/>
              <v:path gradientshapeok="t" o:connecttype="rect"/>
            </v:shapetype>
            <v:shape id="Text Box 2" o:spid="_x0000_s1029" type="#_x0000_t202" style="position:absolute;margin-left:292.85pt;margin-top:789.6pt;width:9.6pt;height:15.6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Nz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" filled="f" stroked="f">
              <v:textbox inset="0,0,0,0">
                <w:txbxContent>
                  <w:p w:rsidR="00DF6DF8" w:rsidRDefault="00904FCF">
                    <w:pPr>
                      <w:pStyle w:val="BodyText"/>
                      <w:spacing w:before="40"/>
                      <w:ind w:left="40"/>
                    </w:pPr>
                    <w:r>
                      <w:fldChar w:fldCharType="begin"/>
                    </w:r>
                    <w:r>
                      <w:rPr>
                        <w:color w:val="231F20"/>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F8" w:rsidRDefault="0092714C">
    <w:pPr>
      <w:pStyle w:val="BodyText"/>
      <w:spacing w:line="14" w:lineRule="auto"/>
    </w:pPr>
    <w:r>
      <w:rPr>
        <w:noProof/>
      </w:rPr>
      <mc:AlternateContent>
        <mc:Choice Requires="wps">
          <w:drawing>
            <wp:anchor distT="0" distB="0" distL="114300" distR="114300" simplePos="0" relativeHeight="503306168" behindDoc="1" locked="0" layoutInCell="1" allowOverlap="1" wp14:anchorId="4C3C9E40" wp14:editId="54491162">
              <wp:simplePos x="0" y="0"/>
              <wp:positionH relativeFrom="page">
                <wp:posOffset>3719195</wp:posOffset>
              </wp:positionH>
              <wp:positionV relativeFrom="page">
                <wp:posOffset>10027920</wp:posOffset>
              </wp:positionV>
              <wp:extent cx="121920" cy="198755"/>
              <wp:effectExtent l="444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DF8" w:rsidRDefault="00904FCF">
                          <w:pPr>
                            <w:pStyle w:val="BodyText"/>
                            <w:spacing w:before="40"/>
                            <w:ind w:left="40"/>
                          </w:pPr>
                          <w:r>
                            <w:fldChar w:fldCharType="begin"/>
                          </w:r>
                          <w:r>
                            <w:rPr>
                              <w:color w:val="231F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9E40" id="_x0000_t202" coordsize="21600,21600" o:spt="202" path="m,l,21600r21600,l21600,xe">
              <v:stroke joinstyle="miter"/>
              <v:path gradientshapeok="t" o:connecttype="rect"/>
            </v:shapetype>
            <v:shape id="Text Box 1" o:spid="_x0000_s1030" type="#_x0000_t202" style="position:absolute;margin-left:292.85pt;margin-top:789.6pt;width:9.6pt;height:15.65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" filled="f" stroked="f">
              <v:textbox inset="0,0,0,0">
                <w:txbxContent>
                  <w:p w:rsidR="00DF6DF8" w:rsidRDefault="00904FCF">
                    <w:pPr>
                      <w:pStyle w:val="BodyText"/>
                      <w:spacing w:before="40"/>
                      <w:ind w:left="40"/>
                    </w:pPr>
                    <w:r>
                      <w:fldChar w:fldCharType="begin"/>
                    </w:r>
                    <w:r>
                      <w:rPr>
                        <w:color w:val="231F20"/>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817" w:rsidRDefault="00997817">
      <w:r>
        <w:separator/>
      </w:r>
    </w:p>
  </w:footnote>
  <w:footnote w:type="continuationSeparator" w:id="0">
    <w:p w:rsidR="00997817" w:rsidRDefault="0099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F8" w:rsidRDefault="00DF6DF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F8" w:rsidRDefault="00DF6DF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F8" w:rsidRDefault="00DF6DF8">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F8"/>
    <w:rsid w:val="000F0043"/>
    <w:rsid w:val="001069D7"/>
    <w:rsid w:val="0012335A"/>
    <w:rsid w:val="001766FE"/>
    <w:rsid w:val="002570B0"/>
    <w:rsid w:val="002F61DC"/>
    <w:rsid w:val="003568DB"/>
    <w:rsid w:val="004B47B2"/>
    <w:rsid w:val="005122BC"/>
    <w:rsid w:val="00526410"/>
    <w:rsid w:val="005361B2"/>
    <w:rsid w:val="00570076"/>
    <w:rsid w:val="00595730"/>
    <w:rsid w:val="005F4F3E"/>
    <w:rsid w:val="0066794C"/>
    <w:rsid w:val="00712A93"/>
    <w:rsid w:val="007D6DC7"/>
    <w:rsid w:val="008B09D1"/>
    <w:rsid w:val="008B2943"/>
    <w:rsid w:val="00904FCF"/>
    <w:rsid w:val="00911269"/>
    <w:rsid w:val="00916AB7"/>
    <w:rsid w:val="0092714C"/>
    <w:rsid w:val="00940B22"/>
    <w:rsid w:val="009477D2"/>
    <w:rsid w:val="009606BF"/>
    <w:rsid w:val="00964F8E"/>
    <w:rsid w:val="00997817"/>
    <w:rsid w:val="009D32B5"/>
    <w:rsid w:val="00A06BE2"/>
    <w:rsid w:val="00A07015"/>
    <w:rsid w:val="00A10793"/>
    <w:rsid w:val="00B31120"/>
    <w:rsid w:val="00BE0D53"/>
    <w:rsid w:val="00C129F6"/>
    <w:rsid w:val="00C45346"/>
    <w:rsid w:val="00CC4285"/>
    <w:rsid w:val="00CC5A8F"/>
    <w:rsid w:val="00D92AE1"/>
    <w:rsid w:val="00DF6DF8"/>
    <w:rsid w:val="00E902E4"/>
    <w:rsid w:val="00ED3898"/>
    <w:rsid w:val="00EE2C4E"/>
    <w:rsid w:val="00EE4163"/>
    <w:rsid w:val="00F0282B"/>
    <w:rsid w:val="00F06D4F"/>
    <w:rsid w:val="00F13A6F"/>
    <w:rsid w:val="00F2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88E5"/>
  <w15:docId w15:val="{72C528D5-8EBA-437E-B0A7-181474DD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13"/>
      <w:outlineLvl w:val="0"/>
    </w:pPr>
    <w:rPr>
      <w:rFonts w:ascii="Lucida Sans" w:eastAsia="Lucida Sans" w:hAnsi="Lucida Sans" w:cs="Lucida Sans"/>
      <w:sz w:val="28"/>
      <w:szCs w:val="28"/>
    </w:rPr>
  </w:style>
  <w:style w:type="paragraph" w:styleId="Heading2">
    <w:name w:val="heading 2"/>
    <w:basedOn w:val="Normal"/>
    <w:uiPriority w:val="9"/>
    <w:unhideWhenUsed/>
    <w:qFormat/>
    <w:pPr>
      <w:spacing w:before="105"/>
      <w:ind w:left="828"/>
      <w:outlineLvl w:val="1"/>
    </w:pPr>
    <w:rPr>
      <w:b/>
      <w:bCs/>
      <w:sz w:val="24"/>
      <w:szCs w:val="24"/>
    </w:rPr>
  </w:style>
  <w:style w:type="paragraph" w:styleId="Heading3">
    <w:name w:val="heading 3"/>
    <w:basedOn w:val="Normal"/>
    <w:uiPriority w:val="9"/>
    <w:unhideWhenUsed/>
    <w:qFormat/>
    <w:pPr>
      <w:ind w:left="157"/>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50"/>
    </w:pPr>
  </w:style>
  <w:style w:type="paragraph" w:styleId="Header">
    <w:name w:val="header"/>
    <w:basedOn w:val="Normal"/>
    <w:link w:val="HeaderChar"/>
    <w:uiPriority w:val="99"/>
    <w:unhideWhenUsed/>
    <w:rsid w:val="00904FCF"/>
    <w:pPr>
      <w:tabs>
        <w:tab w:val="center" w:pos="4513"/>
        <w:tab w:val="right" w:pos="9026"/>
      </w:tabs>
    </w:pPr>
  </w:style>
  <w:style w:type="character" w:customStyle="1" w:styleId="HeaderChar">
    <w:name w:val="Header Char"/>
    <w:basedOn w:val="DefaultParagraphFont"/>
    <w:link w:val="Header"/>
    <w:uiPriority w:val="99"/>
    <w:rsid w:val="00904FCF"/>
    <w:rPr>
      <w:rFonts w:ascii="Arial" w:eastAsia="Arial" w:hAnsi="Arial" w:cs="Arial"/>
    </w:rPr>
  </w:style>
  <w:style w:type="paragraph" w:styleId="Footer">
    <w:name w:val="footer"/>
    <w:basedOn w:val="Normal"/>
    <w:link w:val="FooterChar"/>
    <w:uiPriority w:val="99"/>
    <w:unhideWhenUsed/>
    <w:rsid w:val="00904FCF"/>
    <w:pPr>
      <w:tabs>
        <w:tab w:val="center" w:pos="4513"/>
        <w:tab w:val="right" w:pos="9026"/>
      </w:tabs>
    </w:pPr>
  </w:style>
  <w:style w:type="character" w:customStyle="1" w:styleId="FooterChar">
    <w:name w:val="Footer Char"/>
    <w:basedOn w:val="DefaultParagraphFont"/>
    <w:link w:val="Footer"/>
    <w:uiPriority w:val="99"/>
    <w:rsid w:val="00904FCF"/>
    <w:rPr>
      <w:rFonts w:ascii="Arial" w:eastAsia="Arial" w:hAnsi="Arial" w:cs="Arial"/>
    </w:rPr>
  </w:style>
  <w:style w:type="paragraph" w:styleId="Revision">
    <w:name w:val="Revision"/>
    <w:hidden/>
    <w:uiPriority w:val="99"/>
    <w:semiHidden/>
    <w:rsid w:val="00EE2C4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E2C4E"/>
    <w:rPr>
      <w:sz w:val="16"/>
      <w:szCs w:val="16"/>
    </w:rPr>
  </w:style>
  <w:style w:type="paragraph" w:styleId="CommentText">
    <w:name w:val="annotation text"/>
    <w:basedOn w:val="Normal"/>
    <w:link w:val="CommentTextChar"/>
    <w:uiPriority w:val="99"/>
    <w:unhideWhenUsed/>
    <w:rsid w:val="00EE2C4E"/>
    <w:rPr>
      <w:sz w:val="20"/>
      <w:szCs w:val="20"/>
    </w:rPr>
  </w:style>
  <w:style w:type="character" w:customStyle="1" w:styleId="CommentTextChar">
    <w:name w:val="Comment Text Char"/>
    <w:basedOn w:val="DefaultParagraphFont"/>
    <w:link w:val="CommentText"/>
    <w:uiPriority w:val="99"/>
    <w:rsid w:val="00EE2C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2C4E"/>
    <w:rPr>
      <w:b/>
      <w:bCs/>
    </w:rPr>
  </w:style>
  <w:style w:type="character" w:customStyle="1" w:styleId="CommentSubjectChar">
    <w:name w:val="Comment Subject Char"/>
    <w:basedOn w:val="CommentTextChar"/>
    <w:link w:val="CommentSubject"/>
    <w:uiPriority w:val="99"/>
    <w:semiHidden/>
    <w:rsid w:val="00EE2C4E"/>
    <w:rPr>
      <w:rFonts w:ascii="Arial" w:eastAsia="Arial" w:hAnsi="Arial" w:cs="Arial"/>
      <w:b/>
      <w:bCs/>
      <w:sz w:val="20"/>
      <w:szCs w:val="20"/>
    </w:rPr>
  </w:style>
  <w:style w:type="paragraph" w:styleId="BalloonText">
    <w:name w:val="Balloon Text"/>
    <w:basedOn w:val="Normal"/>
    <w:link w:val="BalloonTextChar"/>
    <w:uiPriority w:val="99"/>
    <w:semiHidden/>
    <w:unhideWhenUsed/>
    <w:rsid w:val="00916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AB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pitalgearingtrust.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pitalgearingtrust.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capitalgearingtrust.com/"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morningstar.co.uk/uk/NS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Layout 3</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3</dc:title>
  <dc:creator>David Holland</dc:creator>
  <cp:lastModifiedBy>Dickson Minto</cp:lastModifiedBy>
  <cp:revision>14</cp:revision>
  <cp:lastPrinted>2022-05-12T11:40:00Z</cp:lastPrinted>
  <dcterms:created xsi:type="dcterms:W3CDTF">2022-05-12T13:40:00Z</dcterms:created>
  <dcterms:modified xsi:type="dcterms:W3CDTF">2022-05-27T13:29:00Z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QuarkXPress(R) 7.5</vt:lpwstr>
  </property>
  <property fmtid="{D5CDD505-2E9C-101B-9397-08002B2CF9AE}" pid="4" name="LastSaved">
    <vt:filetime>2021-11-03T00:00:00Z</vt:filetime>
  </property>
</Properties>
</file>