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9982" w14:textId="77777777" w:rsidR="003460C7" w:rsidRPr="00B93573" w:rsidRDefault="003460C7">
      <w:pPr>
        <w:pStyle w:val="Title"/>
        <w:rPr>
          <w:rFonts w:ascii="Tahoma" w:hAnsi="Tahoma" w:cs="Tahoma"/>
          <w:szCs w:val="22"/>
        </w:rPr>
      </w:pPr>
    </w:p>
    <w:p w14:paraId="1F060AA9" w14:textId="77777777" w:rsidR="001F43C6" w:rsidRPr="00B93573" w:rsidRDefault="004130A8">
      <w:pPr>
        <w:pStyle w:val="Title"/>
        <w:rPr>
          <w:rFonts w:ascii="Tahoma" w:hAnsi="Tahoma" w:cs="Tahoma"/>
          <w:szCs w:val="22"/>
        </w:rPr>
      </w:pPr>
      <w:r w:rsidRPr="00B93573">
        <w:rPr>
          <w:rFonts w:ascii="Tahoma" w:hAnsi="Tahoma" w:cs="Tahoma"/>
          <w:szCs w:val="22"/>
        </w:rPr>
        <w:t>STV G</w:t>
      </w:r>
      <w:r w:rsidR="00CA64EB" w:rsidRPr="00B93573">
        <w:rPr>
          <w:rFonts w:ascii="Tahoma" w:hAnsi="Tahoma" w:cs="Tahoma"/>
          <w:szCs w:val="22"/>
        </w:rPr>
        <w:t xml:space="preserve">roup </w:t>
      </w:r>
      <w:r w:rsidR="001F43C6" w:rsidRPr="00B93573">
        <w:rPr>
          <w:rFonts w:ascii="Tahoma" w:hAnsi="Tahoma" w:cs="Tahoma"/>
          <w:szCs w:val="22"/>
        </w:rPr>
        <w:t>plc</w:t>
      </w:r>
    </w:p>
    <w:p w14:paraId="45D3C797" w14:textId="77777777" w:rsidR="001F43C6" w:rsidRPr="00B93573" w:rsidRDefault="001F43C6">
      <w:pPr>
        <w:rPr>
          <w:rFonts w:ascii="Tahoma" w:hAnsi="Tahoma" w:cs="Tahoma"/>
          <w:sz w:val="22"/>
          <w:szCs w:val="22"/>
          <w:lang w:val="en-GB"/>
        </w:rPr>
      </w:pPr>
    </w:p>
    <w:p w14:paraId="689CCFA8" w14:textId="77777777" w:rsidR="001F43C6" w:rsidRPr="00B93573" w:rsidRDefault="001F43C6">
      <w:pPr>
        <w:pStyle w:val="Heading1"/>
        <w:rPr>
          <w:rFonts w:ascii="Tahoma" w:hAnsi="Tahoma" w:cs="Tahoma"/>
          <w:szCs w:val="22"/>
        </w:rPr>
      </w:pPr>
      <w:r w:rsidRPr="00B93573">
        <w:rPr>
          <w:rFonts w:ascii="Tahoma" w:hAnsi="Tahoma" w:cs="Tahoma"/>
          <w:szCs w:val="22"/>
        </w:rPr>
        <w:t>Company No. SC203873</w:t>
      </w:r>
    </w:p>
    <w:p w14:paraId="62D75E22" w14:textId="77777777" w:rsidR="001F43C6" w:rsidRPr="00B93573" w:rsidRDefault="001F43C6">
      <w:pPr>
        <w:rPr>
          <w:rFonts w:ascii="Tahoma" w:hAnsi="Tahoma" w:cs="Tahoma"/>
          <w:sz w:val="22"/>
          <w:szCs w:val="22"/>
          <w:lang w:val="en-GB"/>
        </w:rPr>
      </w:pPr>
    </w:p>
    <w:p w14:paraId="7B433316" w14:textId="7B82F2A5" w:rsidR="001F43C6" w:rsidRPr="00B93573" w:rsidRDefault="00C75C79">
      <w:pPr>
        <w:pStyle w:val="BodyText"/>
        <w:tabs>
          <w:tab w:val="center" w:pos="7920"/>
        </w:tabs>
        <w:rPr>
          <w:rFonts w:ascii="Tahoma" w:hAnsi="Tahoma" w:cs="Tahoma"/>
          <w:szCs w:val="22"/>
        </w:rPr>
      </w:pPr>
      <w:r w:rsidRPr="00B93573">
        <w:rPr>
          <w:rFonts w:ascii="Tahoma" w:hAnsi="Tahoma" w:cs="Tahoma"/>
          <w:szCs w:val="22"/>
        </w:rPr>
        <w:t>At the</w:t>
      </w:r>
      <w:r w:rsidR="001F43C6" w:rsidRPr="00B93573">
        <w:rPr>
          <w:rFonts w:ascii="Tahoma" w:hAnsi="Tahoma" w:cs="Tahoma"/>
          <w:szCs w:val="22"/>
        </w:rPr>
        <w:t xml:space="preserve"> Annual General Meeting of </w:t>
      </w:r>
      <w:r w:rsidR="004130A8" w:rsidRPr="00B93573">
        <w:rPr>
          <w:rFonts w:ascii="Tahoma" w:hAnsi="Tahoma" w:cs="Tahoma"/>
          <w:szCs w:val="22"/>
        </w:rPr>
        <w:t>STV Gr</w:t>
      </w:r>
      <w:r w:rsidR="00CA64EB" w:rsidRPr="00B93573">
        <w:rPr>
          <w:rFonts w:ascii="Tahoma" w:hAnsi="Tahoma" w:cs="Tahoma"/>
          <w:szCs w:val="22"/>
        </w:rPr>
        <w:t xml:space="preserve">oup </w:t>
      </w:r>
      <w:r w:rsidRPr="00B93573">
        <w:rPr>
          <w:rFonts w:ascii="Tahoma" w:hAnsi="Tahoma" w:cs="Tahoma"/>
          <w:szCs w:val="22"/>
        </w:rPr>
        <w:t>plc</w:t>
      </w:r>
      <w:r w:rsidR="001F43C6" w:rsidRPr="00B93573">
        <w:rPr>
          <w:rFonts w:ascii="Tahoma" w:hAnsi="Tahoma" w:cs="Tahoma"/>
          <w:szCs w:val="22"/>
        </w:rPr>
        <w:t xml:space="preserve"> held on </w:t>
      </w:r>
      <w:r w:rsidR="008725AB">
        <w:rPr>
          <w:rFonts w:ascii="Tahoma" w:hAnsi="Tahoma" w:cs="Tahoma"/>
          <w:szCs w:val="22"/>
        </w:rPr>
        <w:t>2</w:t>
      </w:r>
      <w:r w:rsidR="007C1B42">
        <w:rPr>
          <w:rFonts w:ascii="Tahoma" w:hAnsi="Tahoma" w:cs="Tahoma"/>
          <w:szCs w:val="22"/>
        </w:rPr>
        <w:t>1</w:t>
      </w:r>
      <w:r w:rsidR="00F0389A">
        <w:rPr>
          <w:rFonts w:ascii="Tahoma" w:hAnsi="Tahoma" w:cs="Tahoma"/>
          <w:szCs w:val="22"/>
        </w:rPr>
        <w:t xml:space="preserve"> April 202</w:t>
      </w:r>
      <w:r w:rsidR="007C1B42">
        <w:rPr>
          <w:rFonts w:ascii="Tahoma" w:hAnsi="Tahoma" w:cs="Tahoma"/>
          <w:szCs w:val="22"/>
        </w:rPr>
        <w:t>2</w:t>
      </w:r>
      <w:r w:rsidRPr="00B93573">
        <w:rPr>
          <w:rFonts w:ascii="Tahoma" w:hAnsi="Tahoma" w:cs="Tahoma"/>
          <w:szCs w:val="22"/>
        </w:rPr>
        <w:t>,</w:t>
      </w:r>
      <w:r w:rsidR="001F43C6" w:rsidRPr="00B93573">
        <w:rPr>
          <w:rFonts w:ascii="Tahoma" w:hAnsi="Tahoma" w:cs="Tahoma"/>
          <w:szCs w:val="22"/>
        </w:rPr>
        <w:t xml:space="preserve"> the following Resolutions were duly passed:-</w:t>
      </w:r>
    </w:p>
    <w:p w14:paraId="5C0BD30B" w14:textId="77777777" w:rsidR="001F43C6" w:rsidRPr="00B93573" w:rsidRDefault="001F43C6">
      <w:pPr>
        <w:pStyle w:val="BodyText"/>
        <w:tabs>
          <w:tab w:val="center" w:pos="7920"/>
        </w:tabs>
        <w:rPr>
          <w:rFonts w:ascii="Tahoma" w:hAnsi="Tahoma" w:cs="Tahoma"/>
          <w:szCs w:val="22"/>
        </w:rPr>
      </w:pPr>
    </w:p>
    <w:p w14:paraId="4CAC372B" w14:textId="77777777" w:rsidR="00C75C79" w:rsidRPr="00B93573" w:rsidRDefault="00C75C79" w:rsidP="006F423E">
      <w:pPr>
        <w:rPr>
          <w:rFonts w:ascii="Tahoma" w:hAnsi="Tahoma" w:cs="Tahoma"/>
          <w:b/>
          <w:sz w:val="22"/>
          <w:szCs w:val="22"/>
          <w:u w:val="single"/>
        </w:rPr>
      </w:pPr>
      <w:r w:rsidRPr="00B93573">
        <w:rPr>
          <w:rFonts w:ascii="Tahoma" w:hAnsi="Tahoma" w:cs="Tahoma"/>
          <w:b/>
          <w:sz w:val="22"/>
          <w:szCs w:val="22"/>
          <w:u w:val="single"/>
        </w:rPr>
        <w:t>O</w:t>
      </w:r>
      <w:r w:rsidR="006F423E" w:rsidRPr="00B93573">
        <w:rPr>
          <w:rFonts w:ascii="Tahoma" w:hAnsi="Tahoma" w:cs="Tahoma"/>
          <w:b/>
          <w:sz w:val="22"/>
          <w:szCs w:val="22"/>
          <w:u w:val="single"/>
        </w:rPr>
        <w:t>rdinary Resolutions</w:t>
      </w:r>
    </w:p>
    <w:p w14:paraId="05CD553A" w14:textId="77777777" w:rsidR="00C75C79" w:rsidRPr="00B93573" w:rsidRDefault="00C75C79" w:rsidP="00C75C79">
      <w:pPr>
        <w:rPr>
          <w:rFonts w:ascii="Tahoma" w:hAnsi="Tahoma" w:cs="Tahoma"/>
          <w:sz w:val="22"/>
          <w:szCs w:val="22"/>
          <w:lang w:val="en-GB"/>
        </w:rPr>
      </w:pPr>
    </w:p>
    <w:p w14:paraId="314B3510" w14:textId="77777777" w:rsidR="0069740D" w:rsidRPr="00B93573" w:rsidRDefault="0069740D" w:rsidP="00C75C79">
      <w:pPr>
        <w:rPr>
          <w:rFonts w:ascii="Tahoma" w:hAnsi="Tahoma" w:cs="Tahoma"/>
          <w:sz w:val="22"/>
          <w:szCs w:val="22"/>
          <w:lang w:val="en-GB"/>
        </w:rPr>
      </w:pPr>
    </w:p>
    <w:p w14:paraId="2D3F79FC" w14:textId="457575D8" w:rsidR="00B93573" w:rsidRPr="00B93573" w:rsidRDefault="001F5211" w:rsidP="00B93573">
      <w:pPr>
        <w:pStyle w:val="NoticeofAGMtabbed"/>
        <w:spacing w:line="288" w:lineRule="auto"/>
        <w:jc w:val="both"/>
        <w:rPr>
          <w:rFonts w:ascii="Tahoma" w:hAnsi="Tahoma" w:cs="Tahoma"/>
          <w:sz w:val="22"/>
          <w:szCs w:val="22"/>
          <w:lang w:val="en-US"/>
        </w:rPr>
      </w:pPr>
      <w:r w:rsidRPr="00B93573">
        <w:rPr>
          <w:rFonts w:ascii="Tahoma" w:hAnsi="Tahoma" w:cs="Tahoma"/>
          <w:sz w:val="22"/>
          <w:szCs w:val="22"/>
          <w:lang w:val="en-US"/>
        </w:rPr>
        <w:t>1.</w:t>
      </w:r>
      <w:r w:rsidRPr="00B93573">
        <w:rPr>
          <w:rFonts w:ascii="Tahoma" w:hAnsi="Tahoma" w:cs="Tahoma"/>
          <w:sz w:val="22"/>
          <w:szCs w:val="22"/>
          <w:lang w:val="en-US"/>
        </w:rPr>
        <w:tab/>
        <w:t>“</w:t>
      </w:r>
      <w:r w:rsidR="00B93573" w:rsidRPr="00B93573">
        <w:rPr>
          <w:rFonts w:ascii="Tahoma" w:hAnsi="Tahoma" w:cs="Tahoma"/>
          <w:sz w:val="22"/>
          <w:szCs w:val="22"/>
          <w:lang w:val="en-US"/>
        </w:rPr>
        <w:t>To receive the annual accounts of the Company for the financial year ended 31 December 20</w:t>
      </w:r>
      <w:r w:rsidR="00E2524D">
        <w:rPr>
          <w:rFonts w:ascii="Tahoma" w:hAnsi="Tahoma" w:cs="Tahoma"/>
          <w:sz w:val="22"/>
          <w:szCs w:val="22"/>
          <w:lang w:val="en-US"/>
        </w:rPr>
        <w:t>2</w:t>
      </w:r>
      <w:r w:rsidR="007C1B42">
        <w:rPr>
          <w:rFonts w:ascii="Tahoma" w:hAnsi="Tahoma" w:cs="Tahoma"/>
          <w:sz w:val="22"/>
          <w:szCs w:val="22"/>
          <w:lang w:val="en-US"/>
        </w:rPr>
        <w:t>1</w:t>
      </w:r>
      <w:r w:rsidR="0055541E">
        <w:rPr>
          <w:rFonts w:ascii="Tahoma" w:hAnsi="Tahoma" w:cs="Tahoma"/>
          <w:sz w:val="22"/>
          <w:szCs w:val="22"/>
          <w:lang w:val="en-US"/>
        </w:rPr>
        <w:t xml:space="preserve"> </w:t>
      </w:r>
      <w:r w:rsidR="00B93573" w:rsidRPr="00B93573">
        <w:rPr>
          <w:rFonts w:ascii="Tahoma" w:hAnsi="Tahoma" w:cs="Tahoma"/>
          <w:sz w:val="22"/>
          <w:szCs w:val="22"/>
          <w:lang w:val="en-US"/>
        </w:rPr>
        <w:t xml:space="preserve">which </w:t>
      </w:r>
      <w:r w:rsidR="00B93573">
        <w:rPr>
          <w:rFonts w:ascii="Tahoma" w:hAnsi="Tahoma" w:cs="Tahoma"/>
          <w:sz w:val="22"/>
          <w:szCs w:val="22"/>
          <w:lang w:val="en-US"/>
        </w:rPr>
        <w:tab/>
      </w:r>
      <w:r w:rsidR="00B93573" w:rsidRPr="00B93573">
        <w:rPr>
          <w:rFonts w:ascii="Tahoma" w:hAnsi="Tahoma" w:cs="Tahoma"/>
          <w:sz w:val="22"/>
          <w:szCs w:val="22"/>
          <w:lang w:val="en-US"/>
        </w:rPr>
        <w:t xml:space="preserve">includes the reports of the </w:t>
      </w:r>
      <w:r w:rsidR="00855E1F">
        <w:rPr>
          <w:rFonts w:ascii="Tahoma" w:hAnsi="Tahoma" w:cs="Tahoma"/>
          <w:sz w:val="22"/>
          <w:szCs w:val="22"/>
          <w:lang w:val="en-US"/>
        </w:rPr>
        <w:t>D</w:t>
      </w:r>
      <w:r w:rsidR="00B93573" w:rsidRPr="00B93573">
        <w:rPr>
          <w:rFonts w:ascii="Tahoma" w:hAnsi="Tahoma" w:cs="Tahoma"/>
          <w:sz w:val="22"/>
          <w:szCs w:val="22"/>
          <w:lang w:val="en-US"/>
        </w:rPr>
        <w:t xml:space="preserve">irectors and the report by the auditors on the annual accounts and the </w:t>
      </w:r>
      <w:r w:rsidR="00B93573">
        <w:rPr>
          <w:rFonts w:ascii="Tahoma" w:hAnsi="Tahoma" w:cs="Tahoma"/>
          <w:sz w:val="22"/>
          <w:szCs w:val="22"/>
          <w:lang w:val="en-US"/>
        </w:rPr>
        <w:tab/>
        <w:t>a</w:t>
      </w:r>
      <w:r w:rsidR="00B93573" w:rsidRPr="00B93573">
        <w:rPr>
          <w:rFonts w:ascii="Tahoma" w:hAnsi="Tahoma" w:cs="Tahoma"/>
          <w:sz w:val="22"/>
          <w:szCs w:val="22"/>
          <w:lang w:val="en-US"/>
        </w:rPr>
        <w:t xml:space="preserve">uditable part of the </w:t>
      </w:r>
      <w:r w:rsidR="008725AB">
        <w:rPr>
          <w:rFonts w:ascii="Tahoma" w:hAnsi="Tahoma" w:cs="Tahoma"/>
          <w:sz w:val="22"/>
          <w:szCs w:val="22"/>
          <w:lang w:val="en-US"/>
        </w:rPr>
        <w:t>D</w:t>
      </w:r>
      <w:r w:rsidR="00B93573" w:rsidRPr="00B93573">
        <w:rPr>
          <w:rFonts w:ascii="Tahoma" w:hAnsi="Tahoma" w:cs="Tahoma"/>
          <w:sz w:val="22"/>
          <w:szCs w:val="22"/>
          <w:lang w:val="en-US"/>
        </w:rPr>
        <w:t xml:space="preserve">irectors’ </w:t>
      </w:r>
      <w:r w:rsidR="00E235E1">
        <w:rPr>
          <w:rFonts w:ascii="Tahoma" w:hAnsi="Tahoma" w:cs="Tahoma"/>
          <w:sz w:val="22"/>
          <w:szCs w:val="22"/>
          <w:lang w:val="en-US"/>
        </w:rPr>
        <w:t>R</w:t>
      </w:r>
      <w:r w:rsidR="00B93573" w:rsidRPr="00B93573">
        <w:rPr>
          <w:rFonts w:ascii="Tahoma" w:hAnsi="Tahoma" w:cs="Tahoma"/>
          <w:sz w:val="22"/>
          <w:szCs w:val="22"/>
          <w:lang w:val="en-US"/>
        </w:rPr>
        <w:t xml:space="preserve">emuneration </w:t>
      </w:r>
      <w:r w:rsidR="00E235E1">
        <w:rPr>
          <w:rFonts w:ascii="Tahoma" w:hAnsi="Tahoma" w:cs="Tahoma"/>
          <w:sz w:val="22"/>
          <w:szCs w:val="22"/>
          <w:lang w:val="en-US"/>
        </w:rPr>
        <w:t>R</w:t>
      </w:r>
      <w:r w:rsidR="00B93573" w:rsidRPr="00B93573">
        <w:rPr>
          <w:rFonts w:ascii="Tahoma" w:hAnsi="Tahoma" w:cs="Tahoma"/>
          <w:sz w:val="22"/>
          <w:szCs w:val="22"/>
          <w:lang w:val="en-US"/>
        </w:rPr>
        <w:t>eport.”</w:t>
      </w:r>
    </w:p>
    <w:p w14:paraId="773783D9" w14:textId="77777777" w:rsidR="001F5211" w:rsidRPr="00B93573" w:rsidRDefault="001F5211" w:rsidP="001F5211">
      <w:pPr>
        <w:pStyle w:val="NoticeofAGMtabbed"/>
        <w:spacing w:line="288" w:lineRule="auto"/>
        <w:ind w:left="283" w:hanging="283"/>
        <w:jc w:val="both"/>
        <w:rPr>
          <w:rFonts w:ascii="Tahoma" w:hAnsi="Tahoma" w:cs="Tahoma"/>
          <w:sz w:val="22"/>
          <w:szCs w:val="22"/>
          <w:lang w:val="en-US"/>
        </w:rPr>
      </w:pPr>
    </w:p>
    <w:p w14:paraId="27CA0ABA" w14:textId="7E5422B5" w:rsidR="001F5211" w:rsidRDefault="001F5211" w:rsidP="001F5211">
      <w:pPr>
        <w:pStyle w:val="NoticeofAGMtabbed"/>
        <w:spacing w:line="288" w:lineRule="auto"/>
        <w:ind w:left="283" w:hanging="283"/>
        <w:jc w:val="both"/>
        <w:rPr>
          <w:rFonts w:ascii="Tahoma" w:hAnsi="Tahoma" w:cs="Tahoma"/>
          <w:sz w:val="22"/>
          <w:szCs w:val="22"/>
          <w:lang w:val="en-US"/>
        </w:rPr>
      </w:pPr>
      <w:r w:rsidRPr="00B93573">
        <w:rPr>
          <w:rFonts w:ascii="Tahoma" w:hAnsi="Tahoma" w:cs="Tahoma"/>
          <w:sz w:val="22"/>
          <w:szCs w:val="22"/>
          <w:lang w:val="en-US"/>
        </w:rPr>
        <w:t>2.</w:t>
      </w:r>
      <w:r w:rsidRPr="00B93573">
        <w:rPr>
          <w:rFonts w:ascii="Tahoma" w:hAnsi="Tahoma" w:cs="Tahoma"/>
          <w:sz w:val="22"/>
          <w:szCs w:val="22"/>
          <w:lang w:val="en-US"/>
        </w:rPr>
        <w:tab/>
        <w:t xml:space="preserve">“To approve the </w:t>
      </w:r>
      <w:r w:rsidR="008725AB">
        <w:rPr>
          <w:rFonts w:ascii="Tahoma" w:hAnsi="Tahoma" w:cs="Tahoma"/>
          <w:sz w:val="22"/>
          <w:szCs w:val="22"/>
          <w:lang w:val="en-US"/>
        </w:rPr>
        <w:t>D</w:t>
      </w:r>
      <w:r w:rsidRPr="00B93573">
        <w:rPr>
          <w:rFonts w:ascii="Tahoma" w:hAnsi="Tahoma" w:cs="Tahoma"/>
          <w:sz w:val="22"/>
          <w:szCs w:val="22"/>
          <w:lang w:val="en-US"/>
        </w:rPr>
        <w:t xml:space="preserve">irectors’ </w:t>
      </w:r>
      <w:r w:rsidR="00E235E1">
        <w:rPr>
          <w:rFonts w:ascii="Tahoma" w:hAnsi="Tahoma" w:cs="Tahoma"/>
          <w:sz w:val="22"/>
          <w:szCs w:val="22"/>
          <w:lang w:val="en-US"/>
        </w:rPr>
        <w:t>R</w:t>
      </w:r>
      <w:r w:rsidRPr="00B93573">
        <w:rPr>
          <w:rFonts w:ascii="Tahoma" w:hAnsi="Tahoma" w:cs="Tahoma"/>
          <w:sz w:val="22"/>
          <w:szCs w:val="22"/>
          <w:lang w:val="en-US"/>
        </w:rPr>
        <w:t xml:space="preserve">emuneration </w:t>
      </w:r>
      <w:r w:rsidR="00E235E1">
        <w:rPr>
          <w:rFonts w:ascii="Tahoma" w:hAnsi="Tahoma" w:cs="Tahoma"/>
          <w:sz w:val="22"/>
          <w:szCs w:val="22"/>
          <w:lang w:val="en-US"/>
        </w:rPr>
        <w:t>R</w:t>
      </w:r>
      <w:r w:rsidRPr="00B93573">
        <w:rPr>
          <w:rFonts w:ascii="Tahoma" w:hAnsi="Tahoma" w:cs="Tahoma"/>
          <w:sz w:val="22"/>
          <w:szCs w:val="22"/>
          <w:lang w:val="en-US"/>
        </w:rPr>
        <w:t>eport in the form set out on pages</w:t>
      </w:r>
      <w:r w:rsidR="00664209">
        <w:rPr>
          <w:rFonts w:ascii="Tahoma" w:hAnsi="Tahoma" w:cs="Tahoma"/>
          <w:sz w:val="22"/>
          <w:szCs w:val="22"/>
          <w:lang w:val="en-US"/>
        </w:rPr>
        <w:t xml:space="preserve"> </w:t>
      </w:r>
      <w:r w:rsidR="00EA5997">
        <w:rPr>
          <w:rFonts w:ascii="Tahoma" w:hAnsi="Tahoma" w:cs="Tahoma"/>
          <w:sz w:val="22"/>
          <w:szCs w:val="22"/>
          <w:lang w:val="en-US"/>
        </w:rPr>
        <w:t>7</w:t>
      </w:r>
      <w:r w:rsidR="00CB0671">
        <w:rPr>
          <w:rFonts w:ascii="Tahoma" w:hAnsi="Tahoma" w:cs="Tahoma"/>
          <w:sz w:val="22"/>
          <w:szCs w:val="22"/>
          <w:lang w:val="en-US"/>
        </w:rPr>
        <w:t>9</w:t>
      </w:r>
      <w:r w:rsidR="00C231AA">
        <w:rPr>
          <w:rFonts w:ascii="Tahoma" w:hAnsi="Tahoma" w:cs="Tahoma"/>
          <w:sz w:val="22"/>
          <w:szCs w:val="22"/>
          <w:lang w:val="en-US"/>
        </w:rPr>
        <w:t xml:space="preserve"> to </w:t>
      </w:r>
      <w:r w:rsidR="00EA5997">
        <w:rPr>
          <w:rFonts w:ascii="Tahoma" w:hAnsi="Tahoma" w:cs="Tahoma"/>
          <w:sz w:val="22"/>
          <w:szCs w:val="22"/>
          <w:lang w:val="en-US"/>
        </w:rPr>
        <w:t>8</w:t>
      </w:r>
      <w:r w:rsidR="00CB0671">
        <w:rPr>
          <w:rFonts w:ascii="Tahoma" w:hAnsi="Tahoma" w:cs="Tahoma"/>
          <w:sz w:val="22"/>
          <w:szCs w:val="22"/>
          <w:lang w:val="en-US"/>
        </w:rPr>
        <w:t>7</w:t>
      </w:r>
      <w:r w:rsidR="0049496A" w:rsidRPr="00B93573">
        <w:rPr>
          <w:rFonts w:ascii="Tahoma" w:hAnsi="Tahoma" w:cs="Tahoma"/>
          <w:sz w:val="22"/>
          <w:szCs w:val="22"/>
          <w:lang w:val="en-US"/>
        </w:rPr>
        <w:t xml:space="preserve"> </w:t>
      </w:r>
      <w:r w:rsidRPr="00B93573">
        <w:rPr>
          <w:rFonts w:ascii="Tahoma" w:hAnsi="Tahoma" w:cs="Tahoma"/>
          <w:sz w:val="22"/>
          <w:szCs w:val="22"/>
          <w:lang w:val="en-US"/>
        </w:rPr>
        <w:t>of the Annual Report and Accounts for the financial year ended 31 December 20</w:t>
      </w:r>
      <w:r w:rsidR="00EA5997">
        <w:rPr>
          <w:rFonts w:ascii="Tahoma" w:hAnsi="Tahoma" w:cs="Tahoma"/>
          <w:sz w:val="22"/>
          <w:szCs w:val="22"/>
          <w:lang w:val="en-US"/>
        </w:rPr>
        <w:t>2</w:t>
      </w:r>
      <w:r w:rsidR="00CB0671">
        <w:rPr>
          <w:rFonts w:ascii="Tahoma" w:hAnsi="Tahoma" w:cs="Tahoma"/>
          <w:sz w:val="22"/>
          <w:szCs w:val="22"/>
          <w:lang w:val="en-US"/>
        </w:rPr>
        <w:t>1</w:t>
      </w:r>
      <w:r w:rsidRPr="00B93573">
        <w:rPr>
          <w:rFonts w:ascii="Tahoma" w:hAnsi="Tahoma" w:cs="Tahoma"/>
          <w:sz w:val="22"/>
          <w:szCs w:val="22"/>
          <w:lang w:val="en-US"/>
        </w:rPr>
        <w:t>.”</w:t>
      </w:r>
    </w:p>
    <w:p w14:paraId="0D0A54D2" w14:textId="77777777" w:rsidR="00937A00" w:rsidRDefault="00937A00" w:rsidP="001F5211">
      <w:pPr>
        <w:pStyle w:val="NoticeofAGMtabbed"/>
        <w:spacing w:line="288" w:lineRule="auto"/>
        <w:ind w:left="283" w:hanging="283"/>
        <w:jc w:val="both"/>
        <w:rPr>
          <w:rFonts w:ascii="Tahoma" w:hAnsi="Tahoma" w:cs="Tahoma"/>
          <w:sz w:val="22"/>
          <w:szCs w:val="22"/>
          <w:lang w:val="en-US"/>
        </w:rPr>
      </w:pPr>
    </w:p>
    <w:p w14:paraId="416E2379" w14:textId="4281DDCB" w:rsidR="00EA5997" w:rsidRDefault="00937A00" w:rsidP="001554AF">
      <w:pPr>
        <w:pStyle w:val="NoticeofAGMtabbed"/>
        <w:spacing w:line="288" w:lineRule="auto"/>
        <w:ind w:left="283" w:hanging="283"/>
        <w:jc w:val="both"/>
        <w:rPr>
          <w:rFonts w:ascii="Tahoma" w:hAnsi="Tahoma" w:cs="Tahoma"/>
          <w:sz w:val="22"/>
          <w:szCs w:val="22"/>
          <w:lang w:val="en-US"/>
        </w:rPr>
      </w:pPr>
      <w:r>
        <w:rPr>
          <w:rFonts w:ascii="Tahoma" w:hAnsi="Tahoma" w:cs="Tahoma"/>
          <w:sz w:val="22"/>
          <w:szCs w:val="22"/>
          <w:lang w:val="en-US"/>
        </w:rPr>
        <w:t>3</w:t>
      </w:r>
      <w:r w:rsidRPr="00B93573">
        <w:rPr>
          <w:rFonts w:ascii="Tahoma" w:hAnsi="Tahoma" w:cs="Tahoma"/>
          <w:sz w:val="22"/>
          <w:szCs w:val="22"/>
          <w:lang w:val="en-US"/>
        </w:rPr>
        <w:t>.</w:t>
      </w:r>
      <w:r w:rsidRPr="00B93573">
        <w:rPr>
          <w:rFonts w:ascii="Tahoma" w:hAnsi="Tahoma" w:cs="Tahoma"/>
          <w:sz w:val="22"/>
          <w:szCs w:val="22"/>
          <w:lang w:val="en-US"/>
        </w:rPr>
        <w:tab/>
      </w:r>
      <w:r w:rsidR="00200810">
        <w:rPr>
          <w:rFonts w:ascii="Tahoma" w:hAnsi="Tahoma" w:cs="Tahoma"/>
          <w:sz w:val="22"/>
          <w:szCs w:val="22"/>
          <w:lang w:val="en-US"/>
        </w:rPr>
        <w:t xml:space="preserve">“To </w:t>
      </w:r>
      <w:r w:rsidR="003567A7">
        <w:rPr>
          <w:rFonts w:ascii="Tahoma" w:hAnsi="Tahoma" w:cs="Tahoma"/>
          <w:sz w:val="22"/>
          <w:szCs w:val="22"/>
          <w:lang w:val="en-US"/>
        </w:rPr>
        <w:t xml:space="preserve">declare a final dividend of </w:t>
      </w:r>
      <w:r w:rsidR="00CB0671">
        <w:rPr>
          <w:rFonts w:ascii="Tahoma" w:hAnsi="Tahoma" w:cs="Tahoma"/>
          <w:sz w:val="22"/>
          <w:szCs w:val="22"/>
          <w:lang w:val="en-US"/>
        </w:rPr>
        <w:t>7.3</w:t>
      </w:r>
      <w:r w:rsidR="003567A7">
        <w:rPr>
          <w:rFonts w:ascii="Tahoma" w:hAnsi="Tahoma" w:cs="Tahoma"/>
          <w:sz w:val="22"/>
          <w:szCs w:val="22"/>
          <w:lang w:val="en-US"/>
        </w:rPr>
        <w:t>p per ordinary share for the year ended 31 December 202</w:t>
      </w:r>
      <w:r w:rsidR="00CB0671">
        <w:rPr>
          <w:rFonts w:ascii="Tahoma" w:hAnsi="Tahoma" w:cs="Tahoma"/>
          <w:sz w:val="22"/>
          <w:szCs w:val="22"/>
          <w:lang w:val="en-US"/>
        </w:rPr>
        <w:t>1</w:t>
      </w:r>
      <w:r w:rsidR="003567A7">
        <w:rPr>
          <w:rFonts w:ascii="Tahoma" w:hAnsi="Tahoma" w:cs="Tahoma"/>
          <w:sz w:val="22"/>
          <w:szCs w:val="22"/>
          <w:lang w:val="en-US"/>
        </w:rPr>
        <w:t>.”</w:t>
      </w:r>
    </w:p>
    <w:p w14:paraId="109570F1" w14:textId="77777777" w:rsidR="001F5211" w:rsidRPr="00B93573" w:rsidRDefault="001F5211" w:rsidP="001F5211">
      <w:pPr>
        <w:autoSpaceDE w:val="0"/>
        <w:autoSpaceDN w:val="0"/>
        <w:adjustRightInd w:val="0"/>
        <w:ind w:left="440"/>
        <w:jc w:val="both"/>
        <w:rPr>
          <w:rFonts w:ascii="Tahoma" w:hAnsi="Tahoma" w:cs="Tahoma"/>
          <w:color w:val="1B1C20"/>
          <w:sz w:val="22"/>
          <w:szCs w:val="22"/>
        </w:rPr>
      </w:pPr>
    </w:p>
    <w:p w14:paraId="501A7ACF" w14:textId="708A537E" w:rsidR="001F5211" w:rsidRPr="00B93573" w:rsidRDefault="008325B0" w:rsidP="001F5211">
      <w:pPr>
        <w:pStyle w:val="NoticeofAGMtabbed"/>
        <w:spacing w:line="288" w:lineRule="auto"/>
        <w:jc w:val="both"/>
        <w:rPr>
          <w:rFonts w:ascii="Tahoma" w:hAnsi="Tahoma" w:cs="Tahoma"/>
          <w:sz w:val="22"/>
          <w:szCs w:val="22"/>
          <w:lang w:val="en-US"/>
        </w:rPr>
      </w:pPr>
      <w:r>
        <w:rPr>
          <w:rFonts w:ascii="Tahoma" w:hAnsi="Tahoma" w:cs="Tahoma"/>
          <w:sz w:val="22"/>
          <w:szCs w:val="22"/>
          <w:lang w:val="en-US"/>
        </w:rPr>
        <w:t>4</w:t>
      </w:r>
      <w:r w:rsidR="001F5211" w:rsidRPr="00B93573">
        <w:rPr>
          <w:rFonts w:ascii="Tahoma" w:hAnsi="Tahoma" w:cs="Tahoma"/>
          <w:sz w:val="22"/>
          <w:szCs w:val="22"/>
          <w:lang w:val="en-US"/>
        </w:rPr>
        <w:t>.</w:t>
      </w:r>
      <w:r w:rsidR="001F5211" w:rsidRPr="00B93573">
        <w:rPr>
          <w:rFonts w:ascii="Tahoma" w:hAnsi="Tahoma" w:cs="Tahoma"/>
          <w:sz w:val="22"/>
          <w:szCs w:val="22"/>
          <w:lang w:val="en-US"/>
        </w:rPr>
        <w:tab/>
      </w:r>
      <w:bookmarkStart w:id="0" w:name="_Hlk70433603"/>
      <w:r w:rsidR="001F5211" w:rsidRPr="00B93573">
        <w:rPr>
          <w:rFonts w:ascii="Tahoma" w:hAnsi="Tahoma" w:cs="Tahoma"/>
          <w:sz w:val="22"/>
          <w:szCs w:val="22"/>
          <w:lang w:val="en-US"/>
        </w:rPr>
        <w:t xml:space="preserve">“To </w:t>
      </w:r>
      <w:r w:rsidR="00CB0671">
        <w:rPr>
          <w:rFonts w:ascii="Tahoma" w:hAnsi="Tahoma" w:cs="Tahoma"/>
          <w:sz w:val="22"/>
          <w:szCs w:val="22"/>
          <w:lang w:val="en-US"/>
        </w:rPr>
        <w:t>re-</w:t>
      </w:r>
      <w:r w:rsidR="001F5211" w:rsidRPr="00B93573">
        <w:rPr>
          <w:rFonts w:ascii="Tahoma" w:hAnsi="Tahoma" w:cs="Tahoma"/>
          <w:sz w:val="22"/>
          <w:szCs w:val="22"/>
          <w:lang w:val="en-US"/>
        </w:rPr>
        <w:t xml:space="preserve">elect </w:t>
      </w:r>
      <w:r w:rsidR="007D6120">
        <w:rPr>
          <w:rFonts w:ascii="Tahoma" w:hAnsi="Tahoma" w:cs="Tahoma"/>
          <w:sz w:val="22"/>
          <w:szCs w:val="22"/>
          <w:lang w:val="en-US"/>
        </w:rPr>
        <w:t xml:space="preserve">Paul Reynolds </w:t>
      </w:r>
      <w:r w:rsidR="001F5211" w:rsidRPr="00B93573">
        <w:rPr>
          <w:rFonts w:ascii="Tahoma" w:hAnsi="Tahoma" w:cs="Tahoma"/>
          <w:sz w:val="22"/>
          <w:szCs w:val="22"/>
          <w:lang w:val="en-US"/>
        </w:rPr>
        <w:t xml:space="preserve">as a </w:t>
      </w:r>
      <w:r w:rsidR="00855E1F">
        <w:rPr>
          <w:rFonts w:ascii="Tahoma" w:hAnsi="Tahoma" w:cs="Tahoma"/>
          <w:sz w:val="22"/>
          <w:szCs w:val="22"/>
          <w:lang w:val="en-US"/>
        </w:rPr>
        <w:t>D</w:t>
      </w:r>
      <w:r w:rsidR="001F5211" w:rsidRPr="00B93573">
        <w:rPr>
          <w:rFonts w:ascii="Tahoma" w:hAnsi="Tahoma" w:cs="Tahoma"/>
          <w:sz w:val="22"/>
          <w:szCs w:val="22"/>
          <w:lang w:val="en-US"/>
        </w:rPr>
        <w:t>irector of the Company.”</w:t>
      </w:r>
    </w:p>
    <w:bookmarkEnd w:id="0"/>
    <w:p w14:paraId="22E625F3"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561BA2DC" w14:textId="26451E2A" w:rsidR="001F5211" w:rsidRPr="00B93573" w:rsidRDefault="008325B0" w:rsidP="001F5211">
      <w:pPr>
        <w:pStyle w:val="NoticeofAGMtabbed"/>
        <w:spacing w:line="288" w:lineRule="auto"/>
        <w:jc w:val="both"/>
        <w:rPr>
          <w:rFonts w:ascii="Tahoma" w:hAnsi="Tahoma" w:cs="Tahoma"/>
          <w:sz w:val="22"/>
          <w:szCs w:val="22"/>
          <w:lang w:val="en-US"/>
        </w:rPr>
      </w:pPr>
      <w:r>
        <w:rPr>
          <w:rFonts w:ascii="Tahoma" w:hAnsi="Tahoma" w:cs="Tahoma"/>
          <w:sz w:val="22"/>
          <w:szCs w:val="22"/>
          <w:lang w:val="en-US"/>
        </w:rPr>
        <w:t>5</w:t>
      </w:r>
      <w:r w:rsidR="00413FE0">
        <w:rPr>
          <w:rFonts w:ascii="Tahoma" w:hAnsi="Tahoma" w:cs="Tahoma"/>
          <w:sz w:val="22"/>
          <w:szCs w:val="22"/>
          <w:lang w:val="en-US"/>
        </w:rPr>
        <w:t>.</w:t>
      </w:r>
      <w:r w:rsidR="00413FE0">
        <w:rPr>
          <w:rFonts w:ascii="Tahoma" w:hAnsi="Tahoma" w:cs="Tahoma"/>
          <w:sz w:val="22"/>
          <w:szCs w:val="22"/>
          <w:lang w:val="en-US"/>
        </w:rPr>
        <w:tab/>
      </w:r>
      <w:r w:rsidR="001F5211" w:rsidRPr="00B93573">
        <w:rPr>
          <w:rFonts w:ascii="Tahoma" w:hAnsi="Tahoma" w:cs="Tahoma"/>
          <w:sz w:val="22"/>
          <w:szCs w:val="22"/>
          <w:lang w:val="en-US"/>
        </w:rPr>
        <w:t>“To re–elect</w:t>
      </w:r>
      <w:r w:rsidR="001554AF">
        <w:rPr>
          <w:rFonts w:ascii="Tahoma" w:hAnsi="Tahoma" w:cs="Tahoma"/>
          <w:sz w:val="22"/>
          <w:szCs w:val="22"/>
          <w:lang w:val="en-US"/>
        </w:rPr>
        <w:t xml:space="preserve"> </w:t>
      </w:r>
      <w:r w:rsidR="00664209">
        <w:rPr>
          <w:rFonts w:ascii="Tahoma" w:hAnsi="Tahoma" w:cs="Tahoma"/>
          <w:sz w:val="22"/>
          <w:szCs w:val="22"/>
          <w:lang w:val="en-US"/>
        </w:rPr>
        <w:t xml:space="preserve">Simon Pitts </w:t>
      </w:r>
      <w:r w:rsidR="001F5211" w:rsidRPr="00B93573">
        <w:rPr>
          <w:rFonts w:ascii="Tahoma" w:hAnsi="Tahoma" w:cs="Tahoma"/>
          <w:sz w:val="22"/>
          <w:szCs w:val="22"/>
          <w:lang w:val="en-US"/>
        </w:rPr>
        <w:t xml:space="preserve">as a </w:t>
      </w:r>
      <w:r w:rsidR="00855E1F">
        <w:rPr>
          <w:rFonts w:ascii="Tahoma" w:hAnsi="Tahoma" w:cs="Tahoma"/>
          <w:sz w:val="22"/>
          <w:szCs w:val="22"/>
          <w:lang w:val="en-US"/>
        </w:rPr>
        <w:t>D</w:t>
      </w:r>
      <w:r w:rsidR="001F5211" w:rsidRPr="00B93573">
        <w:rPr>
          <w:rFonts w:ascii="Tahoma" w:hAnsi="Tahoma" w:cs="Tahoma"/>
          <w:sz w:val="22"/>
          <w:szCs w:val="22"/>
          <w:lang w:val="en-US"/>
        </w:rPr>
        <w:t>irector of the Company.”</w:t>
      </w:r>
    </w:p>
    <w:p w14:paraId="7D43BB1E"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2F026C83" w14:textId="044C79CC" w:rsidR="001327F6" w:rsidRPr="00B93573" w:rsidRDefault="002B73E7" w:rsidP="001327F6">
      <w:pPr>
        <w:pStyle w:val="NoticeofAGMtabbed"/>
        <w:spacing w:line="288" w:lineRule="auto"/>
        <w:jc w:val="both"/>
        <w:rPr>
          <w:rFonts w:ascii="Tahoma" w:hAnsi="Tahoma" w:cs="Tahoma"/>
          <w:sz w:val="22"/>
          <w:szCs w:val="22"/>
          <w:lang w:val="en-US"/>
        </w:rPr>
      </w:pPr>
      <w:r>
        <w:rPr>
          <w:rFonts w:ascii="Tahoma" w:hAnsi="Tahoma" w:cs="Tahoma"/>
          <w:sz w:val="22"/>
          <w:szCs w:val="22"/>
          <w:lang w:val="en-US"/>
        </w:rPr>
        <w:t>6</w:t>
      </w:r>
      <w:r w:rsidR="001327F6">
        <w:rPr>
          <w:rFonts w:ascii="Tahoma" w:hAnsi="Tahoma" w:cs="Tahoma"/>
          <w:sz w:val="22"/>
          <w:szCs w:val="22"/>
          <w:lang w:val="en-US"/>
        </w:rPr>
        <w:t>.</w:t>
      </w:r>
      <w:r w:rsidR="001327F6" w:rsidRPr="00B93573">
        <w:rPr>
          <w:rFonts w:ascii="Tahoma" w:hAnsi="Tahoma" w:cs="Tahoma"/>
          <w:sz w:val="22"/>
          <w:szCs w:val="22"/>
          <w:lang w:val="en-US"/>
        </w:rPr>
        <w:tab/>
        <w:t>“To re–elect</w:t>
      </w:r>
      <w:r w:rsidR="001327F6">
        <w:rPr>
          <w:rFonts w:ascii="Tahoma" w:hAnsi="Tahoma" w:cs="Tahoma"/>
          <w:sz w:val="22"/>
          <w:szCs w:val="22"/>
          <w:lang w:val="en-US"/>
        </w:rPr>
        <w:t xml:space="preserve"> Lindsay Dixon </w:t>
      </w:r>
      <w:r w:rsidR="001327F6" w:rsidRPr="00B93573">
        <w:rPr>
          <w:rFonts w:ascii="Tahoma" w:hAnsi="Tahoma" w:cs="Tahoma"/>
          <w:sz w:val="22"/>
          <w:szCs w:val="22"/>
          <w:lang w:val="en-US"/>
        </w:rPr>
        <w:t xml:space="preserve">as a </w:t>
      </w:r>
      <w:r w:rsidR="001327F6">
        <w:rPr>
          <w:rFonts w:ascii="Tahoma" w:hAnsi="Tahoma" w:cs="Tahoma"/>
          <w:sz w:val="22"/>
          <w:szCs w:val="22"/>
          <w:lang w:val="en-US"/>
        </w:rPr>
        <w:t>D</w:t>
      </w:r>
      <w:r w:rsidR="001327F6" w:rsidRPr="00B93573">
        <w:rPr>
          <w:rFonts w:ascii="Tahoma" w:hAnsi="Tahoma" w:cs="Tahoma"/>
          <w:sz w:val="22"/>
          <w:szCs w:val="22"/>
          <w:lang w:val="en-US"/>
        </w:rPr>
        <w:t>irector of the Company.”</w:t>
      </w:r>
    </w:p>
    <w:p w14:paraId="7D0F4B47" w14:textId="77777777" w:rsidR="001327F6" w:rsidRDefault="001327F6" w:rsidP="001F5211">
      <w:pPr>
        <w:pStyle w:val="NoticeofAGMtabbed"/>
        <w:spacing w:line="288" w:lineRule="auto"/>
        <w:jc w:val="both"/>
        <w:rPr>
          <w:rFonts w:ascii="Tahoma" w:hAnsi="Tahoma" w:cs="Tahoma"/>
          <w:sz w:val="22"/>
          <w:szCs w:val="22"/>
          <w:lang w:val="en-US"/>
        </w:rPr>
      </w:pPr>
    </w:p>
    <w:p w14:paraId="2A6E6F00" w14:textId="006B55D6" w:rsidR="00B93573" w:rsidRDefault="002B73E7" w:rsidP="001F5211">
      <w:pPr>
        <w:pStyle w:val="NoticeofAGMtabbed"/>
        <w:spacing w:line="288" w:lineRule="auto"/>
        <w:jc w:val="both"/>
        <w:rPr>
          <w:rFonts w:ascii="Tahoma" w:hAnsi="Tahoma" w:cs="Tahoma"/>
          <w:sz w:val="22"/>
          <w:szCs w:val="22"/>
          <w:lang w:val="en-US"/>
        </w:rPr>
      </w:pPr>
      <w:r>
        <w:rPr>
          <w:rFonts w:ascii="Tahoma" w:hAnsi="Tahoma" w:cs="Tahoma"/>
          <w:sz w:val="22"/>
          <w:szCs w:val="22"/>
          <w:lang w:val="en-US"/>
        </w:rPr>
        <w:t>7</w:t>
      </w:r>
      <w:r w:rsidR="00855E1F">
        <w:rPr>
          <w:rFonts w:ascii="Tahoma" w:hAnsi="Tahoma" w:cs="Tahoma"/>
          <w:sz w:val="22"/>
          <w:szCs w:val="22"/>
          <w:lang w:val="en-US"/>
        </w:rPr>
        <w:t>.</w:t>
      </w:r>
      <w:r w:rsidR="001F5211" w:rsidRPr="00B93573">
        <w:rPr>
          <w:rFonts w:ascii="Tahoma" w:hAnsi="Tahoma" w:cs="Tahoma"/>
          <w:sz w:val="22"/>
          <w:szCs w:val="22"/>
          <w:lang w:val="en-US"/>
        </w:rPr>
        <w:tab/>
      </w:r>
      <w:r w:rsidR="00B93573" w:rsidRPr="00B93573">
        <w:rPr>
          <w:rFonts w:ascii="Tahoma" w:hAnsi="Tahoma" w:cs="Tahoma"/>
          <w:sz w:val="22"/>
          <w:szCs w:val="22"/>
          <w:lang w:val="en-US"/>
        </w:rPr>
        <w:t xml:space="preserve">“To re–elect </w:t>
      </w:r>
      <w:r w:rsidR="001554AF">
        <w:rPr>
          <w:rFonts w:ascii="Tahoma" w:hAnsi="Tahoma" w:cs="Tahoma"/>
          <w:sz w:val="22"/>
          <w:szCs w:val="22"/>
          <w:lang w:val="en-US"/>
        </w:rPr>
        <w:t>Simon Miller</w:t>
      </w:r>
      <w:r w:rsidR="008725AB">
        <w:rPr>
          <w:rFonts w:ascii="Tahoma" w:hAnsi="Tahoma" w:cs="Tahoma"/>
          <w:sz w:val="22"/>
          <w:szCs w:val="22"/>
          <w:lang w:val="en-US"/>
        </w:rPr>
        <w:t xml:space="preserve"> </w:t>
      </w:r>
      <w:r w:rsidR="00B93573" w:rsidRPr="00B93573">
        <w:rPr>
          <w:rFonts w:ascii="Tahoma" w:hAnsi="Tahoma" w:cs="Tahoma"/>
          <w:sz w:val="22"/>
          <w:szCs w:val="22"/>
          <w:lang w:val="en-US"/>
        </w:rPr>
        <w:t xml:space="preserve">as a </w:t>
      </w:r>
      <w:r w:rsidR="00855E1F">
        <w:rPr>
          <w:rFonts w:ascii="Tahoma" w:hAnsi="Tahoma" w:cs="Tahoma"/>
          <w:sz w:val="22"/>
          <w:szCs w:val="22"/>
          <w:lang w:val="en-US"/>
        </w:rPr>
        <w:t>D</w:t>
      </w:r>
      <w:r w:rsidR="00B93573" w:rsidRPr="00B93573">
        <w:rPr>
          <w:rFonts w:ascii="Tahoma" w:hAnsi="Tahoma" w:cs="Tahoma"/>
          <w:sz w:val="22"/>
          <w:szCs w:val="22"/>
          <w:lang w:val="en-US"/>
        </w:rPr>
        <w:t>irector of the Company.”</w:t>
      </w:r>
    </w:p>
    <w:p w14:paraId="69A52BA3" w14:textId="77777777" w:rsidR="00B93573" w:rsidRDefault="00B93573" w:rsidP="001F5211">
      <w:pPr>
        <w:pStyle w:val="NoticeofAGMtabbed"/>
        <w:spacing w:line="288" w:lineRule="auto"/>
        <w:jc w:val="both"/>
        <w:rPr>
          <w:rFonts w:ascii="Tahoma" w:hAnsi="Tahoma" w:cs="Tahoma"/>
          <w:sz w:val="22"/>
          <w:szCs w:val="22"/>
          <w:lang w:val="en-US"/>
        </w:rPr>
      </w:pPr>
    </w:p>
    <w:p w14:paraId="008807DA" w14:textId="6A159422" w:rsidR="00664209" w:rsidRPr="00B93573" w:rsidRDefault="002B73E7" w:rsidP="00664209">
      <w:pPr>
        <w:pStyle w:val="NoticeofAGMtabbed"/>
        <w:spacing w:line="288" w:lineRule="auto"/>
        <w:jc w:val="both"/>
        <w:rPr>
          <w:rFonts w:ascii="Tahoma" w:hAnsi="Tahoma" w:cs="Tahoma"/>
          <w:sz w:val="22"/>
          <w:szCs w:val="22"/>
          <w:lang w:val="en-US"/>
        </w:rPr>
      </w:pPr>
      <w:r>
        <w:rPr>
          <w:rFonts w:ascii="Tahoma" w:hAnsi="Tahoma" w:cs="Tahoma"/>
          <w:sz w:val="22"/>
          <w:szCs w:val="22"/>
          <w:lang w:val="en-US"/>
        </w:rPr>
        <w:t>8</w:t>
      </w:r>
      <w:r w:rsidR="00664209" w:rsidRPr="00B93573">
        <w:rPr>
          <w:rFonts w:ascii="Tahoma" w:hAnsi="Tahoma" w:cs="Tahoma"/>
          <w:sz w:val="22"/>
          <w:szCs w:val="22"/>
          <w:lang w:val="en-US"/>
        </w:rPr>
        <w:t xml:space="preserve">.“To </w:t>
      </w:r>
      <w:r w:rsidR="00664209">
        <w:rPr>
          <w:rFonts w:ascii="Tahoma" w:hAnsi="Tahoma" w:cs="Tahoma"/>
          <w:sz w:val="22"/>
          <w:szCs w:val="22"/>
          <w:lang w:val="en-US"/>
        </w:rPr>
        <w:t>re-</w:t>
      </w:r>
      <w:r w:rsidR="00664209" w:rsidRPr="00B93573">
        <w:rPr>
          <w:rFonts w:ascii="Tahoma" w:hAnsi="Tahoma" w:cs="Tahoma"/>
          <w:sz w:val="22"/>
          <w:szCs w:val="22"/>
          <w:lang w:val="en-US"/>
        </w:rPr>
        <w:t xml:space="preserve">elect </w:t>
      </w:r>
      <w:r w:rsidR="00664209">
        <w:rPr>
          <w:rFonts w:ascii="Tahoma" w:hAnsi="Tahoma" w:cs="Tahoma"/>
          <w:sz w:val="22"/>
          <w:szCs w:val="22"/>
          <w:lang w:val="en-US"/>
        </w:rPr>
        <w:t xml:space="preserve">Anne Marie Cannon </w:t>
      </w:r>
      <w:r w:rsidR="00664209" w:rsidRPr="00B93573">
        <w:rPr>
          <w:rFonts w:ascii="Tahoma" w:hAnsi="Tahoma" w:cs="Tahoma"/>
          <w:sz w:val="22"/>
          <w:szCs w:val="22"/>
          <w:lang w:val="en-US"/>
        </w:rPr>
        <w:t xml:space="preserve">as a </w:t>
      </w:r>
      <w:r w:rsidR="00664209">
        <w:rPr>
          <w:rFonts w:ascii="Tahoma" w:hAnsi="Tahoma" w:cs="Tahoma"/>
          <w:sz w:val="22"/>
          <w:szCs w:val="22"/>
          <w:lang w:val="en-US"/>
        </w:rPr>
        <w:t>D</w:t>
      </w:r>
      <w:r w:rsidR="00664209" w:rsidRPr="00B93573">
        <w:rPr>
          <w:rFonts w:ascii="Tahoma" w:hAnsi="Tahoma" w:cs="Tahoma"/>
          <w:sz w:val="22"/>
          <w:szCs w:val="22"/>
          <w:lang w:val="en-US"/>
        </w:rPr>
        <w:t>irector of the Company.”</w:t>
      </w:r>
    </w:p>
    <w:p w14:paraId="7DA1DE6E" w14:textId="77777777" w:rsidR="00664209" w:rsidRDefault="00664209" w:rsidP="00664209">
      <w:pPr>
        <w:pStyle w:val="NoticeofAGMtabbed"/>
        <w:spacing w:line="288" w:lineRule="auto"/>
        <w:jc w:val="both"/>
        <w:rPr>
          <w:rFonts w:ascii="Tahoma" w:hAnsi="Tahoma" w:cs="Tahoma"/>
          <w:sz w:val="22"/>
          <w:szCs w:val="22"/>
          <w:lang w:val="en-US"/>
        </w:rPr>
      </w:pPr>
    </w:p>
    <w:p w14:paraId="45DF108E" w14:textId="1D352FD8" w:rsidR="00664209" w:rsidRPr="00B93573" w:rsidRDefault="002B73E7" w:rsidP="00664209">
      <w:pPr>
        <w:pStyle w:val="NoticeofAGMtabbed"/>
        <w:spacing w:line="288" w:lineRule="auto"/>
        <w:jc w:val="both"/>
        <w:rPr>
          <w:rFonts w:ascii="Tahoma" w:hAnsi="Tahoma" w:cs="Tahoma"/>
          <w:sz w:val="22"/>
          <w:szCs w:val="22"/>
          <w:lang w:val="en-US"/>
        </w:rPr>
      </w:pPr>
      <w:r>
        <w:rPr>
          <w:rFonts w:ascii="Tahoma" w:hAnsi="Tahoma" w:cs="Tahoma"/>
          <w:sz w:val="22"/>
          <w:szCs w:val="22"/>
          <w:lang w:val="en-US"/>
        </w:rPr>
        <w:t>9</w:t>
      </w:r>
      <w:r w:rsidR="00E73219">
        <w:rPr>
          <w:rFonts w:ascii="Tahoma" w:hAnsi="Tahoma" w:cs="Tahoma"/>
          <w:sz w:val="22"/>
          <w:szCs w:val="22"/>
          <w:lang w:val="en-US"/>
        </w:rPr>
        <w:t>.</w:t>
      </w:r>
      <w:r w:rsidR="00664209" w:rsidRPr="00B93573">
        <w:rPr>
          <w:rFonts w:ascii="Tahoma" w:hAnsi="Tahoma" w:cs="Tahoma"/>
          <w:sz w:val="22"/>
          <w:szCs w:val="22"/>
          <w:lang w:val="en-US"/>
        </w:rPr>
        <w:t>“To re–elect</w:t>
      </w:r>
      <w:r w:rsidR="00664209">
        <w:rPr>
          <w:rFonts w:ascii="Tahoma" w:hAnsi="Tahoma" w:cs="Tahoma"/>
          <w:sz w:val="22"/>
          <w:szCs w:val="22"/>
          <w:lang w:val="en-US"/>
        </w:rPr>
        <w:t xml:space="preserve"> Ian Steele </w:t>
      </w:r>
      <w:r w:rsidR="00664209" w:rsidRPr="00B93573">
        <w:rPr>
          <w:rFonts w:ascii="Tahoma" w:hAnsi="Tahoma" w:cs="Tahoma"/>
          <w:sz w:val="22"/>
          <w:szCs w:val="22"/>
          <w:lang w:val="en-US"/>
        </w:rPr>
        <w:t xml:space="preserve">as a </w:t>
      </w:r>
      <w:r w:rsidR="00664209">
        <w:rPr>
          <w:rFonts w:ascii="Tahoma" w:hAnsi="Tahoma" w:cs="Tahoma"/>
          <w:sz w:val="22"/>
          <w:szCs w:val="22"/>
          <w:lang w:val="en-US"/>
        </w:rPr>
        <w:t>D</w:t>
      </w:r>
      <w:r w:rsidR="00664209" w:rsidRPr="00B93573">
        <w:rPr>
          <w:rFonts w:ascii="Tahoma" w:hAnsi="Tahoma" w:cs="Tahoma"/>
          <w:sz w:val="22"/>
          <w:szCs w:val="22"/>
          <w:lang w:val="en-US"/>
        </w:rPr>
        <w:t>irector of the Company.”</w:t>
      </w:r>
    </w:p>
    <w:p w14:paraId="198B00DD" w14:textId="77777777" w:rsidR="00664209" w:rsidRPr="00B93573" w:rsidRDefault="00664209" w:rsidP="00664209">
      <w:pPr>
        <w:pStyle w:val="NoticeofAGMtabbed"/>
        <w:spacing w:line="288" w:lineRule="auto"/>
        <w:jc w:val="both"/>
        <w:rPr>
          <w:rFonts w:ascii="Tahoma" w:hAnsi="Tahoma" w:cs="Tahoma"/>
          <w:sz w:val="22"/>
          <w:szCs w:val="22"/>
          <w:lang w:val="en-US"/>
        </w:rPr>
      </w:pPr>
    </w:p>
    <w:p w14:paraId="04ACD9A2" w14:textId="74E27D1E" w:rsidR="00664209" w:rsidRDefault="002B73E7" w:rsidP="00664209">
      <w:pPr>
        <w:pStyle w:val="NoticeofAGMtabbed"/>
        <w:spacing w:line="288" w:lineRule="auto"/>
        <w:jc w:val="both"/>
        <w:rPr>
          <w:rFonts w:ascii="Tahoma" w:hAnsi="Tahoma" w:cs="Tahoma"/>
          <w:sz w:val="22"/>
          <w:szCs w:val="22"/>
          <w:lang w:val="en-US"/>
        </w:rPr>
      </w:pPr>
      <w:r>
        <w:rPr>
          <w:rFonts w:ascii="Tahoma" w:hAnsi="Tahoma" w:cs="Tahoma"/>
          <w:sz w:val="22"/>
          <w:szCs w:val="22"/>
          <w:lang w:val="en-US"/>
        </w:rPr>
        <w:t>10</w:t>
      </w:r>
      <w:r w:rsidR="00664209">
        <w:rPr>
          <w:rFonts w:ascii="Tahoma" w:hAnsi="Tahoma" w:cs="Tahoma"/>
          <w:sz w:val="22"/>
          <w:szCs w:val="22"/>
          <w:lang w:val="en-US"/>
        </w:rPr>
        <w:t>.</w:t>
      </w:r>
      <w:r w:rsidR="00664209" w:rsidRPr="00B93573">
        <w:rPr>
          <w:rFonts w:ascii="Tahoma" w:hAnsi="Tahoma" w:cs="Tahoma"/>
          <w:sz w:val="22"/>
          <w:szCs w:val="22"/>
          <w:lang w:val="en-US"/>
        </w:rPr>
        <w:t xml:space="preserve">“To re–elect </w:t>
      </w:r>
      <w:r w:rsidR="00664209">
        <w:rPr>
          <w:rFonts w:ascii="Tahoma" w:hAnsi="Tahoma" w:cs="Tahoma"/>
          <w:sz w:val="22"/>
          <w:szCs w:val="22"/>
          <w:lang w:val="en-US"/>
        </w:rPr>
        <w:t xml:space="preserve">David Bergg </w:t>
      </w:r>
      <w:r w:rsidR="00664209" w:rsidRPr="00B93573">
        <w:rPr>
          <w:rFonts w:ascii="Tahoma" w:hAnsi="Tahoma" w:cs="Tahoma"/>
          <w:sz w:val="22"/>
          <w:szCs w:val="22"/>
          <w:lang w:val="en-US"/>
        </w:rPr>
        <w:t xml:space="preserve">as a </w:t>
      </w:r>
      <w:r w:rsidR="00664209">
        <w:rPr>
          <w:rFonts w:ascii="Tahoma" w:hAnsi="Tahoma" w:cs="Tahoma"/>
          <w:sz w:val="22"/>
          <w:szCs w:val="22"/>
          <w:lang w:val="en-US"/>
        </w:rPr>
        <w:t>D</w:t>
      </w:r>
      <w:r w:rsidR="00664209" w:rsidRPr="00B93573">
        <w:rPr>
          <w:rFonts w:ascii="Tahoma" w:hAnsi="Tahoma" w:cs="Tahoma"/>
          <w:sz w:val="22"/>
          <w:szCs w:val="22"/>
          <w:lang w:val="en-US"/>
        </w:rPr>
        <w:t>irector of the Company.”</w:t>
      </w:r>
    </w:p>
    <w:p w14:paraId="5027B3AC" w14:textId="77777777" w:rsidR="005104D7" w:rsidRDefault="005104D7" w:rsidP="00664209">
      <w:pPr>
        <w:pStyle w:val="NoticeofAGMtabbed"/>
        <w:spacing w:line="288" w:lineRule="auto"/>
        <w:jc w:val="both"/>
        <w:rPr>
          <w:rFonts w:ascii="Tahoma" w:hAnsi="Tahoma" w:cs="Tahoma"/>
          <w:sz w:val="22"/>
          <w:szCs w:val="22"/>
          <w:lang w:val="en-US"/>
        </w:rPr>
      </w:pPr>
    </w:p>
    <w:p w14:paraId="7ED23138" w14:textId="45F456A7" w:rsidR="005104D7" w:rsidRDefault="005104D7" w:rsidP="00664209">
      <w:pPr>
        <w:pStyle w:val="NoticeofAGMtabbed"/>
        <w:spacing w:line="288" w:lineRule="auto"/>
        <w:jc w:val="both"/>
        <w:rPr>
          <w:rFonts w:ascii="Tahoma" w:hAnsi="Tahoma" w:cs="Tahoma"/>
          <w:sz w:val="22"/>
          <w:szCs w:val="22"/>
          <w:lang w:val="en-US"/>
        </w:rPr>
      </w:pPr>
      <w:r>
        <w:rPr>
          <w:rFonts w:ascii="Tahoma" w:hAnsi="Tahoma" w:cs="Tahoma"/>
          <w:sz w:val="22"/>
          <w:szCs w:val="22"/>
          <w:lang w:val="en-US"/>
        </w:rPr>
        <w:t>11. “To re-elect Aki Mandhar as a Director of the Company.”</w:t>
      </w:r>
    </w:p>
    <w:p w14:paraId="7625C9EE" w14:textId="77777777" w:rsidR="00664209" w:rsidRDefault="00664209" w:rsidP="001F5211">
      <w:pPr>
        <w:pStyle w:val="NoticeofAGMtabbed"/>
        <w:spacing w:line="288" w:lineRule="auto"/>
        <w:jc w:val="both"/>
        <w:rPr>
          <w:rFonts w:ascii="Tahoma" w:hAnsi="Tahoma" w:cs="Tahoma"/>
          <w:sz w:val="22"/>
          <w:szCs w:val="22"/>
          <w:lang w:val="en-US"/>
        </w:rPr>
      </w:pPr>
    </w:p>
    <w:p w14:paraId="22C0A480" w14:textId="0FFCC3F9" w:rsidR="00D2148B" w:rsidRDefault="00664209" w:rsidP="001F5211">
      <w:pPr>
        <w:pStyle w:val="NoticeofAGMtabbed"/>
        <w:spacing w:line="288" w:lineRule="auto"/>
        <w:ind w:left="283" w:hanging="283"/>
        <w:jc w:val="both"/>
        <w:rPr>
          <w:rFonts w:ascii="Tahoma" w:hAnsi="Tahoma" w:cs="Tahoma"/>
          <w:sz w:val="22"/>
          <w:szCs w:val="22"/>
          <w:lang w:val="en-US"/>
        </w:rPr>
      </w:pPr>
      <w:r>
        <w:rPr>
          <w:rFonts w:ascii="Tahoma" w:hAnsi="Tahoma" w:cs="Tahoma"/>
          <w:sz w:val="22"/>
          <w:szCs w:val="22"/>
          <w:lang w:val="en-US"/>
        </w:rPr>
        <w:t>1</w:t>
      </w:r>
      <w:r w:rsidR="005104D7">
        <w:rPr>
          <w:rFonts w:ascii="Tahoma" w:hAnsi="Tahoma" w:cs="Tahoma"/>
          <w:sz w:val="22"/>
          <w:szCs w:val="22"/>
          <w:lang w:val="en-US"/>
        </w:rPr>
        <w:t>2</w:t>
      </w:r>
      <w:r w:rsidR="001F5211" w:rsidRPr="00B93573">
        <w:rPr>
          <w:rFonts w:ascii="Tahoma" w:hAnsi="Tahoma" w:cs="Tahoma"/>
          <w:sz w:val="22"/>
          <w:szCs w:val="22"/>
          <w:lang w:val="en-US"/>
        </w:rPr>
        <w:t>.“To re–appoint PricewaterhouseCoopers LLP as the auditors of the Company to hold office until the conclusion of the next general meeting at which accounts are laid</w:t>
      </w:r>
      <w:r w:rsidR="00D2148B">
        <w:rPr>
          <w:rFonts w:ascii="Tahoma" w:hAnsi="Tahoma" w:cs="Tahoma"/>
          <w:sz w:val="22"/>
          <w:szCs w:val="22"/>
          <w:lang w:val="en-US"/>
        </w:rPr>
        <w:t>.”</w:t>
      </w:r>
    </w:p>
    <w:p w14:paraId="537391D9" w14:textId="77777777" w:rsidR="00D2148B" w:rsidRDefault="00D2148B" w:rsidP="001F5211">
      <w:pPr>
        <w:pStyle w:val="NoticeofAGMtabbed"/>
        <w:spacing w:line="288" w:lineRule="auto"/>
        <w:ind w:left="283" w:hanging="283"/>
        <w:jc w:val="both"/>
        <w:rPr>
          <w:rFonts w:ascii="Tahoma" w:hAnsi="Tahoma" w:cs="Tahoma"/>
          <w:sz w:val="22"/>
          <w:szCs w:val="22"/>
          <w:lang w:val="en-US"/>
        </w:rPr>
      </w:pPr>
    </w:p>
    <w:p w14:paraId="13AF1963" w14:textId="2AE7C126" w:rsidR="001F5211" w:rsidRPr="00B93573" w:rsidRDefault="00664209" w:rsidP="001F5211">
      <w:pPr>
        <w:pStyle w:val="NoticeofAGMtabbed"/>
        <w:spacing w:line="288" w:lineRule="auto"/>
        <w:ind w:left="283" w:hanging="283"/>
        <w:jc w:val="both"/>
        <w:rPr>
          <w:rFonts w:ascii="Tahoma" w:hAnsi="Tahoma" w:cs="Tahoma"/>
          <w:sz w:val="22"/>
          <w:szCs w:val="22"/>
          <w:lang w:val="en-US"/>
        </w:rPr>
      </w:pPr>
      <w:r>
        <w:rPr>
          <w:rFonts w:ascii="Tahoma" w:hAnsi="Tahoma" w:cs="Tahoma"/>
          <w:sz w:val="22"/>
          <w:szCs w:val="22"/>
          <w:lang w:val="en-US"/>
        </w:rPr>
        <w:t>1</w:t>
      </w:r>
      <w:r w:rsidR="00455F98">
        <w:rPr>
          <w:rFonts w:ascii="Tahoma" w:hAnsi="Tahoma" w:cs="Tahoma"/>
          <w:sz w:val="22"/>
          <w:szCs w:val="22"/>
          <w:lang w:val="en-US"/>
        </w:rPr>
        <w:t>3</w:t>
      </w:r>
      <w:r w:rsidR="00D2148B">
        <w:rPr>
          <w:rFonts w:ascii="Tahoma" w:hAnsi="Tahoma" w:cs="Tahoma"/>
          <w:sz w:val="22"/>
          <w:szCs w:val="22"/>
          <w:lang w:val="en-US"/>
        </w:rPr>
        <w:t xml:space="preserve">.“To </w:t>
      </w:r>
      <w:proofErr w:type="spellStart"/>
      <w:r w:rsidR="001F5211" w:rsidRPr="00B93573">
        <w:rPr>
          <w:rFonts w:ascii="Tahoma" w:hAnsi="Tahoma" w:cs="Tahoma"/>
          <w:sz w:val="22"/>
          <w:szCs w:val="22"/>
          <w:lang w:val="en-US"/>
        </w:rPr>
        <w:t>authorise</w:t>
      </w:r>
      <w:proofErr w:type="spellEnd"/>
      <w:r w:rsidR="001F5211" w:rsidRPr="00B93573">
        <w:rPr>
          <w:rFonts w:ascii="Tahoma" w:hAnsi="Tahoma" w:cs="Tahoma"/>
          <w:sz w:val="22"/>
          <w:szCs w:val="22"/>
          <w:lang w:val="en-US"/>
        </w:rPr>
        <w:t xml:space="preserve"> the Audit </w:t>
      </w:r>
      <w:r>
        <w:rPr>
          <w:rFonts w:ascii="Tahoma" w:hAnsi="Tahoma" w:cs="Tahoma"/>
          <w:sz w:val="22"/>
          <w:szCs w:val="22"/>
          <w:lang w:val="en-US"/>
        </w:rPr>
        <w:t xml:space="preserve">&amp; Risk </w:t>
      </w:r>
      <w:r w:rsidR="001F5211" w:rsidRPr="00B93573">
        <w:rPr>
          <w:rFonts w:ascii="Tahoma" w:hAnsi="Tahoma" w:cs="Tahoma"/>
          <w:sz w:val="22"/>
          <w:szCs w:val="22"/>
          <w:lang w:val="en-US"/>
        </w:rPr>
        <w:t>Committee to fix the remuneration of the auditors</w:t>
      </w:r>
      <w:r w:rsidR="00855E1F">
        <w:rPr>
          <w:rFonts w:ascii="Tahoma" w:hAnsi="Tahoma" w:cs="Tahoma"/>
          <w:sz w:val="22"/>
          <w:szCs w:val="22"/>
          <w:lang w:val="en-US"/>
        </w:rPr>
        <w:t xml:space="preserve"> of the Company</w:t>
      </w:r>
      <w:r w:rsidR="001F5211" w:rsidRPr="00B93573">
        <w:rPr>
          <w:rFonts w:ascii="Tahoma" w:hAnsi="Tahoma" w:cs="Tahoma"/>
          <w:sz w:val="22"/>
          <w:szCs w:val="22"/>
          <w:lang w:val="en-US"/>
        </w:rPr>
        <w:t>.”</w:t>
      </w:r>
    </w:p>
    <w:p w14:paraId="3F6D9F7D"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6B8C64E9" w14:textId="7731938E" w:rsidR="001F5211" w:rsidRPr="00B93573" w:rsidRDefault="001F5211" w:rsidP="001F5211">
      <w:pPr>
        <w:pStyle w:val="NoticeofAGMtabbed"/>
        <w:spacing w:line="288" w:lineRule="auto"/>
        <w:ind w:left="283" w:hanging="283"/>
        <w:jc w:val="both"/>
        <w:rPr>
          <w:rFonts w:ascii="Tahoma" w:hAnsi="Tahoma" w:cs="Tahoma"/>
          <w:sz w:val="22"/>
          <w:szCs w:val="22"/>
          <w:lang w:val="en-US"/>
        </w:rPr>
      </w:pPr>
      <w:r w:rsidRPr="00B93573">
        <w:rPr>
          <w:rFonts w:ascii="Tahoma" w:hAnsi="Tahoma" w:cs="Tahoma"/>
          <w:sz w:val="22"/>
          <w:szCs w:val="22"/>
          <w:lang w:val="en-US"/>
        </w:rPr>
        <w:t>1</w:t>
      </w:r>
      <w:r w:rsidR="00455F98">
        <w:rPr>
          <w:rFonts w:ascii="Tahoma" w:hAnsi="Tahoma" w:cs="Tahoma"/>
          <w:sz w:val="22"/>
          <w:szCs w:val="22"/>
          <w:lang w:val="en-US"/>
        </w:rPr>
        <w:t>4</w:t>
      </w:r>
      <w:r w:rsidRPr="00B93573">
        <w:rPr>
          <w:rFonts w:ascii="Tahoma" w:hAnsi="Tahoma" w:cs="Tahoma"/>
          <w:sz w:val="22"/>
          <w:szCs w:val="22"/>
          <w:lang w:val="en-US"/>
        </w:rPr>
        <w:t xml:space="preserve">.“That for the purpose of Section 551 of the Companies Act 2006, the directors be and are hereby generally and unconditionally </w:t>
      </w:r>
      <w:proofErr w:type="spellStart"/>
      <w:r w:rsidRPr="00B93573">
        <w:rPr>
          <w:rFonts w:ascii="Tahoma" w:hAnsi="Tahoma" w:cs="Tahoma"/>
          <w:sz w:val="22"/>
          <w:szCs w:val="22"/>
          <w:lang w:val="en-US"/>
        </w:rPr>
        <w:t>authorised</w:t>
      </w:r>
      <w:proofErr w:type="spellEnd"/>
      <w:r w:rsidRPr="00B93573">
        <w:rPr>
          <w:rFonts w:ascii="Tahoma" w:hAnsi="Tahoma" w:cs="Tahoma"/>
          <w:sz w:val="22"/>
          <w:szCs w:val="22"/>
          <w:lang w:val="en-US"/>
        </w:rPr>
        <w:t xml:space="preserve"> to exercise all the powers of the Company to allot equity securities (within the meaning of Section 560 of that Act): </w:t>
      </w:r>
    </w:p>
    <w:p w14:paraId="04082B12"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4868FEB8" w14:textId="693DE8BB" w:rsidR="001F5211" w:rsidRPr="00B93573" w:rsidRDefault="001F5211" w:rsidP="001F5211">
      <w:pPr>
        <w:pStyle w:val="NoticeofAGMtabbed"/>
        <w:spacing w:line="288" w:lineRule="auto"/>
        <w:ind w:left="567" w:hanging="567"/>
        <w:jc w:val="both"/>
        <w:rPr>
          <w:rFonts w:ascii="Tahoma" w:hAnsi="Tahoma" w:cs="Tahoma"/>
          <w:sz w:val="22"/>
          <w:szCs w:val="22"/>
          <w:lang w:val="en-US"/>
        </w:rPr>
      </w:pPr>
      <w:r w:rsidRPr="00B93573">
        <w:rPr>
          <w:rFonts w:ascii="Tahoma" w:hAnsi="Tahoma" w:cs="Tahoma"/>
          <w:sz w:val="22"/>
          <w:szCs w:val="22"/>
          <w:lang w:val="en-US"/>
        </w:rPr>
        <w:tab/>
        <w:t xml:space="preserve">(a) up to an aggregate nominal amount of </w:t>
      </w:r>
      <w:proofErr w:type="gramStart"/>
      <w:r w:rsidRPr="00B93573">
        <w:rPr>
          <w:rFonts w:ascii="Tahoma" w:hAnsi="Tahoma" w:cs="Tahoma"/>
          <w:sz w:val="22"/>
          <w:szCs w:val="22"/>
          <w:lang w:val="en-US"/>
        </w:rPr>
        <w:t>£</w:t>
      </w:r>
      <w:r w:rsidR="008A478A">
        <w:rPr>
          <w:rFonts w:ascii="Tahoma" w:hAnsi="Tahoma" w:cs="Tahoma"/>
          <w:sz w:val="22"/>
          <w:szCs w:val="22"/>
          <w:lang w:val="en-US"/>
        </w:rPr>
        <w:t>7,787,083</w:t>
      </w:r>
      <w:r w:rsidRPr="00B93573">
        <w:rPr>
          <w:rFonts w:ascii="Tahoma" w:hAnsi="Tahoma" w:cs="Tahoma"/>
          <w:sz w:val="22"/>
          <w:szCs w:val="22"/>
          <w:lang w:val="en-US"/>
        </w:rPr>
        <w:t>;</w:t>
      </w:r>
      <w:proofErr w:type="gramEnd"/>
    </w:p>
    <w:p w14:paraId="7F00C6FC" w14:textId="77777777" w:rsidR="001F5211" w:rsidRPr="00B93573" w:rsidRDefault="001F5211" w:rsidP="001F5211">
      <w:pPr>
        <w:pStyle w:val="NoticeofAGMtabbed"/>
        <w:spacing w:line="288" w:lineRule="auto"/>
        <w:ind w:left="283" w:hanging="283"/>
        <w:jc w:val="both"/>
        <w:rPr>
          <w:rFonts w:ascii="Tahoma" w:hAnsi="Tahoma" w:cs="Tahoma"/>
          <w:sz w:val="22"/>
          <w:szCs w:val="22"/>
          <w:lang w:val="en-US"/>
        </w:rPr>
      </w:pPr>
    </w:p>
    <w:p w14:paraId="5BDEB233" w14:textId="4D78752B" w:rsidR="001F5211" w:rsidRDefault="001F5211" w:rsidP="00855E1F">
      <w:pPr>
        <w:pStyle w:val="NoticeofAGMtabbed"/>
        <w:tabs>
          <w:tab w:val="clear" w:pos="283"/>
          <w:tab w:val="left" w:pos="284"/>
        </w:tabs>
        <w:spacing w:line="288" w:lineRule="auto"/>
        <w:ind w:left="283" w:hanging="283"/>
        <w:jc w:val="both"/>
        <w:rPr>
          <w:rFonts w:ascii="Tahoma" w:hAnsi="Tahoma" w:cs="Tahoma"/>
          <w:sz w:val="22"/>
          <w:szCs w:val="22"/>
          <w:lang w:val="en-US"/>
        </w:rPr>
      </w:pPr>
      <w:r w:rsidRPr="00B93573">
        <w:rPr>
          <w:rFonts w:ascii="Tahoma" w:hAnsi="Tahoma" w:cs="Tahoma"/>
          <w:sz w:val="22"/>
          <w:szCs w:val="22"/>
          <w:lang w:val="en-US"/>
        </w:rPr>
        <w:tab/>
        <w:t>(b)</w:t>
      </w:r>
      <w:r w:rsidRPr="00B93573">
        <w:rPr>
          <w:rFonts w:ascii="Tahoma" w:hAnsi="Tahoma" w:cs="Tahoma"/>
          <w:sz w:val="22"/>
          <w:szCs w:val="22"/>
          <w:lang w:val="en-US"/>
        </w:rPr>
        <w:tab/>
        <w:t xml:space="preserve"> up to an aggregate nominal amount of </w:t>
      </w:r>
      <w:r w:rsidR="00937A00" w:rsidRPr="00B93573">
        <w:rPr>
          <w:rFonts w:ascii="Tahoma" w:hAnsi="Tahoma" w:cs="Tahoma"/>
          <w:sz w:val="22"/>
          <w:szCs w:val="22"/>
          <w:lang w:val="en-US"/>
        </w:rPr>
        <w:t>£</w:t>
      </w:r>
      <w:r w:rsidR="00D8234A">
        <w:rPr>
          <w:rFonts w:ascii="Tahoma" w:hAnsi="Tahoma" w:cs="Tahoma"/>
          <w:sz w:val="22"/>
          <w:szCs w:val="22"/>
          <w:lang w:val="en-US"/>
        </w:rPr>
        <w:t>7,787,083</w:t>
      </w:r>
      <w:r w:rsidRPr="00B93573">
        <w:rPr>
          <w:rFonts w:ascii="Tahoma" w:hAnsi="Tahoma" w:cs="Tahoma"/>
          <w:sz w:val="22"/>
          <w:szCs w:val="22"/>
          <w:lang w:val="en-US"/>
        </w:rPr>
        <w:t xml:space="preserve"> in connection with a rights issue in </w:t>
      </w:r>
      <w:proofErr w:type="spellStart"/>
      <w:r w:rsidRPr="00B93573">
        <w:rPr>
          <w:rFonts w:ascii="Tahoma" w:hAnsi="Tahoma" w:cs="Tahoma"/>
          <w:sz w:val="22"/>
          <w:szCs w:val="22"/>
          <w:lang w:val="en-US"/>
        </w:rPr>
        <w:t>favour</w:t>
      </w:r>
      <w:proofErr w:type="spellEnd"/>
      <w:r w:rsidRPr="00B93573">
        <w:rPr>
          <w:rFonts w:ascii="Tahoma" w:hAnsi="Tahoma" w:cs="Tahoma"/>
          <w:sz w:val="22"/>
          <w:szCs w:val="22"/>
          <w:lang w:val="en-US"/>
        </w:rPr>
        <w:t xml:space="preserve"> of </w:t>
      </w:r>
      <w:r w:rsidR="00855E1F">
        <w:rPr>
          <w:rFonts w:ascii="Tahoma" w:hAnsi="Tahoma" w:cs="Tahoma"/>
          <w:sz w:val="22"/>
          <w:szCs w:val="22"/>
          <w:lang w:val="en-US"/>
        </w:rPr>
        <w:t xml:space="preserve">the </w:t>
      </w:r>
      <w:r w:rsidRPr="00B93573">
        <w:rPr>
          <w:rFonts w:ascii="Tahoma" w:hAnsi="Tahoma" w:cs="Tahoma"/>
          <w:sz w:val="22"/>
          <w:szCs w:val="22"/>
          <w:lang w:val="en-US"/>
        </w:rPr>
        <w:t xml:space="preserve">ordinary shareholders of the Company where the equity securities respectively attributable to the interests </w:t>
      </w:r>
      <w:r w:rsidRPr="00B93573">
        <w:rPr>
          <w:rFonts w:ascii="Tahoma" w:hAnsi="Tahoma" w:cs="Tahoma"/>
          <w:sz w:val="22"/>
          <w:szCs w:val="22"/>
          <w:lang w:val="en-US"/>
        </w:rPr>
        <w:lastRenderedPageBreak/>
        <w:t xml:space="preserve">of all ordinary shareholders are proportionate (as nearly as may be) to the respective number of ordinary shares held by them in the Company, or in </w:t>
      </w:r>
      <w:proofErr w:type="spellStart"/>
      <w:r w:rsidRPr="00B93573">
        <w:rPr>
          <w:rFonts w:ascii="Tahoma" w:hAnsi="Tahoma" w:cs="Tahoma"/>
          <w:sz w:val="22"/>
          <w:szCs w:val="22"/>
          <w:lang w:val="en-US"/>
        </w:rPr>
        <w:t>favour</w:t>
      </w:r>
      <w:proofErr w:type="spellEnd"/>
      <w:r w:rsidRPr="00B93573">
        <w:rPr>
          <w:rFonts w:ascii="Tahoma" w:hAnsi="Tahoma" w:cs="Tahoma"/>
          <w:sz w:val="22"/>
          <w:szCs w:val="22"/>
          <w:lang w:val="en-US"/>
        </w:rPr>
        <w:t xml:space="preserve"> of the holders of other equity securities as required by the rights of those securities, subject </w:t>
      </w:r>
      <w:r w:rsidR="00855E1F">
        <w:rPr>
          <w:rFonts w:ascii="Tahoma" w:hAnsi="Tahoma" w:cs="Tahoma"/>
          <w:sz w:val="22"/>
          <w:szCs w:val="22"/>
          <w:lang w:val="en-US"/>
        </w:rPr>
        <w:t xml:space="preserve">in both cases </w:t>
      </w:r>
      <w:r w:rsidRPr="00B93573">
        <w:rPr>
          <w:rFonts w:ascii="Tahoma" w:hAnsi="Tahoma" w:cs="Tahoma"/>
          <w:sz w:val="22"/>
          <w:szCs w:val="22"/>
          <w:lang w:val="en-US"/>
        </w:rPr>
        <w:t xml:space="preserve">to such exclusions or other arrangements as the </w:t>
      </w:r>
      <w:r w:rsidR="00855E1F">
        <w:rPr>
          <w:rFonts w:ascii="Tahoma" w:hAnsi="Tahoma" w:cs="Tahoma"/>
          <w:sz w:val="22"/>
          <w:szCs w:val="22"/>
          <w:lang w:val="en-US"/>
        </w:rPr>
        <w:t>D</w:t>
      </w:r>
      <w:r w:rsidRPr="00B93573">
        <w:rPr>
          <w:rFonts w:ascii="Tahoma" w:hAnsi="Tahoma" w:cs="Tahoma"/>
          <w:sz w:val="22"/>
          <w:szCs w:val="22"/>
          <w:lang w:val="en-US"/>
        </w:rPr>
        <w:t xml:space="preserve">irectors may deem necessary or expedient to deal with treasury shares, fractional entitlements or legal or practical problems arising under the laws of any overseas territory or the requirements of any regulatory body or stock exchange or by virtue of shares being represented by depositary receipts or any other matters, provided that this authority shall expire on the date of the next Annual General Meeting of the Company after the passing of the resolution, but so that the </w:t>
      </w:r>
      <w:r w:rsidR="00855E1F">
        <w:rPr>
          <w:rFonts w:ascii="Tahoma" w:hAnsi="Tahoma" w:cs="Tahoma"/>
          <w:sz w:val="22"/>
          <w:szCs w:val="22"/>
          <w:lang w:val="en-US"/>
        </w:rPr>
        <w:t>D</w:t>
      </w:r>
      <w:r w:rsidRPr="00B93573">
        <w:rPr>
          <w:rFonts w:ascii="Tahoma" w:hAnsi="Tahoma" w:cs="Tahoma"/>
          <w:sz w:val="22"/>
          <w:szCs w:val="22"/>
          <w:lang w:val="en-US"/>
        </w:rPr>
        <w:t xml:space="preserve">irectors may at any time prior to such expiry make an offer or agreement which would or might require equity securities to be allotted after such expiry and the </w:t>
      </w:r>
      <w:r w:rsidR="00855E1F">
        <w:rPr>
          <w:rFonts w:ascii="Tahoma" w:hAnsi="Tahoma" w:cs="Tahoma"/>
          <w:sz w:val="22"/>
          <w:szCs w:val="22"/>
          <w:lang w:val="en-US"/>
        </w:rPr>
        <w:t>D</w:t>
      </w:r>
      <w:r w:rsidRPr="00B93573">
        <w:rPr>
          <w:rFonts w:ascii="Tahoma" w:hAnsi="Tahoma" w:cs="Tahoma"/>
          <w:sz w:val="22"/>
          <w:szCs w:val="22"/>
          <w:lang w:val="en-US"/>
        </w:rPr>
        <w:t xml:space="preserve">irectors may allot equity securities pursuant to any such offer or agreement as if the authority conferred by this resolution had not expired; and all unexercised authorities previously granted to the </w:t>
      </w:r>
      <w:r w:rsidR="00855E1F">
        <w:rPr>
          <w:rFonts w:ascii="Tahoma" w:hAnsi="Tahoma" w:cs="Tahoma"/>
          <w:sz w:val="22"/>
          <w:szCs w:val="22"/>
          <w:lang w:val="en-US"/>
        </w:rPr>
        <w:t>D</w:t>
      </w:r>
      <w:r w:rsidRPr="00B93573">
        <w:rPr>
          <w:rFonts w:ascii="Tahoma" w:hAnsi="Tahoma" w:cs="Tahoma"/>
          <w:sz w:val="22"/>
          <w:szCs w:val="22"/>
          <w:lang w:val="en-US"/>
        </w:rPr>
        <w:t>irectors to allot equity securities are revoked.”</w:t>
      </w:r>
    </w:p>
    <w:p w14:paraId="096723B9" w14:textId="77777777" w:rsidR="00D2148B" w:rsidRDefault="00D2148B" w:rsidP="001F5211">
      <w:pPr>
        <w:pStyle w:val="NoticeofAGMtabbed"/>
        <w:spacing w:line="288" w:lineRule="auto"/>
        <w:ind w:left="283"/>
        <w:jc w:val="both"/>
        <w:rPr>
          <w:rFonts w:ascii="Tahoma" w:hAnsi="Tahoma" w:cs="Tahoma"/>
          <w:sz w:val="22"/>
          <w:szCs w:val="22"/>
          <w:lang w:val="en-US"/>
        </w:rPr>
      </w:pPr>
    </w:p>
    <w:p w14:paraId="54D237D6" w14:textId="77777777" w:rsidR="001F5211" w:rsidRPr="00B93573" w:rsidRDefault="001F5211" w:rsidP="004B3D59">
      <w:pPr>
        <w:pStyle w:val="BACKENDSubHeadLevel1Blue"/>
        <w:spacing w:line="288" w:lineRule="auto"/>
        <w:ind w:left="426" w:hanging="142"/>
        <w:jc w:val="both"/>
        <w:rPr>
          <w:rFonts w:ascii="Tahoma" w:hAnsi="Tahoma" w:cs="Tahoma"/>
          <w:sz w:val="22"/>
          <w:szCs w:val="22"/>
          <w:u w:val="single"/>
          <w:lang w:val="en-US"/>
        </w:rPr>
      </w:pPr>
      <w:r w:rsidRPr="00B93573">
        <w:rPr>
          <w:rFonts w:ascii="Tahoma" w:hAnsi="Tahoma" w:cs="Tahoma"/>
          <w:sz w:val="22"/>
          <w:szCs w:val="22"/>
          <w:u w:val="single"/>
          <w:lang w:val="en-US"/>
        </w:rPr>
        <w:t>Special Resolutions</w:t>
      </w:r>
    </w:p>
    <w:p w14:paraId="1FB4FF76"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7DB908DC" w14:textId="557DEFBA" w:rsidR="001F5211" w:rsidRPr="00B93573" w:rsidRDefault="001F5211" w:rsidP="00087ED6">
      <w:pPr>
        <w:pStyle w:val="NoticeofAGMtabbed"/>
        <w:tabs>
          <w:tab w:val="clear" w:pos="283"/>
          <w:tab w:val="left" w:pos="426"/>
        </w:tabs>
        <w:spacing w:line="288" w:lineRule="auto"/>
        <w:ind w:left="426" w:hanging="426"/>
        <w:jc w:val="both"/>
        <w:rPr>
          <w:rFonts w:ascii="Tahoma" w:hAnsi="Tahoma" w:cs="Tahoma"/>
          <w:sz w:val="22"/>
          <w:szCs w:val="22"/>
          <w:lang w:val="en-US"/>
        </w:rPr>
      </w:pPr>
      <w:r w:rsidRPr="00B93573">
        <w:rPr>
          <w:rFonts w:ascii="Tahoma" w:hAnsi="Tahoma" w:cs="Tahoma"/>
          <w:sz w:val="22"/>
          <w:szCs w:val="22"/>
          <w:lang w:val="en-US"/>
        </w:rPr>
        <w:t>1</w:t>
      </w:r>
      <w:r w:rsidR="00C61A3F">
        <w:rPr>
          <w:rFonts w:ascii="Tahoma" w:hAnsi="Tahoma" w:cs="Tahoma"/>
          <w:sz w:val="22"/>
          <w:szCs w:val="22"/>
          <w:lang w:val="en-US"/>
        </w:rPr>
        <w:t>5</w:t>
      </w:r>
      <w:r w:rsidRPr="00B93573">
        <w:rPr>
          <w:rFonts w:ascii="Tahoma" w:hAnsi="Tahoma" w:cs="Tahoma"/>
          <w:sz w:val="22"/>
          <w:szCs w:val="22"/>
          <w:lang w:val="en-US"/>
        </w:rPr>
        <w:t>.</w:t>
      </w:r>
      <w:r w:rsidR="00087ED6">
        <w:rPr>
          <w:rFonts w:ascii="Tahoma" w:hAnsi="Tahoma" w:cs="Tahoma"/>
          <w:sz w:val="22"/>
          <w:szCs w:val="22"/>
          <w:lang w:val="en-US"/>
        </w:rPr>
        <w:tab/>
      </w:r>
      <w:r w:rsidRPr="00B93573">
        <w:rPr>
          <w:rFonts w:ascii="Tahoma" w:hAnsi="Tahoma" w:cs="Tahoma"/>
          <w:sz w:val="22"/>
          <w:szCs w:val="22"/>
          <w:lang w:val="en-US"/>
        </w:rPr>
        <w:t>“That subject to th</w:t>
      </w:r>
      <w:r w:rsidR="00730217">
        <w:rPr>
          <w:rFonts w:ascii="Tahoma" w:hAnsi="Tahoma" w:cs="Tahoma"/>
          <w:sz w:val="22"/>
          <w:szCs w:val="22"/>
          <w:lang w:val="en-US"/>
        </w:rPr>
        <w:t>e passing of R</w:t>
      </w:r>
      <w:r w:rsidRPr="00B93573">
        <w:rPr>
          <w:rFonts w:ascii="Tahoma" w:hAnsi="Tahoma" w:cs="Tahoma"/>
          <w:sz w:val="22"/>
          <w:szCs w:val="22"/>
          <w:lang w:val="en-US"/>
        </w:rPr>
        <w:t>esolution 1</w:t>
      </w:r>
      <w:r w:rsidR="00C61A3F">
        <w:rPr>
          <w:rFonts w:ascii="Tahoma" w:hAnsi="Tahoma" w:cs="Tahoma"/>
          <w:sz w:val="22"/>
          <w:szCs w:val="22"/>
          <w:lang w:val="en-US"/>
        </w:rPr>
        <w:t>4</w:t>
      </w:r>
      <w:r w:rsidRPr="00B93573">
        <w:rPr>
          <w:rFonts w:ascii="Tahoma" w:hAnsi="Tahoma" w:cs="Tahoma"/>
          <w:sz w:val="22"/>
          <w:szCs w:val="22"/>
          <w:lang w:val="en-US"/>
        </w:rPr>
        <w:t xml:space="preserve">, the </w:t>
      </w:r>
      <w:r w:rsidR="00855E1F">
        <w:rPr>
          <w:rFonts w:ascii="Tahoma" w:hAnsi="Tahoma" w:cs="Tahoma"/>
          <w:sz w:val="22"/>
          <w:szCs w:val="22"/>
          <w:lang w:val="en-US"/>
        </w:rPr>
        <w:t>D</w:t>
      </w:r>
      <w:r w:rsidRPr="00B93573">
        <w:rPr>
          <w:rFonts w:ascii="Tahoma" w:hAnsi="Tahoma" w:cs="Tahoma"/>
          <w:sz w:val="22"/>
          <w:szCs w:val="22"/>
          <w:lang w:val="en-US"/>
        </w:rPr>
        <w:t xml:space="preserve">irectors be and are hereby empowered, pursuant to </w:t>
      </w:r>
      <w:r w:rsidR="00855E1F">
        <w:rPr>
          <w:rFonts w:ascii="Tahoma" w:hAnsi="Tahoma" w:cs="Tahoma"/>
          <w:sz w:val="22"/>
          <w:szCs w:val="22"/>
          <w:lang w:val="en-US"/>
        </w:rPr>
        <w:t>Section 570</w:t>
      </w:r>
      <w:r w:rsidRPr="00B93573">
        <w:rPr>
          <w:rFonts w:ascii="Tahoma" w:hAnsi="Tahoma" w:cs="Tahoma"/>
          <w:sz w:val="22"/>
          <w:szCs w:val="22"/>
          <w:lang w:val="en-US"/>
        </w:rPr>
        <w:t xml:space="preserve"> of the Companies Act 2006 to </w:t>
      </w:r>
      <w:r w:rsidRPr="00B93573">
        <w:rPr>
          <w:rFonts w:ascii="Tahoma" w:hAnsi="Tahoma" w:cs="Tahoma"/>
          <w:spacing w:val="-6"/>
          <w:sz w:val="22"/>
          <w:szCs w:val="22"/>
          <w:lang w:val="en-US"/>
        </w:rPr>
        <w:t xml:space="preserve">allot equity securities (within the meaning of Section 560 of that Act) for cash either pursuant to the authority conferred by </w:t>
      </w:r>
      <w:r w:rsidR="00730217">
        <w:rPr>
          <w:rFonts w:ascii="Tahoma" w:hAnsi="Tahoma" w:cs="Tahoma"/>
          <w:spacing w:val="-6"/>
          <w:sz w:val="22"/>
          <w:szCs w:val="22"/>
          <w:lang w:val="en-US"/>
        </w:rPr>
        <w:t>R</w:t>
      </w:r>
      <w:r w:rsidRPr="00B93573">
        <w:rPr>
          <w:rFonts w:ascii="Tahoma" w:hAnsi="Tahoma" w:cs="Tahoma"/>
          <w:spacing w:val="-6"/>
          <w:sz w:val="22"/>
          <w:szCs w:val="22"/>
          <w:lang w:val="en-US"/>
        </w:rPr>
        <w:t xml:space="preserve">esolution </w:t>
      </w:r>
      <w:r w:rsidR="008725AB">
        <w:rPr>
          <w:rFonts w:ascii="Tahoma" w:hAnsi="Tahoma" w:cs="Tahoma"/>
          <w:spacing w:val="-6"/>
          <w:sz w:val="22"/>
          <w:szCs w:val="22"/>
          <w:lang w:val="en-US"/>
        </w:rPr>
        <w:t>1</w:t>
      </w:r>
      <w:r w:rsidR="00753254">
        <w:rPr>
          <w:rFonts w:ascii="Tahoma" w:hAnsi="Tahoma" w:cs="Tahoma"/>
          <w:spacing w:val="-6"/>
          <w:sz w:val="22"/>
          <w:szCs w:val="22"/>
          <w:lang w:val="en-US"/>
        </w:rPr>
        <w:t>4</w:t>
      </w:r>
      <w:r w:rsidRPr="00B93573">
        <w:rPr>
          <w:rFonts w:ascii="Tahoma" w:hAnsi="Tahoma" w:cs="Tahoma"/>
          <w:spacing w:val="-6"/>
          <w:sz w:val="22"/>
          <w:szCs w:val="22"/>
          <w:lang w:val="en-US"/>
        </w:rPr>
        <w:t xml:space="preserve"> or by way of a sale of treasury shares </w:t>
      </w:r>
      <w:r w:rsidRPr="00B93573">
        <w:rPr>
          <w:rFonts w:ascii="Tahoma" w:hAnsi="Tahoma" w:cs="Tahoma"/>
          <w:sz w:val="22"/>
          <w:szCs w:val="22"/>
          <w:lang w:val="en-US"/>
        </w:rPr>
        <w:t xml:space="preserve">as if Section 561 of that Act did not apply to any such allotment, provided that this power shall be limited to: </w:t>
      </w:r>
    </w:p>
    <w:p w14:paraId="3E95EC90" w14:textId="77777777" w:rsidR="001F5211" w:rsidRPr="00B93573" w:rsidRDefault="001F5211" w:rsidP="00087ED6">
      <w:pPr>
        <w:pStyle w:val="NoticeofAGMtabbed"/>
        <w:spacing w:line="288" w:lineRule="auto"/>
        <w:ind w:left="426"/>
        <w:jc w:val="both"/>
        <w:rPr>
          <w:rFonts w:ascii="Tahoma" w:hAnsi="Tahoma" w:cs="Tahoma"/>
          <w:sz w:val="22"/>
          <w:szCs w:val="22"/>
          <w:lang w:val="en-US"/>
        </w:rPr>
      </w:pPr>
    </w:p>
    <w:p w14:paraId="18A127E8" w14:textId="3E61C0A0" w:rsidR="001F5211" w:rsidRPr="00B93573" w:rsidRDefault="00087ED6" w:rsidP="00087ED6">
      <w:pPr>
        <w:pStyle w:val="NoticeofAGMtabbed"/>
        <w:numPr>
          <w:ilvl w:val="0"/>
          <w:numId w:val="14"/>
        </w:numPr>
        <w:tabs>
          <w:tab w:val="clear" w:pos="283"/>
          <w:tab w:val="clear" w:pos="567"/>
          <w:tab w:val="left" w:pos="709"/>
          <w:tab w:val="left" w:pos="851"/>
        </w:tabs>
        <w:spacing w:line="288" w:lineRule="auto"/>
        <w:ind w:left="426" w:firstLine="0"/>
        <w:jc w:val="both"/>
        <w:rPr>
          <w:rFonts w:ascii="Tahoma" w:hAnsi="Tahoma" w:cs="Tahoma"/>
          <w:sz w:val="22"/>
          <w:szCs w:val="22"/>
          <w:lang w:val="en-US"/>
        </w:rPr>
      </w:pPr>
      <w:r>
        <w:rPr>
          <w:rFonts w:ascii="Tahoma" w:hAnsi="Tahoma" w:cs="Tahoma"/>
          <w:sz w:val="22"/>
          <w:szCs w:val="22"/>
          <w:lang w:val="en-US"/>
        </w:rPr>
        <w:t xml:space="preserve"> </w:t>
      </w:r>
      <w:r w:rsidR="001F5211" w:rsidRPr="00B93573">
        <w:rPr>
          <w:rFonts w:ascii="Tahoma" w:hAnsi="Tahoma" w:cs="Tahoma"/>
          <w:sz w:val="22"/>
          <w:szCs w:val="22"/>
          <w:lang w:val="en-US"/>
        </w:rPr>
        <w:t xml:space="preserve">the allotment of equity securities in connection with an offer of securities (but in the case of the </w:t>
      </w:r>
      <w:r>
        <w:rPr>
          <w:rFonts w:ascii="Tahoma" w:hAnsi="Tahoma" w:cs="Tahoma"/>
          <w:sz w:val="22"/>
          <w:szCs w:val="22"/>
          <w:lang w:val="en-US"/>
        </w:rPr>
        <w:tab/>
      </w:r>
      <w:r w:rsidR="001F5211" w:rsidRPr="00B93573">
        <w:rPr>
          <w:rFonts w:ascii="Tahoma" w:hAnsi="Tahoma" w:cs="Tahoma"/>
          <w:sz w:val="22"/>
          <w:szCs w:val="22"/>
          <w:lang w:val="en-US"/>
        </w:rPr>
        <w:t>authority granted under paragraph (b) of Resolution 1</w:t>
      </w:r>
      <w:r w:rsidR="00753254">
        <w:rPr>
          <w:rFonts w:ascii="Tahoma" w:hAnsi="Tahoma" w:cs="Tahoma"/>
          <w:sz w:val="22"/>
          <w:szCs w:val="22"/>
          <w:lang w:val="en-US"/>
        </w:rPr>
        <w:t>4</w:t>
      </w:r>
      <w:r w:rsidR="001F5211" w:rsidRPr="00B93573">
        <w:rPr>
          <w:rFonts w:ascii="Tahoma" w:hAnsi="Tahoma" w:cs="Tahoma"/>
          <w:sz w:val="22"/>
          <w:szCs w:val="22"/>
          <w:lang w:val="en-US"/>
        </w:rPr>
        <w:t xml:space="preserve"> by way of rights issue only) in </w:t>
      </w:r>
      <w:proofErr w:type="spellStart"/>
      <w:r w:rsidR="001F5211" w:rsidRPr="00B93573">
        <w:rPr>
          <w:rFonts w:ascii="Tahoma" w:hAnsi="Tahoma" w:cs="Tahoma"/>
          <w:sz w:val="22"/>
          <w:szCs w:val="22"/>
          <w:lang w:val="en-US"/>
        </w:rPr>
        <w:t>favour</w:t>
      </w:r>
      <w:proofErr w:type="spellEnd"/>
      <w:r w:rsidR="001F5211" w:rsidRPr="00B93573">
        <w:rPr>
          <w:rFonts w:ascii="Tahoma" w:hAnsi="Tahoma" w:cs="Tahoma"/>
          <w:sz w:val="22"/>
          <w:szCs w:val="22"/>
          <w:lang w:val="en-US"/>
        </w:rPr>
        <w:t xml:space="preserve"> of </w:t>
      </w:r>
      <w:r>
        <w:rPr>
          <w:rFonts w:ascii="Tahoma" w:hAnsi="Tahoma" w:cs="Tahoma"/>
          <w:sz w:val="22"/>
          <w:szCs w:val="22"/>
          <w:lang w:val="en-US"/>
        </w:rPr>
        <w:tab/>
      </w:r>
      <w:r w:rsidR="001F5211" w:rsidRPr="00B93573">
        <w:rPr>
          <w:rFonts w:ascii="Tahoma" w:hAnsi="Tahoma" w:cs="Tahoma"/>
          <w:sz w:val="22"/>
          <w:szCs w:val="22"/>
          <w:lang w:val="en-US"/>
        </w:rPr>
        <w:t xml:space="preserve">ordinary shareholders of the Company and other persons entitled to participate therein where the </w:t>
      </w:r>
      <w:r>
        <w:rPr>
          <w:rFonts w:ascii="Tahoma" w:hAnsi="Tahoma" w:cs="Tahoma"/>
          <w:sz w:val="22"/>
          <w:szCs w:val="22"/>
          <w:lang w:val="en-US"/>
        </w:rPr>
        <w:tab/>
      </w:r>
      <w:r w:rsidR="001F5211" w:rsidRPr="00B93573">
        <w:rPr>
          <w:rFonts w:ascii="Tahoma" w:hAnsi="Tahoma" w:cs="Tahoma"/>
          <w:sz w:val="22"/>
          <w:szCs w:val="22"/>
          <w:lang w:val="en-US"/>
        </w:rPr>
        <w:t xml:space="preserve">equity securities respectively attributable to the interest of all such holders are proportionate (as nearly </w:t>
      </w:r>
      <w:r>
        <w:rPr>
          <w:rFonts w:ascii="Tahoma" w:hAnsi="Tahoma" w:cs="Tahoma"/>
          <w:sz w:val="22"/>
          <w:szCs w:val="22"/>
          <w:lang w:val="en-US"/>
        </w:rPr>
        <w:tab/>
      </w:r>
      <w:r w:rsidR="001F5211" w:rsidRPr="00B93573">
        <w:rPr>
          <w:rFonts w:ascii="Tahoma" w:hAnsi="Tahoma" w:cs="Tahoma"/>
          <w:sz w:val="22"/>
          <w:szCs w:val="22"/>
          <w:lang w:val="en-US"/>
        </w:rPr>
        <w:t xml:space="preserve">as may be practicable) to the respective numbers of ordinary shares held or deemed to be held by </w:t>
      </w:r>
      <w:r>
        <w:rPr>
          <w:rFonts w:ascii="Tahoma" w:hAnsi="Tahoma" w:cs="Tahoma"/>
          <w:sz w:val="22"/>
          <w:szCs w:val="22"/>
          <w:lang w:val="en-US"/>
        </w:rPr>
        <w:tab/>
      </w:r>
      <w:r w:rsidR="001F5211" w:rsidRPr="00B93573">
        <w:rPr>
          <w:rFonts w:ascii="Tahoma" w:hAnsi="Tahoma" w:cs="Tahoma"/>
          <w:sz w:val="22"/>
          <w:szCs w:val="22"/>
          <w:lang w:val="en-US"/>
        </w:rPr>
        <w:t xml:space="preserve">them, subject to such exclusions or other arrangements as the </w:t>
      </w:r>
      <w:r w:rsidR="00730217">
        <w:rPr>
          <w:rFonts w:ascii="Tahoma" w:hAnsi="Tahoma" w:cs="Tahoma"/>
          <w:sz w:val="22"/>
          <w:szCs w:val="22"/>
          <w:lang w:val="en-US"/>
        </w:rPr>
        <w:t>Di</w:t>
      </w:r>
      <w:r w:rsidR="001F5211" w:rsidRPr="00B93573">
        <w:rPr>
          <w:rFonts w:ascii="Tahoma" w:hAnsi="Tahoma" w:cs="Tahoma"/>
          <w:sz w:val="22"/>
          <w:szCs w:val="22"/>
          <w:lang w:val="en-US"/>
        </w:rPr>
        <w:t xml:space="preserve">rectors may deem necessary or </w:t>
      </w:r>
      <w:r>
        <w:rPr>
          <w:rFonts w:ascii="Tahoma" w:hAnsi="Tahoma" w:cs="Tahoma"/>
          <w:sz w:val="22"/>
          <w:szCs w:val="22"/>
          <w:lang w:val="en-US"/>
        </w:rPr>
        <w:tab/>
      </w:r>
      <w:r w:rsidR="001F5211" w:rsidRPr="00B93573">
        <w:rPr>
          <w:rFonts w:ascii="Tahoma" w:hAnsi="Tahoma" w:cs="Tahoma"/>
          <w:sz w:val="22"/>
          <w:szCs w:val="22"/>
          <w:lang w:val="en-US"/>
        </w:rPr>
        <w:t xml:space="preserve">expedient to deal with treasury shares, fractional entitlements or legal or practical problems arising </w:t>
      </w:r>
      <w:r>
        <w:rPr>
          <w:rFonts w:ascii="Tahoma" w:hAnsi="Tahoma" w:cs="Tahoma"/>
          <w:sz w:val="22"/>
          <w:szCs w:val="22"/>
          <w:lang w:val="en-US"/>
        </w:rPr>
        <w:tab/>
      </w:r>
      <w:r w:rsidR="001F5211" w:rsidRPr="00B93573">
        <w:rPr>
          <w:rFonts w:ascii="Tahoma" w:hAnsi="Tahoma" w:cs="Tahoma"/>
          <w:sz w:val="22"/>
          <w:szCs w:val="22"/>
          <w:lang w:val="en-US"/>
        </w:rPr>
        <w:t xml:space="preserve">under the laws of any overseas territory or the requirements of any regulatory body or any stock </w:t>
      </w:r>
      <w:r>
        <w:rPr>
          <w:rFonts w:ascii="Tahoma" w:hAnsi="Tahoma" w:cs="Tahoma"/>
          <w:sz w:val="22"/>
          <w:szCs w:val="22"/>
          <w:lang w:val="en-US"/>
        </w:rPr>
        <w:tab/>
      </w:r>
      <w:r w:rsidR="001F5211" w:rsidRPr="00B93573">
        <w:rPr>
          <w:rFonts w:ascii="Tahoma" w:hAnsi="Tahoma" w:cs="Tahoma"/>
          <w:sz w:val="22"/>
          <w:szCs w:val="22"/>
          <w:lang w:val="en-US"/>
        </w:rPr>
        <w:t>exchange or by virtue of shares being represented by depositary receipts or any other matter; and</w:t>
      </w:r>
    </w:p>
    <w:p w14:paraId="7984AFB7" w14:textId="77777777" w:rsidR="001F5211" w:rsidRPr="00B93573" w:rsidRDefault="001F5211" w:rsidP="00087ED6">
      <w:pPr>
        <w:pStyle w:val="NoticeofAGMtabbed"/>
        <w:spacing w:line="288" w:lineRule="auto"/>
        <w:ind w:left="426"/>
        <w:jc w:val="both"/>
        <w:rPr>
          <w:rFonts w:ascii="Tahoma" w:hAnsi="Tahoma" w:cs="Tahoma"/>
          <w:sz w:val="22"/>
          <w:szCs w:val="22"/>
          <w:lang w:val="en-US"/>
        </w:rPr>
      </w:pPr>
    </w:p>
    <w:p w14:paraId="725607C6" w14:textId="120179E4" w:rsidR="001F5211" w:rsidRPr="00B93573" w:rsidRDefault="00087ED6" w:rsidP="00087ED6">
      <w:pPr>
        <w:pStyle w:val="NoticeofAGMtabbed"/>
        <w:numPr>
          <w:ilvl w:val="0"/>
          <w:numId w:val="14"/>
        </w:numPr>
        <w:tabs>
          <w:tab w:val="clear" w:pos="567"/>
          <w:tab w:val="left" w:pos="709"/>
        </w:tabs>
        <w:spacing w:line="288" w:lineRule="auto"/>
        <w:ind w:left="426" w:firstLine="0"/>
        <w:jc w:val="both"/>
        <w:rPr>
          <w:rFonts w:ascii="Tahoma" w:hAnsi="Tahoma" w:cs="Tahoma"/>
          <w:sz w:val="22"/>
          <w:szCs w:val="22"/>
          <w:lang w:val="en-US"/>
        </w:rPr>
      </w:pPr>
      <w:r>
        <w:rPr>
          <w:rFonts w:ascii="Tahoma" w:hAnsi="Tahoma" w:cs="Tahoma"/>
          <w:sz w:val="22"/>
          <w:szCs w:val="22"/>
          <w:lang w:val="en-US"/>
        </w:rPr>
        <w:t xml:space="preserve"> </w:t>
      </w:r>
      <w:r w:rsidR="001F5211" w:rsidRPr="00B93573">
        <w:rPr>
          <w:rFonts w:ascii="Tahoma" w:hAnsi="Tahoma" w:cs="Tahoma"/>
          <w:sz w:val="22"/>
          <w:szCs w:val="22"/>
          <w:lang w:val="en-US"/>
        </w:rPr>
        <w:t xml:space="preserve">the allotment of equity securities (otherwise than pursuant to paragraph (a) above) having a </w:t>
      </w:r>
      <w:r w:rsidR="004B3D59">
        <w:rPr>
          <w:rFonts w:ascii="Tahoma" w:hAnsi="Tahoma" w:cs="Tahoma"/>
          <w:sz w:val="22"/>
          <w:szCs w:val="22"/>
          <w:lang w:val="en-US"/>
        </w:rPr>
        <w:tab/>
        <w:t xml:space="preserve">   </w:t>
      </w:r>
      <w:r>
        <w:rPr>
          <w:rFonts w:ascii="Tahoma" w:hAnsi="Tahoma" w:cs="Tahoma"/>
          <w:sz w:val="22"/>
          <w:szCs w:val="22"/>
          <w:lang w:val="en-US"/>
        </w:rPr>
        <w:tab/>
      </w:r>
      <w:r w:rsidR="001F5211" w:rsidRPr="00B93573">
        <w:rPr>
          <w:rFonts w:ascii="Tahoma" w:hAnsi="Tahoma" w:cs="Tahoma"/>
          <w:sz w:val="22"/>
          <w:szCs w:val="22"/>
          <w:lang w:val="en-US"/>
        </w:rPr>
        <w:t>nominal value not exceeding in the aggregate £</w:t>
      </w:r>
      <w:r w:rsidR="00221D36">
        <w:rPr>
          <w:rFonts w:ascii="Tahoma" w:hAnsi="Tahoma" w:cs="Tahoma"/>
          <w:sz w:val="22"/>
          <w:szCs w:val="22"/>
          <w:lang w:val="en-US"/>
        </w:rPr>
        <w:t>1,168,062</w:t>
      </w:r>
      <w:r w:rsidR="00730217">
        <w:rPr>
          <w:rFonts w:ascii="Tahoma" w:hAnsi="Tahoma" w:cs="Tahoma"/>
          <w:sz w:val="22"/>
          <w:szCs w:val="22"/>
          <w:lang w:val="en-US"/>
        </w:rPr>
        <w:t>,</w:t>
      </w:r>
    </w:p>
    <w:p w14:paraId="6975205A" w14:textId="77777777" w:rsidR="001F5211" w:rsidRDefault="001F5211" w:rsidP="00087ED6">
      <w:pPr>
        <w:pStyle w:val="NoticeofAGMtabbed"/>
        <w:tabs>
          <w:tab w:val="clear" w:pos="283"/>
          <w:tab w:val="left" w:pos="426"/>
        </w:tabs>
        <w:spacing w:line="288" w:lineRule="auto"/>
        <w:ind w:left="426" w:hanging="143"/>
        <w:jc w:val="both"/>
        <w:rPr>
          <w:rFonts w:ascii="Tahoma" w:hAnsi="Tahoma" w:cs="Tahoma"/>
          <w:sz w:val="22"/>
          <w:szCs w:val="22"/>
          <w:lang w:val="en-US"/>
        </w:rPr>
      </w:pPr>
      <w:r w:rsidRPr="00B93573">
        <w:rPr>
          <w:rFonts w:ascii="Tahoma" w:hAnsi="Tahoma" w:cs="Tahoma"/>
          <w:sz w:val="22"/>
          <w:szCs w:val="22"/>
          <w:lang w:val="en-US"/>
        </w:rPr>
        <w:tab/>
      </w:r>
      <w:r w:rsidRPr="00B93573">
        <w:rPr>
          <w:rFonts w:ascii="Tahoma" w:hAnsi="Tahoma" w:cs="Tahoma"/>
          <w:sz w:val="22"/>
          <w:szCs w:val="22"/>
          <w:lang w:val="en-US"/>
        </w:rPr>
        <w:br/>
        <w:t xml:space="preserve">and shall expire on the conclusion of the next Annual General Meeting of the Company after the passing of this resolution, save that the Company may before such expiry make offers or agreements which would or might require equity securities to be allotted after such expiry and the </w:t>
      </w:r>
      <w:r w:rsidR="00730217">
        <w:rPr>
          <w:rFonts w:ascii="Tahoma" w:hAnsi="Tahoma" w:cs="Tahoma"/>
          <w:sz w:val="22"/>
          <w:szCs w:val="22"/>
          <w:lang w:val="en-US"/>
        </w:rPr>
        <w:t>D</w:t>
      </w:r>
      <w:r w:rsidRPr="00B93573">
        <w:rPr>
          <w:rFonts w:ascii="Tahoma" w:hAnsi="Tahoma" w:cs="Tahoma"/>
          <w:sz w:val="22"/>
          <w:szCs w:val="22"/>
          <w:lang w:val="en-US"/>
        </w:rPr>
        <w:t>irectors may allot equity securities pursuant to any such offer or agreement as if the authority conferred by this resolution had not expired.”</w:t>
      </w:r>
    </w:p>
    <w:p w14:paraId="4D670C6A" w14:textId="77777777" w:rsidR="00730217" w:rsidRDefault="00730217" w:rsidP="00087ED6">
      <w:pPr>
        <w:pStyle w:val="NoticeofAGMtabbed"/>
        <w:tabs>
          <w:tab w:val="clear" w:pos="283"/>
          <w:tab w:val="left" w:pos="426"/>
        </w:tabs>
        <w:spacing w:line="288" w:lineRule="auto"/>
        <w:ind w:left="426" w:hanging="143"/>
        <w:jc w:val="both"/>
        <w:rPr>
          <w:rFonts w:ascii="Tahoma" w:hAnsi="Tahoma" w:cs="Tahoma"/>
          <w:sz w:val="22"/>
          <w:szCs w:val="22"/>
          <w:lang w:val="en-US"/>
        </w:rPr>
      </w:pPr>
    </w:p>
    <w:p w14:paraId="055411AF" w14:textId="143AF3C0" w:rsidR="001F5211" w:rsidRPr="00B93573" w:rsidRDefault="00730217" w:rsidP="001554AF">
      <w:pPr>
        <w:pStyle w:val="NoticeofAGMtabbed"/>
        <w:tabs>
          <w:tab w:val="clear" w:pos="283"/>
          <w:tab w:val="left" w:pos="426"/>
        </w:tabs>
        <w:spacing w:line="288" w:lineRule="auto"/>
        <w:ind w:left="426" w:hanging="426"/>
        <w:jc w:val="both"/>
        <w:rPr>
          <w:rFonts w:ascii="Tahoma" w:hAnsi="Tahoma" w:cs="Tahoma"/>
          <w:sz w:val="22"/>
          <w:szCs w:val="22"/>
          <w:lang w:val="en-US"/>
        </w:rPr>
      </w:pPr>
      <w:r w:rsidRPr="00B93573">
        <w:rPr>
          <w:rFonts w:ascii="Tahoma" w:hAnsi="Tahoma" w:cs="Tahoma"/>
          <w:sz w:val="22"/>
          <w:szCs w:val="22"/>
          <w:lang w:val="en-US"/>
        </w:rPr>
        <w:t>1</w:t>
      </w:r>
      <w:r w:rsidR="00A27E0B">
        <w:rPr>
          <w:rFonts w:ascii="Tahoma" w:hAnsi="Tahoma" w:cs="Tahoma"/>
          <w:sz w:val="22"/>
          <w:szCs w:val="22"/>
          <w:lang w:val="en-US"/>
        </w:rPr>
        <w:t>6</w:t>
      </w:r>
      <w:r w:rsidRPr="00B93573">
        <w:rPr>
          <w:rFonts w:ascii="Tahoma" w:hAnsi="Tahoma" w:cs="Tahoma"/>
          <w:sz w:val="22"/>
          <w:szCs w:val="22"/>
          <w:lang w:val="en-US"/>
        </w:rPr>
        <w:t>.</w:t>
      </w:r>
      <w:r>
        <w:rPr>
          <w:rFonts w:ascii="Tahoma" w:hAnsi="Tahoma" w:cs="Tahoma"/>
          <w:sz w:val="22"/>
          <w:szCs w:val="22"/>
          <w:lang w:val="en-US"/>
        </w:rPr>
        <w:tab/>
      </w:r>
      <w:r w:rsidR="001F5211" w:rsidRPr="00B93573">
        <w:rPr>
          <w:rFonts w:ascii="Tahoma" w:hAnsi="Tahoma" w:cs="Tahoma"/>
          <w:sz w:val="22"/>
          <w:szCs w:val="22"/>
          <w:lang w:val="en-US"/>
        </w:rPr>
        <w:t xml:space="preserve"> “That the Company be and is hereby generally and unconditionally </w:t>
      </w:r>
      <w:proofErr w:type="spellStart"/>
      <w:r w:rsidR="001F5211" w:rsidRPr="00B93573">
        <w:rPr>
          <w:rFonts w:ascii="Tahoma" w:hAnsi="Tahoma" w:cs="Tahoma"/>
          <w:sz w:val="22"/>
          <w:szCs w:val="22"/>
          <w:lang w:val="en-US"/>
        </w:rPr>
        <w:t>authorised</w:t>
      </w:r>
      <w:proofErr w:type="spellEnd"/>
      <w:r w:rsidR="001F5211" w:rsidRPr="00B93573">
        <w:rPr>
          <w:rFonts w:ascii="Tahoma" w:hAnsi="Tahoma" w:cs="Tahoma"/>
          <w:sz w:val="22"/>
          <w:szCs w:val="22"/>
          <w:lang w:val="en-US"/>
        </w:rPr>
        <w:t xml:space="preserve"> pursuant to Section 701 of the </w:t>
      </w:r>
      <w:r w:rsidR="00D67EE8">
        <w:rPr>
          <w:rFonts w:ascii="Tahoma" w:hAnsi="Tahoma" w:cs="Tahoma"/>
          <w:sz w:val="22"/>
          <w:szCs w:val="22"/>
          <w:lang w:val="en-US"/>
        </w:rPr>
        <w:t xml:space="preserve">Companies </w:t>
      </w:r>
      <w:r w:rsidR="001F5211" w:rsidRPr="00B93573">
        <w:rPr>
          <w:rFonts w:ascii="Tahoma" w:hAnsi="Tahoma" w:cs="Tahoma"/>
          <w:sz w:val="22"/>
          <w:szCs w:val="22"/>
          <w:lang w:val="en-US"/>
        </w:rPr>
        <w:t>Act</w:t>
      </w:r>
      <w:r w:rsidR="00D67EE8">
        <w:rPr>
          <w:rFonts w:ascii="Tahoma" w:hAnsi="Tahoma" w:cs="Tahoma"/>
          <w:sz w:val="22"/>
          <w:szCs w:val="22"/>
          <w:lang w:val="en-US"/>
        </w:rPr>
        <w:t xml:space="preserve"> 2006 </w:t>
      </w:r>
      <w:r w:rsidR="001F5211" w:rsidRPr="00B93573">
        <w:rPr>
          <w:rFonts w:ascii="Tahoma" w:hAnsi="Tahoma" w:cs="Tahoma"/>
          <w:sz w:val="22"/>
          <w:szCs w:val="22"/>
          <w:lang w:val="en-US"/>
        </w:rPr>
        <w:t>to make market purchases (as defined in Section 693(4) of th</w:t>
      </w:r>
      <w:r w:rsidR="00D67EE8">
        <w:rPr>
          <w:rFonts w:ascii="Tahoma" w:hAnsi="Tahoma" w:cs="Tahoma"/>
          <w:sz w:val="22"/>
          <w:szCs w:val="22"/>
          <w:lang w:val="en-US"/>
        </w:rPr>
        <w:t>at</w:t>
      </w:r>
      <w:r w:rsidR="001F5211" w:rsidRPr="00B93573">
        <w:rPr>
          <w:rFonts w:ascii="Tahoma" w:hAnsi="Tahoma" w:cs="Tahoma"/>
          <w:sz w:val="22"/>
          <w:szCs w:val="22"/>
          <w:lang w:val="en-US"/>
        </w:rPr>
        <w:t xml:space="preserve"> Act) of ordinary shares of 50p each in the capital of the Company (“Shares”) and the </w:t>
      </w:r>
      <w:r w:rsidR="00D67EE8">
        <w:rPr>
          <w:rFonts w:ascii="Tahoma" w:hAnsi="Tahoma" w:cs="Tahoma"/>
          <w:sz w:val="22"/>
          <w:szCs w:val="22"/>
          <w:lang w:val="en-US"/>
        </w:rPr>
        <w:t>D</w:t>
      </w:r>
      <w:r w:rsidR="001F5211" w:rsidRPr="00B93573">
        <w:rPr>
          <w:rFonts w:ascii="Tahoma" w:hAnsi="Tahoma" w:cs="Tahoma"/>
          <w:sz w:val="22"/>
          <w:szCs w:val="22"/>
          <w:lang w:val="en-US"/>
        </w:rPr>
        <w:t xml:space="preserve">irectors be and are hereby generally and unconditionally </w:t>
      </w:r>
      <w:proofErr w:type="spellStart"/>
      <w:r w:rsidR="001F5211" w:rsidRPr="00B93573">
        <w:rPr>
          <w:rFonts w:ascii="Tahoma" w:hAnsi="Tahoma" w:cs="Tahoma"/>
          <w:sz w:val="22"/>
          <w:szCs w:val="22"/>
          <w:lang w:val="en-US"/>
        </w:rPr>
        <w:t>authorised</w:t>
      </w:r>
      <w:proofErr w:type="spellEnd"/>
      <w:r w:rsidR="001F5211" w:rsidRPr="00B93573">
        <w:rPr>
          <w:rFonts w:ascii="Tahoma" w:hAnsi="Tahoma" w:cs="Tahoma"/>
          <w:sz w:val="22"/>
          <w:szCs w:val="22"/>
          <w:lang w:val="en-US"/>
        </w:rPr>
        <w:t xml:space="preserve"> to exercise all the powers of the Company to purchase the Shares, provided that:</w:t>
      </w:r>
    </w:p>
    <w:p w14:paraId="05370B85"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2BC18F7C" w14:textId="5D516007" w:rsidR="001F5211" w:rsidRPr="00B93573" w:rsidRDefault="001F5211" w:rsidP="001F5211">
      <w:pPr>
        <w:pStyle w:val="NoticeofAGMtabbed"/>
        <w:spacing w:line="288" w:lineRule="auto"/>
        <w:ind w:left="567" w:hanging="567"/>
        <w:jc w:val="both"/>
        <w:rPr>
          <w:rFonts w:ascii="Tahoma" w:hAnsi="Tahoma" w:cs="Tahoma"/>
          <w:sz w:val="22"/>
          <w:szCs w:val="22"/>
          <w:lang w:val="en-US"/>
        </w:rPr>
      </w:pPr>
      <w:r w:rsidRPr="00B93573">
        <w:rPr>
          <w:rFonts w:ascii="Tahoma" w:hAnsi="Tahoma" w:cs="Tahoma"/>
          <w:sz w:val="22"/>
          <w:szCs w:val="22"/>
          <w:lang w:val="en-US"/>
        </w:rPr>
        <w:tab/>
      </w:r>
      <w:r w:rsidRPr="00B93573">
        <w:rPr>
          <w:rFonts w:ascii="Tahoma" w:hAnsi="Tahoma" w:cs="Tahoma"/>
          <w:sz w:val="22"/>
          <w:szCs w:val="22"/>
          <w:lang w:val="en-US"/>
        </w:rPr>
        <w:tab/>
        <w:t xml:space="preserve">(a) the maximum number of Shares acquired pursuant to this authority shall not exceed </w:t>
      </w:r>
      <w:r w:rsidR="00C40D0F">
        <w:rPr>
          <w:rFonts w:ascii="Tahoma" w:hAnsi="Tahoma" w:cs="Tahoma"/>
          <w:sz w:val="22"/>
          <w:szCs w:val="22"/>
          <w:lang w:val="en-US"/>
        </w:rPr>
        <w:t>4,672,</w:t>
      </w:r>
      <w:r w:rsidR="00AA409E">
        <w:rPr>
          <w:rFonts w:ascii="Tahoma" w:hAnsi="Tahoma" w:cs="Tahoma"/>
          <w:sz w:val="22"/>
          <w:szCs w:val="22"/>
          <w:lang w:val="en-US"/>
        </w:rPr>
        <w:t>249</w:t>
      </w:r>
      <w:r w:rsidR="009F1CDF">
        <w:rPr>
          <w:rFonts w:ascii="Tahoma" w:hAnsi="Tahoma" w:cs="Tahoma"/>
          <w:sz w:val="22"/>
          <w:szCs w:val="22"/>
          <w:lang w:val="en-US"/>
        </w:rPr>
        <w:t xml:space="preserve"> </w:t>
      </w:r>
      <w:r w:rsidRPr="00B93573">
        <w:rPr>
          <w:rFonts w:ascii="Tahoma" w:hAnsi="Tahoma" w:cs="Tahoma"/>
          <w:sz w:val="22"/>
          <w:szCs w:val="22"/>
          <w:lang w:val="en-US"/>
        </w:rPr>
        <w:t xml:space="preserve">shares, the nominal value of which is </w:t>
      </w:r>
      <w:proofErr w:type="gramStart"/>
      <w:r w:rsidRPr="00B93573">
        <w:rPr>
          <w:rFonts w:ascii="Tahoma" w:hAnsi="Tahoma" w:cs="Tahoma"/>
          <w:sz w:val="22"/>
          <w:szCs w:val="22"/>
          <w:lang w:val="en-US"/>
        </w:rPr>
        <w:t>£</w:t>
      </w:r>
      <w:r w:rsidR="00AA409E">
        <w:rPr>
          <w:rFonts w:ascii="Tahoma" w:hAnsi="Tahoma" w:cs="Tahoma"/>
          <w:sz w:val="22"/>
          <w:szCs w:val="22"/>
          <w:lang w:val="en-US"/>
        </w:rPr>
        <w:t>2,336,124</w:t>
      </w:r>
      <w:r w:rsidRPr="00B93573">
        <w:rPr>
          <w:rFonts w:ascii="Tahoma" w:hAnsi="Tahoma" w:cs="Tahoma"/>
          <w:sz w:val="22"/>
          <w:szCs w:val="22"/>
          <w:lang w:val="en-US"/>
        </w:rPr>
        <w:t>;</w:t>
      </w:r>
      <w:proofErr w:type="gramEnd"/>
    </w:p>
    <w:p w14:paraId="3BAA5B4B"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117D1E85" w14:textId="77777777" w:rsidR="001F5211" w:rsidRPr="00B93573" w:rsidRDefault="001F5211" w:rsidP="001F5211">
      <w:pPr>
        <w:pStyle w:val="NoticeofAGMtabbed"/>
        <w:spacing w:line="288" w:lineRule="auto"/>
        <w:ind w:left="567" w:hanging="567"/>
        <w:jc w:val="both"/>
        <w:rPr>
          <w:rFonts w:ascii="Tahoma" w:hAnsi="Tahoma" w:cs="Tahoma"/>
          <w:sz w:val="22"/>
          <w:szCs w:val="22"/>
          <w:lang w:val="en-US"/>
        </w:rPr>
      </w:pPr>
      <w:r w:rsidRPr="00B93573">
        <w:rPr>
          <w:rFonts w:ascii="Tahoma" w:hAnsi="Tahoma" w:cs="Tahoma"/>
          <w:sz w:val="22"/>
          <w:szCs w:val="22"/>
          <w:lang w:val="en-US"/>
        </w:rPr>
        <w:tab/>
      </w:r>
      <w:r w:rsidRPr="00B93573">
        <w:rPr>
          <w:rFonts w:ascii="Tahoma" w:hAnsi="Tahoma" w:cs="Tahoma"/>
          <w:sz w:val="22"/>
          <w:szCs w:val="22"/>
          <w:lang w:val="en-US"/>
        </w:rPr>
        <w:tab/>
        <w:t xml:space="preserve">(b)  the minimum price (excluding expenses) which may be paid by the Company for a Share purchased pursuant to this authority shall be </w:t>
      </w:r>
      <w:proofErr w:type="gramStart"/>
      <w:r w:rsidRPr="00B93573">
        <w:rPr>
          <w:rFonts w:ascii="Tahoma" w:hAnsi="Tahoma" w:cs="Tahoma"/>
          <w:sz w:val="22"/>
          <w:szCs w:val="22"/>
          <w:lang w:val="en-US"/>
        </w:rPr>
        <w:t>50p;</w:t>
      </w:r>
      <w:proofErr w:type="gramEnd"/>
    </w:p>
    <w:p w14:paraId="080898BB"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4CD7EB31" w14:textId="77777777" w:rsidR="001F5211" w:rsidRPr="00B93573" w:rsidRDefault="001F5211" w:rsidP="001F5211">
      <w:pPr>
        <w:pStyle w:val="NoticeofAGMtabbed"/>
        <w:spacing w:line="288" w:lineRule="auto"/>
        <w:ind w:left="567" w:hanging="567"/>
        <w:jc w:val="both"/>
        <w:rPr>
          <w:rFonts w:ascii="Tahoma" w:hAnsi="Tahoma" w:cs="Tahoma"/>
          <w:sz w:val="22"/>
          <w:szCs w:val="22"/>
          <w:lang w:val="en-US"/>
        </w:rPr>
      </w:pPr>
      <w:r w:rsidRPr="00B93573">
        <w:rPr>
          <w:rFonts w:ascii="Tahoma" w:hAnsi="Tahoma" w:cs="Tahoma"/>
          <w:sz w:val="22"/>
          <w:szCs w:val="22"/>
          <w:lang w:val="en-US"/>
        </w:rPr>
        <w:tab/>
      </w:r>
      <w:r w:rsidRPr="00B93573">
        <w:rPr>
          <w:rFonts w:ascii="Tahoma" w:hAnsi="Tahoma" w:cs="Tahoma"/>
          <w:sz w:val="22"/>
          <w:szCs w:val="22"/>
          <w:lang w:val="en-US"/>
        </w:rPr>
        <w:tab/>
        <w:t>(c) the maximum price (excluding expenses) which may be paid by the Company for a Share purchased pursuant to this authority shall not be more than the higher of: (</w:t>
      </w:r>
      <w:proofErr w:type="spellStart"/>
      <w:r w:rsidRPr="00B93573">
        <w:rPr>
          <w:rFonts w:ascii="Tahoma" w:hAnsi="Tahoma" w:cs="Tahoma"/>
          <w:sz w:val="22"/>
          <w:szCs w:val="22"/>
          <w:lang w:val="en-US"/>
        </w:rPr>
        <w:t>i</w:t>
      </w:r>
      <w:proofErr w:type="spellEnd"/>
      <w:r w:rsidRPr="00B93573">
        <w:rPr>
          <w:rFonts w:ascii="Tahoma" w:hAnsi="Tahoma" w:cs="Tahoma"/>
          <w:sz w:val="22"/>
          <w:szCs w:val="22"/>
          <w:lang w:val="en-US"/>
        </w:rPr>
        <w:t xml:space="preserve">) 5% above the average of the middle market quotations for a Share derived from the London Stock Exchange Daily Official List for the five business days immediately preceding the day on which such Share is purchased; and (ii) the price stipulated by Article 5(1) of the Buy–Back and </w:t>
      </w:r>
      <w:proofErr w:type="spellStart"/>
      <w:r w:rsidRPr="00B93573">
        <w:rPr>
          <w:rFonts w:ascii="Tahoma" w:hAnsi="Tahoma" w:cs="Tahoma"/>
          <w:sz w:val="22"/>
          <w:szCs w:val="22"/>
          <w:lang w:val="en-US"/>
        </w:rPr>
        <w:t>Stabilisation</w:t>
      </w:r>
      <w:proofErr w:type="spellEnd"/>
      <w:r w:rsidRPr="00B93573">
        <w:rPr>
          <w:rFonts w:ascii="Tahoma" w:hAnsi="Tahoma" w:cs="Tahoma"/>
          <w:sz w:val="22"/>
          <w:szCs w:val="22"/>
          <w:lang w:val="en-US"/>
        </w:rPr>
        <w:t xml:space="preserve"> Regulation (EC2273/2003); and </w:t>
      </w:r>
    </w:p>
    <w:p w14:paraId="1266858E" w14:textId="77777777" w:rsidR="001F5211" w:rsidRPr="00B93573" w:rsidRDefault="001F5211" w:rsidP="001F5211">
      <w:pPr>
        <w:pStyle w:val="NoticeofAGMtabbed"/>
        <w:spacing w:line="288" w:lineRule="auto"/>
        <w:jc w:val="both"/>
        <w:rPr>
          <w:rFonts w:ascii="Tahoma" w:hAnsi="Tahoma" w:cs="Tahoma"/>
          <w:sz w:val="22"/>
          <w:szCs w:val="22"/>
          <w:lang w:val="en-US"/>
        </w:rPr>
      </w:pPr>
    </w:p>
    <w:p w14:paraId="021E4865" w14:textId="77777777" w:rsidR="001F5211" w:rsidRPr="00B93573" w:rsidRDefault="001F5211" w:rsidP="001F5211">
      <w:pPr>
        <w:pStyle w:val="NoticeofAGMtabbed"/>
        <w:spacing w:line="288" w:lineRule="auto"/>
        <w:ind w:left="567" w:hanging="567"/>
        <w:jc w:val="both"/>
        <w:rPr>
          <w:rFonts w:ascii="Tahoma" w:hAnsi="Tahoma" w:cs="Tahoma"/>
          <w:sz w:val="22"/>
          <w:szCs w:val="22"/>
          <w:lang w:val="en-US"/>
        </w:rPr>
      </w:pPr>
      <w:r w:rsidRPr="00B93573">
        <w:rPr>
          <w:rFonts w:ascii="Tahoma" w:hAnsi="Tahoma" w:cs="Tahoma"/>
          <w:sz w:val="22"/>
          <w:szCs w:val="22"/>
          <w:lang w:val="en-US"/>
        </w:rPr>
        <w:tab/>
      </w:r>
      <w:r w:rsidRPr="00B93573">
        <w:rPr>
          <w:rFonts w:ascii="Tahoma" w:hAnsi="Tahoma" w:cs="Tahoma"/>
          <w:sz w:val="22"/>
          <w:szCs w:val="22"/>
          <w:lang w:val="en-US"/>
        </w:rPr>
        <w:tab/>
        <w:t>(d) unless renewed, the authority conferred by this resolution shall expire on the earlier of the conclusion of the next Annual General Meeting of the Company after the passing of this resolution and the expiry of 12 months from the date of passing this resolution, save that the Company may before such expiry make a contract to purchase which will or may be executed wholly or partly after the expiry of such authority and the Company may make a purchase of such Shares after such expiry pursuant to such contract.”</w:t>
      </w:r>
    </w:p>
    <w:p w14:paraId="5ECBF9D2" w14:textId="77777777" w:rsidR="001F5211" w:rsidRPr="00B93573" w:rsidRDefault="001F5211" w:rsidP="001F5211">
      <w:pPr>
        <w:pStyle w:val="NoticeofAGMtabbed"/>
        <w:spacing w:line="288" w:lineRule="auto"/>
        <w:ind w:left="283" w:hanging="283"/>
        <w:jc w:val="both"/>
        <w:rPr>
          <w:rFonts w:ascii="Tahoma" w:hAnsi="Tahoma" w:cs="Tahoma"/>
          <w:sz w:val="22"/>
          <w:szCs w:val="22"/>
          <w:lang w:val="en-US"/>
        </w:rPr>
      </w:pPr>
      <w:r w:rsidRPr="00B93573">
        <w:rPr>
          <w:rFonts w:ascii="Tahoma" w:hAnsi="Tahoma" w:cs="Tahoma"/>
          <w:sz w:val="22"/>
          <w:szCs w:val="22"/>
          <w:lang w:val="en-US"/>
        </w:rPr>
        <w:tab/>
      </w:r>
    </w:p>
    <w:p w14:paraId="523BD0CC" w14:textId="780ED082" w:rsidR="001F5211" w:rsidRDefault="009F1CDF" w:rsidP="001F5211">
      <w:pPr>
        <w:pStyle w:val="NoticeofAGMtabbed"/>
        <w:spacing w:line="288" w:lineRule="auto"/>
        <w:ind w:left="567" w:hanging="567"/>
        <w:jc w:val="both"/>
        <w:rPr>
          <w:rFonts w:ascii="Tahoma" w:hAnsi="Tahoma" w:cs="Tahoma"/>
          <w:sz w:val="22"/>
          <w:szCs w:val="22"/>
          <w:lang w:val="en-US"/>
        </w:rPr>
      </w:pPr>
      <w:r>
        <w:rPr>
          <w:rFonts w:ascii="Tahoma" w:hAnsi="Tahoma" w:cs="Tahoma"/>
          <w:sz w:val="22"/>
          <w:szCs w:val="22"/>
          <w:lang w:val="en-US"/>
        </w:rPr>
        <w:t>1</w:t>
      </w:r>
      <w:r w:rsidR="008F26B9">
        <w:rPr>
          <w:rFonts w:ascii="Tahoma" w:hAnsi="Tahoma" w:cs="Tahoma"/>
          <w:sz w:val="22"/>
          <w:szCs w:val="22"/>
          <w:lang w:val="en-US"/>
        </w:rPr>
        <w:t>7</w:t>
      </w:r>
      <w:r w:rsidR="001F5211" w:rsidRPr="00B93573">
        <w:rPr>
          <w:rFonts w:ascii="Tahoma" w:hAnsi="Tahoma" w:cs="Tahoma"/>
          <w:sz w:val="22"/>
          <w:szCs w:val="22"/>
          <w:lang w:val="en-US"/>
        </w:rPr>
        <w:t xml:space="preserve">. “That the Company be entitled to hold general meetings of the shareholders of the Company (with the exception of annual general meetings) on the provision of 14 clear </w:t>
      </w:r>
      <w:proofErr w:type="spellStart"/>
      <w:r w:rsidR="001F5211" w:rsidRPr="00B93573">
        <w:rPr>
          <w:rFonts w:ascii="Tahoma" w:hAnsi="Tahoma" w:cs="Tahoma"/>
          <w:sz w:val="22"/>
          <w:szCs w:val="22"/>
          <w:lang w:val="en-US"/>
        </w:rPr>
        <w:t>days notice</w:t>
      </w:r>
      <w:proofErr w:type="spellEnd"/>
      <w:r w:rsidR="001F5211" w:rsidRPr="00B93573">
        <w:rPr>
          <w:rFonts w:ascii="Tahoma" w:hAnsi="Tahoma" w:cs="Tahoma"/>
          <w:sz w:val="22"/>
          <w:szCs w:val="22"/>
          <w:lang w:val="en-US"/>
        </w:rPr>
        <w:t xml:space="preserve"> to the Company’s shareholders.”</w:t>
      </w:r>
    </w:p>
    <w:p w14:paraId="39024DD6" w14:textId="6B61F1CD" w:rsidR="00B2458A" w:rsidRDefault="00C60A92" w:rsidP="00C60A92">
      <w:pPr>
        <w:tabs>
          <w:tab w:val="left" w:pos="8280"/>
        </w:tabs>
        <w:spacing w:line="360" w:lineRule="auto"/>
        <w:jc w:val="center"/>
        <w:rPr>
          <w:rFonts w:ascii="Tahoma" w:hAnsi="Tahoma" w:cs="Tahoma"/>
          <w:noProof/>
          <w:lang w:eastAsia="en-GB"/>
        </w:rPr>
      </w:pPr>
      <w:r>
        <w:rPr>
          <w:rFonts w:ascii="Tahoma" w:hAnsi="Tahoma" w:cs="Tahoma"/>
        </w:rPr>
        <w:t xml:space="preserve">                                                                                                       </w:t>
      </w:r>
      <w:r w:rsidR="00F57595">
        <w:rPr>
          <w:rFonts w:ascii="Tahoma" w:hAnsi="Tahoma" w:cs="Tahoma"/>
        </w:rPr>
        <w:t xml:space="preserve"> </w:t>
      </w:r>
    </w:p>
    <w:p w14:paraId="63432594" w14:textId="77777777" w:rsidR="008F26B9" w:rsidRDefault="008F26B9" w:rsidP="00C60A92">
      <w:pPr>
        <w:tabs>
          <w:tab w:val="left" w:pos="8280"/>
        </w:tabs>
        <w:spacing w:line="360" w:lineRule="auto"/>
        <w:jc w:val="center"/>
        <w:rPr>
          <w:rFonts w:ascii="Tahoma" w:hAnsi="Tahoma" w:cs="Tahoma"/>
          <w:noProof/>
          <w:lang w:eastAsia="en-GB"/>
        </w:rPr>
      </w:pPr>
    </w:p>
    <w:p w14:paraId="4B23EB70" w14:textId="77777777" w:rsidR="008F26B9" w:rsidRDefault="008F26B9" w:rsidP="00C60A92">
      <w:pPr>
        <w:tabs>
          <w:tab w:val="left" w:pos="8280"/>
        </w:tabs>
        <w:spacing w:line="360" w:lineRule="auto"/>
        <w:jc w:val="center"/>
        <w:rPr>
          <w:rFonts w:ascii="Tahoma" w:hAnsi="Tahoma" w:cs="Tahoma"/>
          <w:noProof/>
          <w:lang w:eastAsia="en-GB"/>
        </w:rPr>
      </w:pPr>
    </w:p>
    <w:p w14:paraId="35A032D3" w14:textId="77777777" w:rsidR="008F26B9" w:rsidRDefault="008F26B9" w:rsidP="00C60A92">
      <w:pPr>
        <w:tabs>
          <w:tab w:val="left" w:pos="8280"/>
        </w:tabs>
        <w:spacing w:line="360" w:lineRule="auto"/>
        <w:jc w:val="center"/>
        <w:rPr>
          <w:rFonts w:ascii="Tahoma" w:hAnsi="Tahoma" w:cs="Tahoma"/>
        </w:rPr>
      </w:pPr>
    </w:p>
    <w:p w14:paraId="5DB05AAB" w14:textId="77777777" w:rsidR="001F43C6" w:rsidRPr="00B93573" w:rsidRDefault="0069740D" w:rsidP="0069740D">
      <w:pPr>
        <w:pStyle w:val="Heading3"/>
        <w:jc w:val="center"/>
        <w:rPr>
          <w:rFonts w:ascii="Tahoma" w:hAnsi="Tahoma" w:cs="Tahoma"/>
          <w:b w:val="0"/>
          <w:szCs w:val="22"/>
          <w:lang w:val="en-GB"/>
        </w:rPr>
      </w:pPr>
      <w:r w:rsidRPr="00B93573">
        <w:rPr>
          <w:rFonts w:ascii="Tahoma" w:hAnsi="Tahoma" w:cs="Tahoma"/>
          <w:b w:val="0"/>
          <w:szCs w:val="22"/>
        </w:rPr>
        <w:t xml:space="preserve">                                                                                                 Company </w:t>
      </w:r>
      <w:r w:rsidR="001F43C6" w:rsidRPr="00B93573">
        <w:rPr>
          <w:rFonts w:ascii="Tahoma" w:hAnsi="Tahoma" w:cs="Tahoma"/>
          <w:b w:val="0"/>
          <w:szCs w:val="22"/>
        </w:rPr>
        <w:t>Secretary</w:t>
      </w:r>
    </w:p>
    <w:sectPr w:rsidR="001F43C6" w:rsidRPr="00B93573" w:rsidSect="008B312C">
      <w:pgSz w:w="11909" w:h="16834" w:code="9"/>
      <w:pgMar w:top="851" w:right="851" w:bottom="851" w:left="851" w:header="709"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AF02D" w14:textId="77777777" w:rsidR="006701C3" w:rsidRDefault="006701C3">
      <w:r>
        <w:separator/>
      </w:r>
    </w:p>
  </w:endnote>
  <w:endnote w:type="continuationSeparator" w:id="0">
    <w:p w14:paraId="7D2D7C7E" w14:textId="77777777" w:rsidR="006701C3" w:rsidRDefault="006701C3">
      <w:r>
        <w:continuationSeparator/>
      </w:r>
    </w:p>
  </w:endnote>
  <w:endnote w:type="continuationNotice" w:id="1">
    <w:p w14:paraId="38A9C318" w14:textId="77777777" w:rsidR="007C1B42" w:rsidRDefault="007C1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Me-Ligh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Light">
    <w:charset w:val="00"/>
    <w:family w:val="auto"/>
    <w:pitch w:val="variable"/>
    <w:sig w:usb0="00000003" w:usb1="00000000" w:usb2="00000000" w:usb3="00000000" w:csb0="00000001" w:csb1="00000000"/>
  </w:font>
  <w:font w:name="Interstate-Bold">
    <w:charset w:val="00"/>
    <w:family w:val="auto"/>
    <w:pitch w:val="variable"/>
    <w:sig w:usb0="80000027"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4FB9" w14:textId="77777777" w:rsidR="006701C3" w:rsidRDefault="006701C3">
      <w:r>
        <w:separator/>
      </w:r>
    </w:p>
  </w:footnote>
  <w:footnote w:type="continuationSeparator" w:id="0">
    <w:p w14:paraId="7580123C" w14:textId="77777777" w:rsidR="006701C3" w:rsidRDefault="006701C3">
      <w:r>
        <w:continuationSeparator/>
      </w:r>
    </w:p>
  </w:footnote>
  <w:footnote w:type="continuationNotice" w:id="1">
    <w:p w14:paraId="05479816" w14:textId="77777777" w:rsidR="007C1B42" w:rsidRDefault="007C1B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897"/>
    <w:multiLevelType w:val="singleLevel"/>
    <w:tmpl w:val="58D66C56"/>
    <w:lvl w:ilvl="0">
      <w:start w:val="1"/>
      <w:numFmt w:val="lowerLetter"/>
      <w:lvlText w:val="(%1)"/>
      <w:lvlJc w:val="left"/>
      <w:pPr>
        <w:tabs>
          <w:tab w:val="num" w:pos="1110"/>
        </w:tabs>
        <w:ind w:left="1110" w:hanging="390"/>
      </w:pPr>
      <w:rPr>
        <w:rFonts w:hint="default"/>
      </w:rPr>
    </w:lvl>
  </w:abstractNum>
  <w:abstractNum w:abstractNumId="1" w15:restartNumberingAfterBreak="0">
    <w:nsid w:val="2A943BB9"/>
    <w:multiLevelType w:val="singleLevel"/>
    <w:tmpl w:val="E61C7302"/>
    <w:lvl w:ilvl="0">
      <w:start w:val="18"/>
      <w:numFmt w:val="bullet"/>
      <w:lvlText w:val="-"/>
      <w:lvlJc w:val="left"/>
      <w:pPr>
        <w:tabs>
          <w:tab w:val="num" w:pos="360"/>
        </w:tabs>
        <w:ind w:left="360" w:hanging="360"/>
      </w:pPr>
      <w:rPr>
        <w:rFonts w:hint="default"/>
      </w:rPr>
    </w:lvl>
  </w:abstractNum>
  <w:abstractNum w:abstractNumId="2" w15:restartNumberingAfterBreak="0">
    <w:nsid w:val="2DA83529"/>
    <w:multiLevelType w:val="hybridMultilevel"/>
    <w:tmpl w:val="05E8E41C"/>
    <w:lvl w:ilvl="0" w:tplc="1D36E724">
      <w:start w:val="1"/>
      <w:numFmt w:val="lowerLetter"/>
      <w:lvlText w:val="(%1)"/>
      <w:lvlJc w:val="left"/>
      <w:pPr>
        <w:ind w:left="975" w:hanging="360"/>
      </w:pPr>
      <w:rPr>
        <w:rFonts w:hint="default"/>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3" w15:restartNumberingAfterBreak="0">
    <w:nsid w:val="314A154F"/>
    <w:multiLevelType w:val="hybridMultilevel"/>
    <w:tmpl w:val="8A0687A4"/>
    <w:lvl w:ilvl="0" w:tplc="98DEE6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7B4268D"/>
    <w:multiLevelType w:val="multilevel"/>
    <w:tmpl w:val="CB6CA604"/>
    <w:lvl w:ilvl="0">
      <w:start w:val="1"/>
      <w:numFmt w:val="decimal"/>
      <w:lvlRestart w:val="0"/>
      <w:pStyle w:val="BurnessNumbering1"/>
      <w:lvlText w:val="%1"/>
      <w:lvlJc w:val="left"/>
      <w:pPr>
        <w:tabs>
          <w:tab w:val="num" w:pos="709"/>
        </w:tabs>
        <w:ind w:left="709" w:hanging="709"/>
      </w:pPr>
      <w:rPr>
        <w:rFonts w:hint="default"/>
        <w:b w:val="0"/>
        <w:i w:val="0"/>
      </w:rPr>
    </w:lvl>
    <w:lvl w:ilvl="1">
      <w:start w:val="1"/>
      <w:numFmt w:val="decimal"/>
      <w:pStyle w:val="BurnessNumbering2"/>
      <w:lvlText w:val="%1.%2"/>
      <w:lvlJc w:val="left"/>
      <w:pPr>
        <w:tabs>
          <w:tab w:val="num" w:pos="709"/>
        </w:tabs>
        <w:ind w:left="709" w:hanging="709"/>
      </w:pPr>
      <w:rPr>
        <w:rFonts w:hint="default"/>
        <w:b w:val="0"/>
        <w:i w:val="0"/>
      </w:rPr>
    </w:lvl>
    <w:lvl w:ilvl="2">
      <w:start w:val="1"/>
      <w:numFmt w:val="decimal"/>
      <w:pStyle w:val="BurnessNumbering3"/>
      <w:lvlText w:val="%1.%2.%3"/>
      <w:lvlJc w:val="left"/>
      <w:pPr>
        <w:tabs>
          <w:tab w:val="num" w:pos="1417"/>
        </w:tabs>
        <w:ind w:left="1417" w:hanging="708"/>
      </w:pPr>
      <w:rPr>
        <w:rFonts w:hint="default"/>
        <w:b w:val="0"/>
        <w:i w:val="0"/>
      </w:rPr>
    </w:lvl>
    <w:lvl w:ilvl="3">
      <w:start w:val="1"/>
      <w:numFmt w:val="decimal"/>
      <w:pStyle w:val="BurnessNumbering4"/>
      <w:lvlText w:val="%1.%2.%3.%4"/>
      <w:lvlJc w:val="left"/>
      <w:pPr>
        <w:tabs>
          <w:tab w:val="num" w:pos="2268"/>
        </w:tabs>
        <w:ind w:left="2268" w:hanging="851"/>
      </w:pPr>
      <w:rPr>
        <w:rFonts w:hint="default"/>
        <w:b w:val="0"/>
        <w:i w:val="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442C1EAB"/>
    <w:multiLevelType w:val="singleLevel"/>
    <w:tmpl w:val="81CAA03C"/>
    <w:lvl w:ilvl="0">
      <w:start w:val="1"/>
      <w:numFmt w:val="lowerLetter"/>
      <w:lvlText w:val="(%1)"/>
      <w:lvlJc w:val="left"/>
      <w:pPr>
        <w:tabs>
          <w:tab w:val="num" w:pos="1260"/>
        </w:tabs>
        <w:ind w:left="1260" w:hanging="540"/>
      </w:pPr>
      <w:rPr>
        <w:rFonts w:hint="default"/>
      </w:rPr>
    </w:lvl>
  </w:abstractNum>
  <w:abstractNum w:abstractNumId="6" w15:restartNumberingAfterBreak="0">
    <w:nsid w:val="44720B01"/>
    <w:multiLevelType w:val="singleLevel"/>
    <w:tmpl w:val="B2C26284"/>
    <w:lvl w:ilvl="0">
      <w:start w:val="1"/>
      <w:numFmt w:val="lowerLetter"/>
      <w:lvlText w:val="(%1)"/>
      <w:lvlJc w:val="left"/>
      <w:pPr>
        <w:tabs>
          <w:tab w:val="num" w:pos="1440"/>
        </w:tabs>
        <w:ind w:left="1440" w:hanging="720"/>
      </w:pPr>
      <w:rPr>
        <w:rFonts w:hint="default"/>
      </w:rPr>
    </w:lvl>
  </w:abstractNum>
  <w:abstractNum w:abstractNumId="7" w15:restartNumberingAfterBreak="0">
    <w:nsid w:val="461E250E"/>
    <w:multiLevelType w:val="singleLevel"/>
    <w:tmpl w:val="D9EE437E"/>
    <w:lvl w:ilvl="0">
      <w:start w:val="10"/>
      <w:numFmt w:val="decimal"/>
      <w:lvlText w:val="%1."/>
      <w:lvlJc w:val="left"/>
      <w:pPr>
        <w:tabs>
          <w:tab w:val="num" w:pos="720"/>
        </w:tabs>
        <w:ind w:left="720" w:hanging="720"/>
      </w:pPr>
      <w:rPr>
        <w:rFonts w:hint="default"/>
      </w:rPr>
    </w:lvl>
  </w:abstractNum>
  <w:abstractNum w:abstractNumId="8" w15:restartNumberingAfterBreak="0">
    <w:nsid w:val="471B1E8E"/>
    <w:multiLevelType w:val="singleLevel"/>
    <w:tmpl w:val="BDEC817E"/>
    <w:lvl w:ilvl="0">
      <w:start w:val="18"/>
      <w:numFmt w:val="bullet"/>
      <w:lvlText w:val="-"/>
      <w:lvlJc w:val="left"/>
      <w:pPr>
        <w:tabs>
          <w:tab w:val="num" w:pos="360"/>
        </w:tabs>
        <w:ind w:left="360" w:hanging="360"/>
      </w:pPr>
      <w:rPr>
        <w:rFonts w:hint="default"/>
      </w:rPr>
    </w:lvl>
  </w:abstractNum>
  <w:abstractNum w:abstractNumId="9" w15:restartNumberingAfterBreak="0">
    <w:nsid w:val="5452180C"/>
    <w:multiLevelType w:val="singleLevel"/>
    <w:tmpl w:val="52526840"/>
    <w:lvl w:ilvl="0">
      <w:start w:val="8"/>
      <w:numFmt w:val="decimal"/>
      <w:lvlText w:val="%1."/>
      <w:lvlJc w:val="left"/>
      <w:pPr>
        <w:tabs>
          <w:tab w:val="num" w:pos="720"/>
        </w:tabs>
        <w:ind w:left="720" w:hanging="720"/>
      </w:pPr>
      <w:rPr>
        <w:rFonts w:hint="default"/>
      </w:rPr>
    </w:lvl>
  </w:abstractNum>
  <w:abstractNum w:abstractNumId="10" w15:restartNumberingAfterBreak="0">
    <w:nsid w:val="5AAA0579"/>
    <w:multiLevelType w:val="hybridMultilevel"/>
    <w:tmpl w:val="05E8E41C"/>
    <w:lvl w:ilvl="0" w:tplc="1D36E724">
      <w:start w:val="1"/>
      <w:numFmt w:val="lowerLetter"/>
      <w:lvlText w:val="(%1)"/>
      <w:lvlJc w:val="left"/>
      <w:pPr>
        <w:ind w:left="975" w:hanging="360"/>
      </w:pPr>
      <w:rPr>
        <w:rFonts w:hint="default"/>
      </w:rPr>
    </w:lvl>
    <w:lvl w:ilvl="1" w:tplc="08090019">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11" w15:restartNumberingAfterBreak="0">
    <w:nsid w:val="5B5D576B"/>
    <w:multiLevelType w:val="singleLevel"/>
    <w:tmpl w:val="39A621CE"/>
    <w:lvl w:ilvl="0">
      <w:start w:val="7"/>
      <w:numFmt w:val="decimal"/>
      <w:lvlText w:val="%1."/>
      <w:lvlJc w:val="left"/>
      <w:pPr>
        <w:tabs>
          <w:tab w:val="num" w:pos="360"/>
        </w:tabs>
        <w:ind w:left="360" w:hanging="360"/>
      </w:pPr>
      <w:rPr>
        <w:rFonts w:hint="default"/>
      </w:rPr>
    </w:lvl>
  </w:abstractNum>
  <w:abstractNum w:abstractNumId="12" w15:restartNumberingAfterBreak="0">
    <w:nsid w:val="5D9C016C"/>
    <w:multiLevelType w:val="singleLevel"/>
    <w:tmpl w:val="968ACE62"/>
    <w:lvl w:ilvl="0">
      <w:start w:val="9"/>
      <w:numFmt w:val="decimal"/>
      <w:lvlText w:val="%1."/>
      <w:lvlJc w:val="left"/>
      <w:pPr>
        <w:tabs>
          <w:tab w:val="num" w:pos="720"/>
        </w:tabs>
        <w:ind w:left="720" w:hanging="720"/>
      </w:pPr>
      <w:rPr>
        <w:rFonts w:hint="default"/>
      </w:rPr>
    </w:lvl>
  </w:abstractNum>
  <w:abstractNum w:abstractNumId="13" w15:restartNumberingAfterBreak="0">
    <w:nsid w:val="5EA93A8F"/>
    <w:multiLevelType w:val="hybridMultilevel"/>
    <w:tmpl w:val="4DAC16B6"/>
    <w:lvl w:ilvl="0" w:tplc="33F49B8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1B41BB"/>
    <w:multiLevelType w:val="singleLevel"/>
    <w:tmpl w:val="EBAA66B2"/>
    <w:lvl w:ilvl="0">
      <w:start w:val="10"/>
      <w:numFmt w:val="decimal"/>
      <w:lvlText w:val="%1."/>
      <w:lvlJc w:val="left"/>
      <w:pPr>
        <w:tabs>
          <w:tab w:val="num" w:pos="720"/>
        </w:tabs>
        <w:ind w:left="720" w:hanging="720"/>
      </w:pPr>
      <w:rPr>
        <w:rFonts w:hint="default"/>
      </w:rPr>
    </w:lvl>
  </w:abstractNum>
  <w:abstractNum w:abstractNumId="15" w15:restartNumberingAfterBreak="0">
    <w:nsid w:val="70A00669"/>
    <w:multiLevelType w:val="hybridMultilevel"/>
    <w:tmpl w:val="318C3668"/>
    <w:lvl w:ilvl="0" w:tplc="9C18B796">
      <w:start w:val="1"/>
      <w:numFmt w:val="decimal"/>
      <w:lvlText w:val="%1."/>
      <w:lvlJc w:val="left"/>
      <w:pPr>
        <w:ind w:left="1010" w:hanging="341"/>
        <w:jc w:val="right"/>
      </w:pPr>
      <w:rPr>
        <w:rFonts w:ascii="FSMe-Light" w:eastAsia="FSMe-Light" w:hAnsi="FSMe-Light" w:cs="FSMe-Light" w:hint="default"/>
        <w:color w:val="231F20"/>
        <w:spacing w:val="-11"/>
        <w:w w:val="99"/>
        <w:sz w:val="17"/>
        <w:szCs w:val="17"/>
      </w:rPr>
    </w:lvl>
    <w:lvl w:ilvl="1" w:tplc="7A245AD4">
      <w:start w:val="1"/>
      <w:numFmt w:val="lowerLetter"/>
      <w:lvlText w:val="(%2)"/>
      <w:lvlJc w:val="left"/>
      <w:pPr>
        <w:ind w:left="791" w:hanging="341"/>
      </w:pPr>
      <w:rPr>
        <w:rFonts w:ascii="FSMe-Light" w:eastAsia="FSMe-Light" w:hAnsi="FSMe-Light" w:cs="FSMe-Light" w:hint="default"/>
        <w:color w:val="231F20"/>
        <w:spacing w:val="-11"/>
        <w:w w:val="100"/>
        <w:sz w:val="17"/>
        <w:szCs w:val="17"/>
      </w:rPr>
    </w:lvl>
    <w:lvl w:ilvl="2" w:tplc="D2A6D740">
      <w:numFmt w:val="bullet"/>
      <w:lvlText w:val="•"/>
      <w:lvlJc w:val="left"/>
      <w:pPr>
        <w:ind w:left="1360" w:hanging="341"/>
      </w:pPr>
      <w:rPr>
        <w:rFonts w:hint="default"/>
      </w:rPr>
    </w:lvl>
    <w:lvl w:ilvl="3" w:tplc="5C06D870">
      <w:numFmt w:val="bullet"/>
      <w:lvlText w:val="•"/>
      <w:lvlJc w:val="left"/>
      <w:pPr>
        <w:ind w:left="2252" w:hanging="341"/>
      </w:pPr>
      <w:rPr>
        <w:rFonts w:hint="default"/>
      </w:rPr>
    </w:lvl>
    <w:lvl w:ilvl="4" w:tplc="FAFC3920">
      <w:numFmt w:val="bullet"/>
      <w:lvlText w:val="•"/>
      <w:lvlJc w:val="left"/>
      <w:pPr>
        <w:ind w:left="3144" w:hanging="341"/>
      </w:pPr>
      <w:rPr>
        <w:rFonts w:hint="default"/>
      </w:rPr>
    </w:lvl>
    <w:lvl w:ilvl="5" w:tplc="ED1CCF50">
      <w:numFmt w:val="bullet"/>
      <w:lvlText w:val="•"/>
      <w:lvlJc w:val="left"/>
      <w:pPr>
        <w:ind w:left="4036" w:hanging="341"/>
      </w:pPr>
      <w:rPr>
        <w:rFonts w:hint="default"/>
      </w:rPr>
    </w:lvl>
    <w:lvl w:ilvl="6" w:tplc="E8DE4F36">
      <w:numFmt w:val="bullet"/>
      <w:lvlText w:val="•"/>
      <w:lvlJc w:val="left"/>
      <w:pPr>
        <w:ind w:left="4929" w:hanging="341"/>
      </w:pPr>
      <w:rPr>
        <w:rFonts w:hint="default"/>
      </w:rPr>
    </w:lvl>
    <w:lvl w:ilvl="7" w:tplc="2B06EA9A">
      <w:numFmt w:val="bullet"/>
      <w:lvlText w:val="•"/>
      <w:lvlJc w:val="left"/>
      <w:pPr>
        <w:ind w:left="5821" w:hanging="341"/>
      </w:pPr>
      <w:rPr>
        <w:rFonts w:hint="default"/>
      </w:rPr>
    </w:lvl>
    <w:lvl w:ilvl="8" w:tplc="D4E02FAE">
      <w:numFmt w:val="bullet"/>
      <w:lvlText w:val="•"/>
      <w:lvlJc w:val="left"/>
      <w:pPr>
        <w:ind w:left="6713" w:hanging="341"/>
      </w:pPr>
      <w:rPr>
        <w:rFonts w:hint="default"/>
      </w:rPr>
    </w:lvl>
  </w:abstractNum>
  <w:num w:numId="1">
    <w:abstractNumId w:val="7"/>
  </w:num>
  <w:num w:numId="2">
    <w:abstractNumId w:val="5"/>
  </w:num>
  <w:num w:numId="3">
    <w:abstractNumId w:val="6"/>
  </w:num>
  <w:num w:numId="4">
    <w:abstractNumId w:val="11"/>
  </w:num>
  <w:num w:numId="5">
    <w:abstractNumId w:val="9"/>
  </w:num>
  <w:num w:numId="6">
    <w:abstractNumId w:val="14"/>
  </w:num>
  <w:num w:numId="7">
    <w:abstractNumId w:val="0"/>
  </w:num>
  <w:num w:numId="8">
    <w:abstractNumId w:val="8"/>
  </w:num>
  <w:num w:numId="9">
    <w:abstractNumId w:val="1"/>
  </w:num>
  <w:num w:numId="10">
    <w:abstractNumId w:val="12"/>
  </w:num>
  <w:num w:numId="11">
    <w:abstractNumId w:val="4"/>
  </w:num>
  <w:num w:numId="12">
    <w:abstractNumId w:val="3"/>
  </w:num>
  <w:num w:numId="13">
    <w:abstractNumId w:val="13"/>
  </w:num>
  <w:num w:numId="14">
    <w:abstractNumId w:val="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67"/>
    <w:rsid w:val="00017F03"/>
    <w:rsid w:val="00060BB6"/>
    <w:rsid w:val="00087ED6"/>
    <w:rsid w:val="00097DF9"/>
    <w:rsid w:val="000C2135"/>
    <w:rsid w:val="000C687B"/>
    <w:rsid w:val="000F26B6"/>
    <w:rsid w:val="000F6817"/>
    <w:rsid w:val="001327F6"/>
    <w:rsid w:val="001344EB"/>
    <w:rsid w:val="00153D3D"/>
    <w:rsid w:val="001554AF"/>
    <w:rsid w:val="00160987"/>
    <w:rsid w:val="001619A5"/>
    <w:rsid w:val="00162234"/>
    <w:rsid w:val="001A110A"/>
    <w:rsid w:val="001C1526"/>
    <w:rsid w:val="001D115C"/>
    <w:rsid w:val="001F43C6"/>
    <w:rsid w:val="001F5211"/>
    <w:rsid w:val="00200810"/>
    <w:rsid w:val="002071E9"/>
    <w:rsid w:val="00221D36"/>
    <w:rsid w:val="00221EFD"/>
    <w:rsid w:val="00241C5F"/>
    <w:rsid w:val="002B73E7"/>
    <w:rsid w:val="002C2B31"/>
    <w:rsid w:val="002D4624"/>
    <w:rsid w:val="002D51F1"/>
    <w:rsid w:val="002E629F"/>
    <w:rsid w:val="003460C7"/>
    <w:rsid w:val="00347FFA"/>
    <w:rsid w:val="003567A7"/>
    <w:rsid w:val="00391FCB"/>
    <w:rsid w:val="00400A88"/>
    <w:rsid w:val="004130A8"/>
    <w:rsid w:val="00413FE0"/>
    <w:rsid w:val="00417BD7"/>
    <w:rsid w:val="00421223"/>
    <w:rsid w:val="00436185"/>
    <w:rsid w:val="004520AD"/>
    <w:rsid w:val="00455F98"/>
    <w:rsid w:val="00473E4B"/>
    <w:rsid w:val="00476D5C"/>
    <w:rsid w:val="0049496A"/>
    <w:rsid w:val="004B3D59"/>
    <w:rsid w:val="004C0E18"/>
    <w:rsid w:val="004C187E"/>
    <w:rsid w:val="004E3F37"/>
    <w:rsid w:val="005104D7"/>
    <w:rsid w:val="00553208"/>
    <w:rsid w:val="0055541E"/>
    <w:rsid w:val="005747B5"/>
    <w:rsid w:val="005B1F8F"/>
    <w:rsid w:val="00653D50"/>
    <w:rsid w:val="00664209"/>
    <w:rsid w:val="00665BA4"/>
    <w:rsid w:val="006701C3"/>
    <w:rsid w:val="006710F9"/>
    <w:rsid w:val="0069740D"/>
    <w:rsid w:val="006D2940"/>
    <w:rsid w:val="006F2470"/>
    <w:rsid w:val="006F423E"/>
    <w:rsid w:val="0070341E"/>
    <w:rsid w:val="00704062"/>
    <w:rsid w:val="00714EEF"/>
    <w:rsid w:val="00724938"/>
    <w:rsid w:val="00730217"/>
    <w:rsid w:val="00753254"/>
    <w:rsid w:val="007764B7"/>
    <w:rsid w:val="007A341A"/>
    <w:rsid w:val="007C1B42"/>
    <w:rsid w:val="007D6120"/>
    <w:rsid w:val="008325B0"/>
    <w:rsid w:val="00833384"/>
    <w:rsid w:val="00855E1F"/>
    <w:rsid w:val="0085746A"/>
    <w:rsid w:val="008663E3"/>
    <w:rsid w:val="008725AB"/>
    <w:rsid w:val="008819E7"/>
    <w:rsid w:val="008A478A"/>
    <w:rsid w:val="008B312C"/>
    <w:rsid w:val="008E7BB3"/>
    <w:rsid w:val="008F26B9"/>
    <w:rsid w:val="0091622E"/>
    <w:rsid w:val="00930ABD"/>
    <w:rsid w:val="00937A00"/>
    <w:rsid w:val="00980EC5"/>
    <w:rsid w:val="0098215F"/>
    <w:rsid w:val="00982D50"/>
    <w:rsid w:val="009A12E0"/>
    <w:rsid w:val="009B4C57"/>
    <w:rsid w:val="009F1CDF"/>
    <w:rsid w:val="00A220A8"/>
    <w:rsid w:val="00A231A4"/>
    <w:rsid w:val="00A27E0B"/>
    <w:rsid w:val="00AA409E"/>
    <w:rsid w:val="00B00FDB"/>
    <w:rsid w:val="00B04F67"/>
    <w:rsid w:val="00B2458A"/>
    <w:rsid w:val="00B4429A"/>
    <w:rsid w:val="00B93573"/>
    <w:rsid w:val="00BE0CD6"/>
    <w:rsid w:val="00BF40E0"/>
    <w:rsid w:val="00C231AA"/>
    <w:rsid w:val="00C269FA"/>
    <w:rsid w:val="00C32197"/>
    <w:rsid w:val="00C40D0F"/>
    <w:rsid w:val="00C60A92"/>
    <w:rsid w:val="00C61A3F"/>
    <w:rsid w:val="00C66307"/>
    <w:rsid w:val="00C75C79"/>
    <w:rsid w:val="00CA64EB"/>
    <w:rsid w:val="00CB0671"/>
    <w:rsid w:val="00D15AFA"/>
    <w:rsid w:val="00D2148B"/>
    <w:rsid w:val="00D5426F"/>
    <w:rsid w:val="00D67EE8"/>
    <w:rsid w:val="00D8170E"/>
    <w:rsid w:val="00D8234A"/>
    <w:rsid w:val="00DE30B5"/>
    <w:rsid w:val="00DF0E92"/>
    <w:rsid w:val="00DF76C2"/>
    <w:rsid w:val="00E235E1"/>
    <w:rsid w:val="00E2524D"/>
    <w:rsid w:val="00E63BD3"/>
    <w:rsid w:val="00E711EF"/>
    <w:rsid w:val="00E73219"/>
    <w:rsid w:val="00E80A3C"/>
    <w:rsid w:val="00E85FC0"/>
    <w:rsid w:val="00EA5997"/>
    <w:rsid w:val="00EA5D5C"/>
    <w:rsid w:val="00EE6309"/>
    <w:rsid w:val="00EF0226"/>
    <w:rsid w:val="00F0389A"/>
    <w:rsid w:val="00F162EC"/>
    <w:rsid w:val="00F57595"/>
    <w:rsid w:val="00F61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90F1F"/>
  <w15:chartTrackingRefBased/>
  <w15:docId w15:val="{324EE956-39A9-4A95-95AB-9588D058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sz w:val="22"/>
      <w:lang w:val="en-GB"/>
    </w:rPr>
  </w:style>
  <w:style w:type="paragraph" w:styleId="Heading2">
    <w:name w:val="heading 2"/>
    <w:basedOn w:val="Normal"/>
    <w:next w:val="Normal"/>
    <w:qFormat/>
    <w:pPr>
      <w:keepNext/>
      <w:tabs>
        <w:tab w:val="center" w:pos="7920"/>
      </w:tabs>
      <w:spacing w:line="360" w:lineRule="auto"/>
      <w:jc w:val="both"/>
      <w:outlineLvl w:val="1"/>
    </w:pPr>
    <w:rPr>
      <w:rFonts w:ascii="Arial" w:hAnsi="Arial"/>
      <w:b/>
      <w:sz w:val="22"/>
      <w:u w:val="single"/>
      <w:lang w:val="en-GB"/>
    </w:rPr>
  </w:style>
  <w:style w:type="paragraph" w:styleId="Heading3">
    <w:name w:val="heading 3"/>
    <w:basedOn w:val="Normal"/>
    <w:next w:val="Normal"/>
    <w:qFormat/>
    <w:pPr>
      <w:keepNext/>
      <w:tabs>
        <w:tab w:val="center" w:pos="7920"/>
      </w:tabs>
      <w:spacing w:line="360" w:lineRule="auto"/>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2"/>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b/>
      <w:sz w:val="22"/>
      <w:lang w:val="en-GB"/>
    </w:rPr>
  </w:style>
  <w:style w:type="paragraph" w:styleId="BodyTextIndent">
    <w:name w:val="Body Text Indent"/>
    <w:basedOn w:val="Normal"/>
    <w:pPr>
      <w:ind w:left="720" w:hanging="720"/>
    </w:pPr>
    <w:rPr>
      <w:rFonts w:ascii="Arial" w:hAnsi="Arial"/>
      <w:sz w:val="22"/>
    </w:rPr>
  </w:style>
  <w:style w:type="character" w:styleId="PageNumber">
    <w:name w:val="page number"/>
    <w:basedOn w:val="DefaultParagraphFont"/>
  </w:style>
  <w:style w:type="paragraph" w:styleId="BodyText2">
    <w:name w:val="Body Text 2"/>
    <w:basedOn w:val="Normal"/>
    <w:rsid w:val="00C75C79"/>
    <w:pPr>
      <w:spacing w:after="120" w:line="480" w:lineRule="auto"/>
    </w:pPr>
  </w:style>
  <w:style w:type="paragraph" w:styleId="FootnoteText">
    <w:name w:val="footnote text"/>
    <w:aliases w:val="Footnote Text Char"/>
    <w:basedOn w:val="Normal"/>
    <w:semiHidden/>
    <w:rsid w:val="00C75C79"/>
    <w:pPr>
      <w:overflowPunct w:val="0"/>
      <w:autoSpaceDE w:val="0"/>
      <w:autoSpaceDN w:val="0"/>
      <w:adjustRightInd w:val="0"/>
      <w:textAlignment w:val="baseline"/>
    </w:pPr>
    <w:rPr>
      <w:lang w:val="en-GB"/>
    </w:rPr>
  </w:style>
  <w:style w:type="paragraph" w:styleId="BodyText3">
    <w:name w:val="Body Text 3"/>
    <w:basedOn w:val="Normal"/>
    <w:rsid w:val="00C75C79"/>
    <w:pPr>
      <w:spacing w:after="120"/>
    </w:pPr>
    <w:rPr>
      <w:rFonts w:ascii="Arial" w:hAnsi="Arial"/>
      <w:sz w:val="16"/>
      <w:szCs w:val="16"/>
      <w:lang w:val="en-GB" w:eastAsia="en-GB"/>
    </w:rPr>
  </w:style>
  <w:style w:type="paragraph" w:customStyle="1" w:styleId="BurnessNumbering1">
    <w:name w:val="BurnessNumbering1"/>
    <w:basedOn w:val="Normal"/>
    <w:rsid w:val="00C75C79"/>
    <w:pPr>
      <w:numPr>
        <w:numId w:val="11"/>
      </w:numPr>
      <w:spacing w:after="240"/>
      <w:jc w:val="both"/>
    </w:pPr>
    <w:rPr>
      <w:sz w:val="24"/>
      <w:szCs w:val="24"/>
      <w:lang w:val="en-GB"/>
    </w:rPr>
  </w:style>
  <w:style w:type="paragraph" w:customStyle="1" w:styleId="BurnessNumbering2">
    <w:name w:val="BurnessNumbering2"/>
    <w:basedOn w:val="BurnessNumbering1"/>
    <w:rsid w:val="00C75C79"/>
    <w:pPr>
      <w:numPr>
        <w:ilvl w:val="1"/>
      </w:numPr>
    </w:pPr>
  </w:style>
  <w:style w:type="paragraph" w:customStyle="1" w:styleId="BurnessNumbering3">
    <w:name w:val="BurnessNumbering3"/>
    <w:basedOn w:val="BurnessNumbering2"/>
    <w:rsid w:val="00C75C79"/>
    <w:pPr>
      <w:numPr>
        <w:ilvl w:val="2"/>
      </w:numPr>
    </w:pPr>
  </w:style>
  <w:style w:type="paragraph" w:customStyle="1" w:styleId="BurnessNumbering4">
    <w:name w:val="BurnessNumbering4"/>
    <w:basedOn w:val="Normal"/>
    <w:rsid w:val="00C75C79"/>
    <w:pPr>
      <w:numPr>
        <w:ilvl w:val="3"/>
        <w:numId w:val="11"/>
      </w:numPr>
      <w:spacing w:after="240"/>
      <w:jc w:val="both"/>
    </w:pPr>
    <w:rPr>
      <w:sz w:val="24"/>
      <w:szCs w:val="24"/>
      <w:lang w:val="en-GB"/>
    </w:rPr>
  </w:style>
  <w:style w:type="paragraph" w:styleId="BalloonText">
    <w:name w:val="Balloon Text"/>
    <w:basedOn w:val="Normal"/>
    <w:semiHidden/>
    <w:rsid w:val="001D115C"/>
    <w:rPr>
      <w:rFonts w:ascii="Tahoma" w:hAnsi="Tahoma" w:cs="Tahoma"/>
      <w:sz w:val="16"/>
      <w:szCs w:val="16"/>
    </w:rPr>
  </w:style>
  <w:style w:type="paragraph" w:customStyle="1" w:styleId="NoticeofAGMtabbed">
    <w:name w:val="Notice of AGM tabbed"/>
    <w:basedOn w:val="Normal"/>
    <w:uiPriority w:val="99"/>
    <w:rsid w:val="009B4C57"/>
    <w:pPr>
      <w:widowControl w:val="0"/>
      <w:tabs>
        <w:tab w:val="left" w:pos="283"/>
        <w:tab w:val="left" w:pos="567"/>
      </w:tabs>
      <w:suppressAutoHyphens/>
      <w:autoSpaceDE w:val="0"/>
      <w:autoSpaceDN w:val="0"/>
      <w:adjustRightInd w:val="0"/>
      <w:spacing w:line="210" w:lineRule="atLeast"/>
      <w:textAlignment w:val="center"/>
    </w:pPr>
    <w:rPr>
      <w:rFonts w:ascii="Interstate-Light" w:hAnsi="Interstate-Light" w:cs="Interstate-Light"/>
      <w:color w:val="000000"/>
      <w:spacing w:val="-5"/>
      <w:sz w:val="17"/>
      <w:szCs w:val="17"/>
      <w:lang w:val="en-GB"/>
    </w:rPr>
  </w:style>
  <w:style w:type="paragraph" w:customStyle="1" w:styleId="BACKENDSubHeadLevel1Blue">
    <w:name w:val="BACK END Sub Head Level 1 Blue"/>
    <w:basedOn w:val="Normal"/>
    <w:uiPriority w:val="99"/>
    <w:rsid w:val="001F5211"/>
    <w:pPr>
      <w:widowControl w:val="0"/>
      <w:suppressAutoHyphens/>
      <w:autoSpaceDE w:val="0"/>
      <w:autoSpaceDN w:val="0"/>
      <w:adjustRightInd w:val="0"/>
      <w:spacing w:line="210" w:lineRule="atLeast"/>
      <w:textAlignment w:val="center"/>
    </w:pPr>
    <w:rPr>
      <w:rFonts w:ascii="Interstate-Bold" w:hAnsi="Interstate-Bold" w:cs="Interstate-Bold"/>
      <w:b/>
      <w:bCs/>
      <w:color w:val="000000"/>
      <w:spacing w:val="-5"/>
      <w:sz w:val="17"/>
      <w:szCs w:val="17"/>
      <w:lang w:val="en-GB"/>
    </w:rPr>
  </w:style>
  <w:style w:type="paragraph" w:styleId="ListParagraph">
    <w:name w:val="List Paragraph"/>
    <w:basedOn w:val="Normal"/>
    <w:uiPriority w:val="1"/>
    <w:qFormat/>
    <w:rsid w:val="00D67EE8"/>
    <w:pPr>
      <w:widowControl w:val="0"/>
      <w:autoSpaceDE w:val="0"/>
      <w:autoSpaceDN w:val="0"/>
      <w:ind w:left="280" w:hanging="170"/>
    </w:pPr>
    <w:rPr>
      <w:rFonts w:ascii="FSMe-Light" w:eastAsia="FSMe-Light" w:hAnsi="FSMe-Light" w:cs="FSMe-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D8C2E2A86ACE48A9EDE63DEDDA391B" ma:contentTypeVersion="10" ma:contentTypeDescription="Create a new document." ma:contentTypeScope="" ma:versionID="1a11ecaaf16b6d0e763db54056045640">
  <xsd:schema xmlns:xsd="http://www.w3.org/2001/XMLSchema" xmlns:xs="http://www.w3.org/2001/XMLSchema" xmlns:p="http://schemas.microsoft.com/office/2006/metadata/properties" xmlns:ns2="2a855a63-df70-4a35-90b4-a66ae6e6cbb4" xmlns:ns3="3bc24727-45af-4072-9c1a-bec6a3c56e09" targetNamespace="http://schemas.microsoft.com/office/2006/metadata/properties" ma:root="true" ma:fieldsID="32aec1188c930eac18b4021b460df793" ns2:_="" ns3:_="">
    <xsd:import namespace="2a855a63-df70-4a35-90b4-a66ae6e6cbb4"/>
    <xsd:import namespace="3bc24727-45af-4072-9c1a-bec6a3c56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55a63-df70-4a35-90b4-a66ae6e6c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c24727-45af-4072-9c1a-bec6a3c56e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D18CCD-E183-4AFC-923A-3106136DD4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CE36F2-1755-4D41-B49A-572B7ACE8E34}">
  <ds:schemaRefs>
    <ds:schemaRef ds:uri="http://schemas.microsoft.com/office/2006/metadata/longProperties"/>
  </ds:schemaRefs>
</ds:datastoreItem>
</file>

<file path=customXml/itemProps3.xml><?xml version="1.0" encoding="utf-8"?>
<ds:datastoreItem xmlns:ds="http://schemas.openxmlformats.org/officeDocument/2006/customXml" ds:itemID="{E8566ADA-5AA3-49C7-BAD7-368F01B2BF93}">
  <ds:schemaRefs>
    <ds:schemaRef ds:uri="http://schemas.microsoft.com/sharepoint/v3/contenttype/forms"/>
  </ds:schemaRefs>
</ds:datastoreItem>
</file>

<file path=customXml/itemProps4.xml><?xml version="1.0" encoding="utf-8"?>
<ds:datastoreItem xmlns:ds="http://schemas.openxmlformats.org/officeDocument/2006/customXml" ds:itemID="{0945338A-EE8F-41BD-8BDE-C2CC00638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55a63-df70-4a35-90b4-a66ae6e6cbb4"/>
    <ds:schemaRef ds:uri="3bc24727-45af-4072-9c1a-bec6a3c5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Template>
  <TotalTime>0</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 LIMITED</vt:lpstr>
    </vt:vector>
  </TitlesOfParts>
  <Company>Dell Computer Corporation</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LIMITED</dc:title>
  <dc:subject/>
  <dc:creator>Lorna Tunn</dc:creator>
  <cp:keywords/>
  <cp:lastModifiedBy>Jane Tames</cp:lastModifiedBy>
  <cp:revision>2</cp:revision>
  <cp:lastPrinted>2020-05-27T13:52:00Z</cp:lastPrinted>
  <dcterms:created xsi:type="dcterms:W3CDTF">2022-03-30T09:18:00Z</dcterms:created>
  <dcterms:modified xsi:type="dcterms:W3CDTF">2022-03-30T09:18:00Z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Jane Tames</vt:lpwstr>
  </property>
  <property fmtid="{D5CDD505-2E9C-101B-9397-08002B2CF9AE}" pid="3" name="Order">
    <vt:lpwstr>355400.000000000</vt:lpwstr>
  </property>
  <property fmtid="{D5CDD505-2E9C-101B-9397-08002B2CF9AE}" pid="4" name="display_urn:schemas-microsoft-com:office:office#Author">
    <vt:lpwstr>Jane Tames</vt:lpwstr>
  </property>
  <property fmtid="{D5CDD505-2E9C-101B-9397-08002B2CF9AE}" pid="5" name="ContentTypeId">
    <vt:lpwstr>0x010100B0D8C2E2A86ACE48A9EDE63DEDDA391B</vt:lpwstr>
  </property>
</Properties>
</file>