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981C055" w14:textId="4F659B08" w:rsidR="00486677" w:rsidRPr="00AD143A" w:rsidRDefault="00A9389A" w:rsidP="00AD143A">
      <w:pPr>
        <w:pStyle w:val="NoSpacing"/>
        <w:rPr>
          <w:rFonts w:ascii="Arial" w:hAnsi="Arial" w:cs="Arial"/>
        </w:rPr>
      </w:pPr>
      <w:r w:rsidRPr="00AD143A">
        <w:rPr>
          <w:rFonts w:ascii="Arial" w:hAnsi="Arial" w:cs="Arial"/>
          <w:noProof/>
          <w:lang w:eastAsia="zh-CN"/>
        </w:rPr>
        <mc:AlternateContent>
          <mc:Choice Requires="wps">
            <w:drawing>
              <wp:anchor distT="0" distB="0" distL="114300" distR="114300" simplePos="0" relativeHeight="251663360" behindDoc="0" locked="0" layoutInCell="1" allowOverlap="1" wp14:anchorId="3210E873" wp14:editId="4DB249C3">
                <wp:simplePos x="0" y="0"/>
                <wp:positionH relativeFrom="column">
                  <wp:posOffset>-550281</wp:posOffset>
                </wp:positionH>
                <wp:positionV relativeFrom="paragraph">
                  <wp:posOffset>-551815</wp:posOffset>
                </wp:positionV>
                <wp:extent cx="1371600" cy="258445"/>
                <wp:effectExtent l="0" t="0" r="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8445"/>
                        </a:xfrm>
                        <a:prstGeom prst="rect">
                          <a:avLst/>
                        </a:prstGeom>
                        <a:solidFill>
                          <a:srgbClr val="FFFFFF"/>
                        </a:solidFill>
                        <a:ln w="9525">
                          <a:noFill/>
                          <a:miter lim="800000"/>
                          <a:headEnd/>
                          <a:tailEnd/>
                        </a:ln>
                      </wps:spPr>
                      <wps:txbx>
                        <w:txbxContent>
                          <w:p w14:paraId="0D950F4B" w14:textId="7F0CDE50" w:rsidR="006B052B" w:rsidRPr="009D2B21" w:rsidRDefault="006B052B" w:rsidP="00A9389A">
                            <w:pPr>
                              <w:jc w:val="center"/>
                              <w:rPr>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10E873" id="_x0000_t202" coordsize="21600,21600" o:spt="202" path="m,l,21600r21600,l21600,xe">
                <v:stroke joinstyle="miter"/>
                <v:path gradientshapeok="t" o:connecttype="rect"/>
              </v:shapetype>
              <v:shape id="Text Box 2" o:spid="_x0000_s1026" type="#_x0000_t202" style="position:absolute;margin-left:-43.35pt;margin-top:-43.45pt;width:108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" stroked="f">
                <v:textbox>
                  <w:txbxContent>
                    <w:p w14:paraId="0D950F4B" w14:textId="7F0CDE50" w:rsidR="006B052B" w:rsidRPr="009D2B21" w:rsidRDefault="006B052B" w:rsidP="00A9389A">
                      <w:pPr>
                        <w:jc w:val="center"/>
                        <w:rPr>
                          <w:b/>
                        </w:rPr>
                      </w:pPr>
                    </w:p>
                  </w:txbxContent>
                </v:textbox>
              </v:shape>
            </w:pict>
          </mc:Fallback>
        </mc:AlternateContent>
      </w:r>
      <w:r w:rsidR="0046409D" w:rsidRPr="00AD143A">
        <w:rPr>
          <w:rFonts w:ascii="Arial" w:hAnsi="Arial" w:cs="Arial"/>
          <w:noProof/>
          <w:lang w:eastAsia="zh-CN"/>
        </w:rPr>
        <mc:AlternateContent>
          <mc:Choice Requires="wps">
            <w:drawing>
              <wp:anchor distT="0" distB="0" distL="114300" distR="114300" simplePos="0" relativeHeight="251661312" behindDoc="0" locked="0" layoutInCell="1" allowOverlap="1" wp14:anchorId="4BC48A57" wp14:editId="4DFC16E7">
                <wp:simplePos x="0" y="0"/>
                <wp:positionH relativeFrom="column">
                  <wp:posOffset>4666615</wp:posOffset>
                </wp:positionH>
                <wp:positionV relativeFrom="paragraph">
                  <wp:posOffset>-551815</wp:posOffset>
                </wp:positionV>
                <wp:extent cx="1371600" cy="258445"/>
                <wp:effectExtent l="0" t="0" r="0"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8445"/>
                        </a:xfrm>
                        <a:prstGeom prst="rect">
                          <a:avLst/>
                        </a:prstGeom>
                        <a:solidFill>
                          <a:srgbClr val="FFFFFF"/>
                        </a:solidFill>
                        <a:ln w="9525">
                          <a:noFill/>
                          <a:miter lim="800000"/>
                          <a:headEnd/>
                          <a:tailEnd/>
                        </a:ln>
                      </wps:spPr>
                      <wps:txbx>
                        <w:txbxContent>
                          <w:p w14:paraId="68515978" w14:textId="2BB9903C" w:rsidR="006B052B" w:rsidRPr="009D2B21" w:rsidRDefault="006B052B">
                            <w:pPr>
                              <w:jc w:val="center"/>
                              <w:rPr>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C48A57" id="_x0000_s1027" type="#_x0000_t202" style="position:absolute;margin-left:367.45pt;margin-top:-43.45pt;width:108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" stroked="f">
                <v:textbox>
                  <w:txbxContent>
                    <w:p w14:paraId="68515978" w14:textId="2BB9903C" w:rsidR="006B052B" w:rsidRPr="009D2B21" w:rsidRDefault="006B052B">
                      <w:pPr>
                        <w:jc w:val="center"/>
                        <w:rPr>
                          <w:b/>
                        </w:rPr>
                      </w:pPr>
                    </w:p>
                  </w:txbxContent>
                </v:textbox>
              </v:shape>
            </w:pict>
          </mc:Fallback>
        </mc:AlternateContent>
      </w:r>
      <w:r w:rsidR="006B052B" w:rsidRPr="00AD143A">
        <w:rPr>
          <w:rFonts w:ascii="Arial" w:hAnsi="Arial" w:cs="Arial"/>
        </w:rPr>
        <w:t>3 September 2021</w:t>
      </w:r>
    </w:p>
    <w:p w14:paraId="07F9565B" w14:textId="77777777" w:rsidR="006B052B" w:rsidRPr="00AD143A" w:rsidRDefault="006B052B" w:rsidP="006B052B">
      <w:pPr>
        <w:pStyle w:val="NoSpacing"/>
        <w:jc w:val="right"/>
        <w:rPr>
          <w:rFonts w:ascii="Arial" w:hAnsi="Arial" w:cs="Arial"/>
        </w:rPr>
      </w:pPr>
    </w:p>
    <w:p w14:paraId="7F4E5AC6" w14:textId="77777777" w:rsidR="009835CB" w:rsidRPr="00AD143A" w:rsidRDefault="009835CB" w:rsidP="001C0940">
      <w:pPr>
        <w:pStyle w:val="NoSpacing"/>
        <w:jc w:val="center"/>
        <w:rPr>
          <w:rFonts w:ascii="Arial" w:hAnsi="Arial" w:cs="Arial"/>
          <w:b/>
          <w:u w:val="single"/>
        </w:rPr>
      </w:pPr>
    </w:p>
    <w:p w14:paraId="7BFD5F7A" w14:textId="0F727C76" w:rsidR="001C0940" w:rsidRDefault="003732A8" w:rsidP="001C0940">
      <w:pPr>
        <w:pStyle w:val="NoSpacing"/>
        <w:jc w:val="center"/>
        <w:rPr>
          <w:rFonts w:ascii="Arial" w:hAnsi="Arial" w:cs="Arial"/>
          <w:b/>
        </w:rPr>
      </w:pPr>
      <w:r>
        <w:rPr>
          <w:rFonts w:ascii="Arial" w:hAnsi="Arial" w:cs="Arial"/>
          <w:b/>
        </w:rPr>
        <w:t>The Berkeley Group Holdings plc</w:t>
      </w:r>
    </w:p>
    <w:p w14:paraId="5793B254" w14:textId="28696E00" w:rsidR="003732A8" w:rsidRPr="00AD143A" w:rsidRDefault="003732A8" w:rsidP="001C0940">
      <w:pPr>
        <w:pStyle w:val="NoSpacing"/>
        <w:jc w:val="center"/>
        <w:rPr>
          <w:rFonts w:ascii="Arial" w:hAnsi="Arial" w:cs="Arial"/>
          <w:b/>
        </w:rPr>
      </w:pPr>
      <w:r>
        <w:rPr>
          <w:rFonts w:ascii="Arial" w:hAnsi="Arial" w:cs="Arial"/>
          <w:b/>
        </w:rPr>
        <w:t>(the “Company”)</w:t>
      </w:r>
    </w:p>
    <w:p w14:paraId="4244CDC5" w14:textId="48BBE80A" w:rsidR="001C0940" w:rsidRDefault="001C0940" w:rsidP="001C0940">
      <w:pPr>
        <w:pStyle w:val="NoSpacing"/>
        <w:jc w:val="center"/>
        <w:rPr>
          <w:rFonts w:ascii="Arial" w:hAnsi="Arial" w:cs="Arial"/>
          <w:b/>
        </w:rPr>
      </w:pPr>
    </w:p>
    <w:p w14:paraId="6BC1B0FB" w14:textId="60EC1A02" w:rsidR="003732A8" w:rsidRPr="00AD143A" w:rsidRDefault="003732A8" w:rsidP="001C0940">
      <w:pPr>
        <w:pStyle w:val="NoSpacing"/>
        <w:jc w:val="center"/>
        <w:rPr>
          <w:rFonts w:ascii="Arial" w:hAnsi="Arial" w:cs="Arial"/>
          <w:b/>
        </w:rPr>
      </w:pPr>
      <w:r>
        <w:rPr>
          <w:rFonts w:ascii="Arial" w:hAnsi="Arial" w:cs="Arial"/>
          <w:b/>
        </w:rPr>
        <w:t>2021 Annual General Meeting (“AGM”)</w:t>
      </w:r>
    </w:p>
    <w:p w14:paraId="0B578FAE" w14:textId="259FCF4B" w:rsidR="00486677" w:rsidRPr="00AD143A" w:rsidRDefault="00996A11" w:rsidP="009258A2">
      <w:pPr>
        <w:pStyle w:val="NoSpacing"/>
        <w:jc w:val="center"/>
        <w:rPr>
          <w:rFonts w:ascii="Arial" w:hAnsi="Arial" w:cs="Arial"/>
          <w:b/>
        </w:rPr>
      </w:pPr>
      <w:r w:rsidRPr="00AD143A">
        <w:rPr>
          <w:rFonts w:ascii="Arial" w:hAnsi="Arial" w:cs="Arial"/>
          <w:b/>
        </w:rPr>
        <w:t xml:space="preserve">Results of </w:t>
      </w:r>
      <w:r w:rsidR="003732A8">
        <w:rPr>
          <w:rFonts w:ascii="Arial" w:hAnsi="Arial" w:cs="Arial"/>
          <w:b/>
        </w:rPr>
        <w:t>AGM</w:t>
      </w:r>
      <w:r w:rsidRPr="00AD143A">
        <w:rPr>
          <w:rFonts w:ascii="Arial" w:hAnsi="Arial" w:cs="Arial"/>
          <w:b/>
        </w:rPr>
        <w:t xml:space="preserve">, </w:t>
      </w:r>
      <w:r w:rsidR="007A0A1B" w:rsidRPr="00AD143A">
        <w:rPr>
          <w:rFonts w:ascii="Arial" w:hAnsi="Arial" w:cs="Arial"/>
          <w:b/>
        </w:rPr>
        <w:t>Return of Cash</w:t>
      </w:r>
      <w:r w:rsidR="00684BE5" w:rsidRPr="00AD143A">
        <w:rPr>
          <w:rFonts w:ascii="Arial" w:hAnsi="Arial" w:cs="Arial"/>
          <w:b/>
        </w:rPr>
        <w:t xml:space="preserve"> and </w:t>
      </w:r>
      <w:r w:rsidRPr="00AD143A">
        <w:rPr>
          <w:rFonts w:ascii="Arial" w:hAnsi="Arial" w:cs="Arial"/>
          <w:b/>
        </w:rPr>
        <w:t>Share Consolidation</w:t>
      </w:r>
    </w:p>
    <w:p w14:paraId="2E553FC1" w14:textId="4AB15D2C" w:rsidR="00EF0795" w:rsidRPr="00AD143A" w:rsidRDefault="00EF0795" w:rsidP="00EF0795">
      <w:pPr>
        <w:pStyle w:val="NoSpacing"/>
        <w:jc w:val="both"/>
        <w:rPr>
          <w:rFonts w:ascii="Arial" w:hAnsi="Arial" w:cs="Arial"/>
          <w:bCs/>
        </w:rPr>
      </w:pPr>
    </w:p>
    <w:p w14:paraId="115041B8" w14:textId="77777777" w:rsidR="006B052B" w:rsidRPr="00AD143A" w:rsidRDefault="006B052B" w:rsidP="00EF0795">
      <w:pPr>
        <w:pStyle w:val="NoSpacing"/>
        <w:jc w:val="both"/>
        <w:rPr>
          <w:rFonts w:ascii="Arial" w:hAnsi="Arial" w:cs="Arial"/>
          <w:bCs/>
        </w:rPr>
      </w:pPr>
    </w:p>
    <w:p w14:paraId="75E343C1" w14:textId="1E223D69" w:rsidR="003732A8" w:rsidRDefault="003732A8" w:rsidP="009258A2">
      <w:pPr>
        <w:pStyle w:val="NoSpacing"/>
        <w:jc w:val="both"/>
        <w:rPr>
          <w:rFonts w:ascii="Arial" w:hAnsi="Arial" w:cs="Arial"/>
          <w:bCs/>
        </w:rPr>
      </w:pPr>
      <w:r>
        <w:rPr>
          <w:rFonts w:ascii="Arial" w:hAnsi="Arial" w:cs="Arial"/>
          <w:bCs/>
        </w:rPr>
        <w:t xml:space="preserve">Shareholders are informed that </w:t>
      </w:r>
      <w:r w:rsidR="00C96660" w:rsidRPr="00AD143A">
        <w:rPr>
          <w:rFonts w:ascii="Arial" w:hAnsi="Arial" w:cs="Arial"/>
          <w:bCs/>
        </w:rPr>
        <w:t xml:space="preserve">the results of </w:t>
      </w:r>
      <w:r>
        <w:rPr>
          <w:rFonts w:ascii="Arial" w:hAnsi="Arial" w:cs="Arial"/>
          <w:bCs/>
        </w:rPr>
        <w:t xml:space="preserve">the poll on the resolutions put before the AGM of the Company </w:t>
      </w:r>
      <w:r w:rsidR="00C96660" w:rsidRPr="00AD143A">
        <w:rPr>
          <w:rFonts w:ascii="Arial" w:hAnsi="Arial" w:cs="Arial"/>
          <w:bCs/>
        </w:rPr>
        <w:t xml:space="preserve">held </w:t>
      </w:r>
      <w:r>
        <w:rPr>
          <w:rFonts w:ascii="Arial" w:hAnsi="Arial" w:cs="Arial"/>
          <w:bCs/>
        </w:rPr>
        <w:t xml:space="preserve">on </w:t>
      </w:r>
      <w:r w:rsidR="002C3B21" w:rsidRPr="00AD143A">
        <w:rPr>
          <w:rFonts w:ascii="Arial" w:hAnsi="Arial" w:cs="Arial"/>
          <w:bCs/>
        </w:rPr>
        <w:t>3 September 2021</w:t>
      </w:r>
      <w:r w:rsidR="000C586C" w:rsidRPr="00AD143A">
        <w:rPr>
          <w:rFonts w:ascii="Arial" w:hAnsi="Arial" w:cs="Arial"/>
          <w:bCs/>
        </w:rPr>
        <w:t xml:space="preserve"> </w:t>
      </w:r>
      <w:r>
        <w:rPr>
          <w:rFonts w:ascii="Arial" w:hAnsi="Arial" w:cs="Arial"/>
          <w:bCs/>
        </w:rPr>
        <w:t>are:</w:t>
      </w:r>
    </w:p>
    <w:p w14:paraId="229A9CF8" w14:textId="208495EF" w:rsidR="00D94D69" w:rsidRDefault="00D94D69" w:rsidP="009258A2">
      <w:pPr>
        <w:pStyle w:val="NoSpacing"/>
        <w:jc w:val="both"/>
        <w:rPr>
          <w:rFonts w:ascii="Arial" w:hAnsi="Arial" w:cs="Arial"/>
          <w:bCs/>
        </w:rPr>
      </w:pPr>
    </w:p>
    <w:tbl>
      <w:tblPr>
        <w:tblW w:w="9634" w:type="dxa"/>
        <w:tblLook w:val="04A0" w:firstRow="1" w:lastRow="0" w:firstColumn="1" w:lastColumn="0" w:noHBand="0" w:noVBand="1"/>
      </w:tblPr>
      <w:tblGrid>
        <w:gridCol w:w="1271"/>
        <w:gridCol w:w="1276"/>
        <w:gridCol w:w="992"/>
        <w:gridCol w:w="1276"/>
        <w:gridCol w:w="1132"/>
        <w:gridCol w:w="1419"/>
        <w:gridCol w:w="1134"/>
        <w:gridCol w:w="1134"/>
      </w:tblGrid>
      <w:tr w:rsidR="00D94D69" w:rsidRPr="00D94D69" w14:paraId="6AE92487" w14:textId="77777777" w:rsidTr="00D94D69">
        <w:trPr>
          <w:trHeight w:val="85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A3E07" w14:textId="5A5D023A"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Resolution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13A251" w14:textId="77777777" w:rsidR="00D94D69" w:rsidRPr="00D94D69" w:rsidRDefault="00D94D69" w:rsidP="00D94D69">
            <w:pPr>
              <w:pStyle w:val="NoSpacing"/>
              <w:jc w:val="center"/>
              <w:rPr>
                <w:rFonts w:ascii="Arial" w:hAnsi="Arial" w:cs="Arial"/>
                <w:bCs/>
                <w:sz w:val="20"/>
                <w:szCs w:val="20"/>
              </w:rPr>
            </w:pPr>
            <w:r w:rsidRPr="00D94D69">
              <w:rPr>
                <w:rFonts w:ascii="Arial" w:hAnsi="Arial" w:cs="Arial"/>
                <w:bCs/>
                <w:sz w:val="20"/>
                <w:szCs w:val="20"/>
              </w:rPr>
              <w:t xml:space="preserve">Votes </w:t>
            </w:r>
          </w:p>
          <w:p w14:paraId="089A80EB" w14:textId="7846F30F" w:rsidR="00D94D69" w:rsidRPr="00D94D69" w:rsidRDefault="00D94D69" w:rsidP="00D94D69">
            <w:pPr>
              <w:spacing w:after="0" w:line="240" w:lineRule="auto"/>
              <w:jc w:val="center"/>
              <w:rPr>
                <w:rFonts w:ascii="Arial" w:eastAsia="Times New Roman" w:hAnsi="Arial" w:cs="Arial"/>
                <w:color w:val="000000"/>
                <w:sz w:val="20"/>
                <w:szCs w:val="20"/>
                <w:lang w:eastAsia="zh-CN"/>
              </w:rPr>
            </w:pPr>
            <w:r w:rsidRPr="00D94D69">
              <w:rPr>
                <w:rFonts w:ascii="Arial" w:hAnsi="Arial" w:cs="Arial"/>
                <w:bCs/>
                <w:sz w:val="20"/>
                <w:szCs w:val="20"/>
              </w:rPr>
              <w:t>FOR</w:t>
            </w:r>
            <w:r w:rsidRPr="00D94D69">
              <w:rPr>
                <w:rFonts w:ascii="Arial" w:hAnsi="Arial" w:cs="Arial"/>
                <w:bCs/>
                <w:sz w:val="20"/>
                <w:szCs w:val="20"/>
                <w:vertAlign w:val="superscript"/>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5059EA" w14:textId="77777777" w:rsidR="00D94D69" w:rsidRPr="00D94D69" w:rsidRDefault="00D94D69" w:rsidP="00D94D69">
            <w:pPr>
              <w:spacing w:after="0" w:line="240" w:lineRule="auto"/>
              <w:jc w:val="center"/>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79635BB" w14:textId="3231C5BD" w:rsidR="00D94D69" w:rsidRPr="00D94D69" w:rsidRDefault="00D94D69" w:rsidP="00D94D69">
            <w:pPr>
              <w:spacing w:after="0" w:line="240" w:lineRule="auto"/>
              <w:jc w:val="center"/>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 xml:space="preserve">Votes </w:t>
            </w:r>
            <w:r>
              <w:rPr>
                <w:rFonts w:ascii="Arial" w:eastAsia="Times New Roman" w:hAnsi="Arial" w:cs="Arial"/>
                <w:color w:val="000000"/>
                <w:sz w:val="20"/>
                <w:szCs w:val="20"/>
                <w:lang w:eastAsia="zh-CN"/>
              </w:rPr>
              <w:t>AGAINST</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08982AF7" w14:textId="77777777" w:rsidR="00D94D69" w:rsidRPr="00D94D69" w:rsidRDefault="00D94D69" w:rsidP="00D94D69">
            <w:pPr>
              <w:spacing w:after="0" w:line="240" w:lineRule="auto"/>
              <w:jc w:val="center"/>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50B50C03" w14:textId="31DB9C0E" w:rsidR="00D94D69" w:rsidRPr="00D94D69" w:rsidRDefault="00D94D69" w:rsidP="00D94D69">
            <w:pPr>
              <w:spacing w:after="0" w:line="240" w:lineRule="auto"/>
              <w:jc w:val="center"/>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 xml:space="preserve">Total Votes </w:t>
            </w:r>
            <w:r>
              <w:rPr>
                <w:rFonts w:ascii="Arial" w:eastAsia="Times New Roman" w:hAnsi="Arial" w:cs="Arial"/>
                <w:color w:val="000000"/>
                <w:sz w:val="20"/>
                <w:szCs w:val="20"/>
                <w:lang w:eastAsia="zh-CN"/>
              </w:rPr>
              <w:t xml:space="preserve">Validly </w:t>
            </w:r>
            <w:r w:rsidRPr="00D94D69">
              <w:rPr>
                <w:rFonts w:ascii="Arial" w:eastAsia="Times New Roman" w:hAnsi="Arial" w:cs="Arial"/>
                <w:color w:val="000000"/>
                <w:sz w:val="20"/>
                <w:szCs w:val="20"/>
                <w:lang w:eastAsia="zh-CN"/>
              </w:rPr>
              <w:t>Cast (excluding withheld)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9AB777" w14:textId="67EF81E2" w:rsidR="00D94D69" w:rsidRPr="00D94D69" w:rsidRDefault="00D94D69" w:rsidP="00D94D69">
            <w:pPr>
              <w:spacing w:after="0" w:line="240" w:lineRule="auto"/>
              <w:jc w:val="center"/>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 xml:space="preserve">% of </w:t>
            </w:r>
            <w:r>
              <w:rPr>
                <w:rFonts w:ascii="Arial" w:eastAsia="Times New Roman" w:hAnsi="Arial" w:cs="Arial"/>
                <w:color w:val="000000"/>
                <w:sz w:val="20"/>
                <w:szCs w:val="20"/>
                <w:lang w:eastAsia="zh-CN"/>
              </w:rPr>
              <w:t>ISC Voted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7D2B0B" w14:textId="5D7E7F94" w:rsidR="00D94D69" w:rsidRPr="00D94D69" w:rsidRDefault="00D94D69" w:rsidP="00D94D69">
            <w:pPr>
              <w:spacing w:after="0" w:line="240" w:lineRule="auto"/>
              <w:jc w:val="center"/>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Withheld</w:t>
            </w:r>
            <w:r>
              <w:rPr>
                <w:rFonts w:ascii="Arial" w:eastAsia="Times New Roman" w:hAnsi="Arial" w:cs="Arial"/>
                <w:color w:val="000000"/>
                <w:sz w:val="18"/>
                <w:szCs w:val="18"/>
                <w:lang w:eastAsia="zh-CN"/>
              </w:rPr>
              <w:t xml:space="preserve"> Votes</w:t>
            </w:r>
            <w:r w:rsidR="006542FB">
              <w:rPr>
                <w:rFonts w:ascii="Arial" w:eastAsia="Times New Roman" w:hAnsi="Arial" w:cs="Arial"/>
                <w:bCs/>
                <w:color w:val="000000"/>
                <w:sz w:val="18"/>
                <w:szCs w:val="18"/>
                <w:vertAlign w:val="superscript"/>
                <w:lang w:eastAsia="zh-CN"/>
              </w:rPr>
              <w:t>2</w:t>
            </w:r>
          </w:p>
        </w:tc>
      </w:tr>
      <w:tr w:rsidR="00D94D69" w:rsidRPr="00D94D69" w14:paraId="27F45884"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D2B3F97"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w:t>
            </w:r>
          </w:p>
        </w:tc>
        <w:tc>
          <w:tcPr>
            <w:tcW w:w="1276" w:type="dxa"/>
            <w:tcBorders>
              <w:top w:val="nil"/>
              <w:left w:val="nil"/>
              <w:bottom w:val="single" w:sz="4" w:space="0" w:color="auto"/>
              <w:right w:val="single" w:sz="4" w:space="0" w:color="auto"/>
            </w:tcBorders>
            <w:shd w:val="clear" w:color="auto" w:fill="auto"/>
            <w:noWrap/>
            <w:vAlign w:val="bottom"/>
            <w:hideMark/>
          </w:tcPr>
          <w:p w14:paraId="4F3330BD"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84,541,803</w:t>
            </w:r>
          </w:p>
        </w:tc>
        <w:tc>
          <w:tcPr>
            <w:tcW w:w="992" w:type="dxa"/>
            <w:tcBorders>
              <w:top w:val="nil"/>
              <w:left w:val="nil"/>
              <w:bottom w:val="single" w:sz="4" w:space="0" w:color="auto"/>
              <w:right w:val="single" w:sz="4" w:space="0" w:color="auto"/>
            </w:tcBorders>
            <w:shd w:val="clear" w:color="auto" w:fill="auto"/>
            <w:noWrap/>
            <w:vAlign w:val="bottom"/>
            <w:hideMark/>
          </w:tcPr>
          <w:p w14:paraId="79E194E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99.97%</w:t>
            </w:r>
          </w:p>
        </w:tc>
        <w:tc>
          <w:tcPr>
            <w:tcW w:w="1276" w:type="dxa"/>
            <w:tcBorders>
              <w:top w:val="nil"/>
              <w:left w:val="nil"/>
              <w:bottom w:val="single" w:sz="4" w:space="0" w:color="auto"/>
              <w:right w:val="single" w:sz="4" w:space="0" w:color="auto"/>
            </w:tcBorders>
            <w:shd w:val="clear" w:color="auto" w:fill="auto"/>
            <w:noWrap/>
            <w:vAlign w:val="bottom"/>
            <w:hideMark/>
          </w:tcPr>
          <w:p w14:paraId="5E1B593B"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22,791</w:t>
            </w:r>
          </w:p>
        </w:tc>
        <w:tc>
          <w:tcPr>
            <w:tcW w:w="1132" w:type="dxa"/>
            <w:tcBorders>
              <w:top w:val="nil"/>
              <w:left w:val="nil"/>
              <w:bottom w:val="single" w:sz="4" w:space="0" w:color="auto"/>
              <w:right w:val="single" w:sz="4" w:space="0" w:color="auto"/>
            </w:tcBorders>
            <w:shd w:val="clear" w:color="auto" w:fill="auto"/>
            <w:noWrap/>
            <w:vAlign w:val="bottom"/>
            <w:hideMark/>
          </w:tcPr>
          <w:p w14:paraId="5A3B267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0.03%</w:t>
            </w:r>
          </w:p>
        </w:tc>
        <w:tc>
          <w:tcPr>
            <w:tcW w:w="1419" w:type="dxa"/>
            <w:tcBorders>
              <w:top w:val="nil"/>
              <w:left w:val="nil"/>
              <w:bottom w:val="single" w:sz="4" w:space="0" w:color="auto"/>
              <w:right w:val="single" w:sz="4" w:space="0" w:color="auto"/>
            </w:tcBorders>
            <w:shd w:val="clear" w:color="auto" w:fill="auto"/>
            <w:noWrap/>
            <w:vAlign w:val="bottom"/>
            <w:hideMark/>
          </w:tcPr>
          <w:p w14:paraId="2A40857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84,564,594</w:t>
            </w:r>
          </w:p>
        </w:tc>
        <w:tc>
          <w:tcPr>
            <w:tcW w:w="1134" w:type="dxa"/>
            <w:tcBorders>
              <w:top w:val="nil"/>
              <w:left w:val="nil"/>
              <w:bottom w:val="single" w:sz="4" w:space="0" w:color="auto"/>
              <w:right w:val="single" w:sz="4" w:space="0" w:color="auto"/>
            </w:tcBorders>
            <w:shd w:val="clear" w:color="auto" w:fill="auto"/>
            <w:noWrap/>
            <w:vAlign w:val="bottom"/>
            <w:hideMark/>
          </w:tcPr>
          <w:p w14:paraId="084E04D3"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69.49%</w:t>
            </w:r>
          </w:p>
        </w:tc>
        <w:tc>
          <w:tcPr>
            <w:tcW w:w="1134" w:type="dxa"/>
            <w:tcBorders>
              <w:top w:val="nil"/>
              <w:left w:val="nil"/>
              <w:bottom w:val="single" w:sz="4" w:space="0" w:color="auto"/>
              <w:right w:val="single" w:sz="4" w:space="0" w:color="auto"/>
            </w:tcBorders>
            <w:shd w:val="clear" w:color="auto" w:fill="auto"/>
            <w:noWrap/>
            <w:vAlign w:val="bottom"/>
            <w:hideMark/>
          </w:tcPr>
          <w:p w14:paraId="341BC228"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1,536,512</w:t>
            </w:r>
          </w:p>
        </w:tc>
      </w:tr>
      <w:tr w:rsidR="00D94D69" w:rsidRPr="00D94D69" w14:paraId="360F7FA9"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3F48D94"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2</w:t>
            </w:r>
          </w:p>
        </w:tc>
        <w:tc>
          <w:tcPr>
            <w:tcW w:w="1276" w:type="dxa"/>
            <w:tcBorders>
              <w:top w:val="nil"/>
              <w:left w:val="nil"/>
              <w:bottom w:val="single" w:sz="4" w:space="0" w:color="auto"/>
              <w:right w:val="single" w:sz="4" w:space="0" w:color="auto"/>
            </w:tcBorders>
            <w:shd w:val="clear" w:color="auto" w:fill="auto"/>
            <w:noWrap/>
            <w:vAlign w:val="bottom"/>
            <w:hideMark/>
          </w:tcPr>
          <w:p w14:paraId="37E84780"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79,431,552</w:t>
            </w:r>
          </w:p>
        </w:tc>
        <w:tc>
          <w:tcPr>
            <w:tcW w:w="992" w:type="dxa"/>
            <w:tcBorders>
              <w:top w:val="nil"/>
              <w:left w:val="nil"/>
              <w:bottom w:val="single" w:sz="4" w:space="0" w:color="auto"/>
              <w:right w:val="single" w:sz="4" w:space="0" w:color="auto"/>
            </w:tcBorders>
            <w:shd w:val="clear" w:color="auto" w:fill="auto"/>
            <w:noWrap/>
            <w:vAlign w:val="bottom"/>
            <w:hideMark/>
          </w:tcPr>
          <w:p w14:paraId="650BC015"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92.51%</w:t>
            </w:r>
          </w:p>
        </w:tc>
        <w:tc>
          <w:tcPr>
            <w:tcW w:w="1276" w:type="dxa"/>
            <w:tcBorders>
              <w:top w:val="nil"/>
              <w:left w:val="nil"/>
              <w:bottom w:val="single" w:sz="4" w:space="0" w:color="auto"/>
              <w:right w:val="single" w:sz="4" w:space="0" w:color="auto"/>
            </w:tcBorders>
            <w:shd w:val="clear" w:color="auto" w:fill="auto"/>
            <w:noWrap/>
            <w:vAlign w:val="bottom"/>
            <w:hideMark/>
          </w:tcPr>
          <w:p w14:paraId="0ED4C384"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6,432,360</w:t>
            </w:r>
          </w:p>
        </w:tc>
        <w:tc>
          <w:tcPr>
            <w:tcW w:w="1132" w:type="dxa"/>
            <w:tcBorders>
              <w:top w:val="nil"/>
              <w:left w:val="nil"/>
              <w:bottom w:val="single" w:sz="4" w:space="0" w:color="auto"/>
              <w:right w:val="single" w:sz="4" w:space="0" w:color="auto"/>
            </w:tcBorders>
            <w:shd w:val="clear" w:color="auto" w:fill="auto"/>
            <w:noWrap/>
            <w:vAlign w:val="bottom"/>
            <w:hideMark/>
          </w:tcPr>
          <w:p w14:paraId="135D6949"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7.49%</w:t>
            </w:r>
          </w:p>
        </w:tc>
        <w:tc>
          <w:tcPr>
            <w:tcW w:w="1419" w:type="dxa"/>
            <w:tcBorders>
              <w:top w:val="nil"/>
              <w:left w:val="nil"/>
              <w:bottom w:val="single" w:sz="4" w:space="0" w:color="auto"/>
              <w:right w:val="single" w:sz="4" w:space="0" w:color="auto"/>
            </w:tcBorders>
            <w:shd w:val="clear" w:color="auto" w:fill="auto"/>
            <w:noWrap/>
            <w:vAlign w:val="bottom"/>
            <w:hideMark/>
          </w:tcPr>
          <w:p w14:paraId="019CD031"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85,863,912</w:t>
            </w:r>
          </w:p>
        </w:tc>
        <w:tc>
          <w:tcPr>
            <w:tcW w:w="1134" w:type="dxa"/>
            <w:tcBorders>
              <w:top w:val="nil"/>
              <w:left w:val="nil"/>
              <w:bottom w:val="single" w:sz="4" w:space="0" w:color="auto"/>
              <w:right w:val="single" w:sz="4" w:space="0" w:color="auto"/>
            </w:tcBorders>
            <w:shd w:val="clear" w:color="auto" w:fill="auto"/>
            <w:noWrap/>
            <w:vAlign w:val="bottom"/>
            <w:hideMark/>
          </w:tcPr>
          <w:p w14:paraId="77EBA3E4"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70.56%</w:t>
            </w:r>
          </w:p>
        </w:tc>
        <w:tc>
          <w:tcPr>
            <w:tcW w:w="1134" w:type="dxa"/>
            <w:tcBorders>
              <w:top w:val="nil"/>
              <w:left w:val="nil"/>
              <w:bottom w:val="single" w:sz="4" w:space="0" w:color="auto"/>
              <w:right w:val="single" w:sz="4" w:space="0" w:color="auto"/>
            </w:tcBorders>
            <w:shd w:val="clear" w:color="auto" w:fill="auto"/>
            <w:noWrap/>
            <w:vAlign w:val="bottom"/>
            <w:hideMark/>
          </w:tcPr>
          <w:p w14:paraId="25FB5598"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302,252</w:t>
            </w:r>
          </w:p>
        </w:tc>
      </w:tr>
      <w:tr w:rsidR="00D94D69" w:rsidRPr="00D94D69" w14:paraId="2982D9F0"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BA14F43"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3</w:t>
            </w:r>
          </w:p>
        </w:tc>
        <w:tc>
          <w:tcPr>
            <w:tcW w:w="1276" w:type="dxa"/>
            <w:tcBorders>
              <w:top w:val="nil"/>
              <w:left w:val="nil"/>
              <w:bottom w:val="single" w:sz="4" w:space="0" w:color="auto"/>
              <w:right w:val="single" w:sz="4" w:space="0" w:color="auto"/>
            </w:tcBorders>
            <w:shd w:val="clear" w:color="auto" w:fill="auto"/>
            <w:noWrap/>
            <w:vAlign w:val="bottom"/>
            <w:hideMark/>
          </w:tcPr>
          <w:p w14:paraId="466A8126"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74,526,071</w:t>
            </w:r>
          </w:p>
        </w:tc>
        <w:tc>
          <w:tcPr>
            <w:tcW w:w="992" w:type="dxa"/>
            <w:tcBorders>
              <w:top w:val="nil"/>
              <w:left w:val="nil"/>
              <w:bottom w:val="single" w:sz="4" w:space="0" w:color="auto"/>
              <w:right w:val="single" w:sz="4" w:space="0" w:color="auto"/>
            </w:tcBorders>
            <w:shd w:val="clear" w:color="auto" w:fill="auto"/>
            <w:noWrap/>
            <w:vAlign w:val="bottom"/>
            <w:hideMark/>
          </w:tcPr>
          <w:p w14:paraId="7EE97767"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87.18%</w:t>
            </w:r>
          </w:p>
        </w:tc>
        <w:tc>
          <w:tcPr>
            <w:tcW w:w="1276" w:type="dxa"/>
            <w:tcBorders>
              <w:top w:val="nil"/>
              <w:left w:val="nil"/>
              <w:bottom w:val="single" w:sz="4" w:space="0" w:color="auto"/>
              <w:right w:val="single" w:sz="4" w:space="0" w:color="auto"/>
            </w:tcBorders>
            <w:shd w:val="clear" w:color="auto" w:fill="auto"/>
            <w:noWrap/>
            <w:vAlign w:val="bottom"/>
            <w:hideMark/>
          </w:tcPr>
          <w:p w14:paraId="5D969A22"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10,958,520</w:t>
            </w:r>
          </w:p>
        </w:tc>
        <w:tc>
          <w:tcPr>
            <w:tcW w:w="1132" w:type="dxa"/>
            <w:tcBorders>
              <w:top w:val="nil"/>
              <w:left w:val="nil"/>
              <w:bottom w:val="single" w:sz="4" w:space="0" w:color="auto"/>
              <w:right w:val="single" w:sz="4" w:space="0" w:color="auto"/>
            </w:tcBorders>
            <w:shd w:val="clear" w:color="auto" w:fill="auto"/>
            <w:noWrap/>
            <w:vAlign w:val="bottom"/>
            <w:hideMark/>
          </w:tcPr>
          <w:p w14:paraId="75A403F5"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12.82%</w:t>
            </w:r>
          </w:p>
        </w:tc>
        <w:tc>
          <w:tcPr>
            <w:tcW w:w="1419" w:type="dxa"/>
            <w:tcBorders>
              <w:top w:val="nil"/>
              <w:left w:val="nil"/>
              <w:bottom w:val="single" w:sz="4" w:space="0" w:color="auto"/>
              <w:right w:val="single" w:sz="4" w:space="0" w:color="auto"/>
            </w:tcBorders>
            <w:shd w:val="clear" w:color="auto" w:fill="auto"/>
            <w:noWrap/>
            <w:vAlign w:val="bottom"/>
            <w:hideMark/>
          </w:tcPr>
          <w:p w14:paraId="3038C6A4"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85,484,591</w:t>
            </w:r>
          </w:p>
        </w:tc>
        <w:tc>
          <w:tcPr>
            <w:tcW w:w="1134" w:type="dxa"/>
            <w:tcBorders>
              <w:top w:val="nil"/>
              <w:left w:val="nil"/>
              <w:bottom w:val="single" w:sz="4" w:space="0" w:color="auto"/>
              <w:right w:val="single" w:sz="4" w:space="0" w:color="auto"/>
            </w:tcBorders>
            <w:shd w:val="clear" w:color="auto" w:fill="auto"/>
            <w:noWrap/>
            <w:vAlign w:val="bottom"/>
            <w:hideMark/>
          </w:tcPr>
          <w:p w14:paraId="0D294624"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70.24%</w:t>
            </w:r>
          </w:p>
        </w:tc>
        <w:tc>
          <w:tcPr>
            <w:tcW w:w="1134" w:type="dxa"/>
            <w:tcBorders>
              <w:top w:val="nil"/>
              <w:left w:val="nil"/>
              <w:bottom w:val="single" w:sz="4" w:space="0" w:color="auto"/>
              <w:right w:val="single" w:sz="4" w:space="0" w:color="auto"/>
            </w:tcBorders>
            <w:shd w:val="clear" w:color="auto" w:fill="auto"/>
            <w:noWrap/>
            <w:vAlign w:val="bottom"/>
            <w:hideMark/>
          </w:tcPr>
          <w:p w14:paraId="03748E47"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551,456</w:t>
            </w:r>
          </w:p>
        </w:tc>
      </w:tr>
      <w:tr w:rsidR="00D94D69" w:rsidRPr="00D94D69" w14:paraId="0F2014B7"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BEFA31B"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4</w:t>
            </w:r>
          </w:p>
        </w:tc>
        <w:tc>
          <w:tcPr>
            <w:tcW w:w="1276" w:type="dxa"/>
            <w:tcBorders>
              <w:top w:val="nil"/>
              <w:left w:val="nil"/>
              <w:bottom w:val="single" w:sz="4" w:space="0" w:color="auto"/>
              <w:right w:val="single" w:sz="4" w:space="0" w:color="auto"/>
            </w:tcBorders>
            <w:shd w:val="clear" w:color="auto" w:fill="auto"/>
            <w:noWrap/>
            <w:vAlign w:val="bottom"/>
            <w:hideMark/>
          </w:tcPr>
          <w:p w14:paraId="53511142"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85,178,018</w:t>
            </w:r>
          </w:p>
        </w:tc>
        <w:tc>
          <w:tcPr>
            <w:tcW w:w="992" w:type="dxa"/>
            <w:tcBorders>
              <w:top w:val="nil"/>
              <w:left w:val="nil"/>
              <w:bottom w:val="single" w:sz="4" w:space="0" w:color="auto"/>
              <w:right w:val="single" w:sz="4" w:space="0" w:color="auto"/>
            </w:tcBorders>
            <w:shd w:val="clear" w:color="auto" w:fill="auto"/>
            <w:noWrap/>
            <w:vAlign w:val="bottom"/>
            <w:hideMark/>
          </w:tcPr>
          <w:p w14:paraId="680FF1A2"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99.13%</w:t>
            </w:r>
          </w:p>
        </w:tc>
        <w:tc>
          <w:tcPr>
            <w:tcW w:w="1276" w:type="dxa"/>
            <w:tcBorders>
              <w:top w:val="nil"/>
              <w:left w:val="nil"/>
              <w:bottom w:val="single" w:sz="4" w:space="0" w:color="auto"/>
              <w:right w:val="single" w:sz="4" w:space="0" w:color="auto"/>
            </w:tcBorders>
            <w:shd w:val="clear" w:color="auto" w:fill="auto"/>
            <w:noWrap/>
            <w:vAlign w:val="bottom"/>
            <w:hideMark/>
          </w:tcPr>
          <w:p w14:paraId="46B5B9D4"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746,402</w:t>
            </w:r>
          </w:p>
        </w:tc>
        <w:tc>
          <w:tcPr>
            <w:tcW w:w="1132" w:type="dxa"/>
            <w:tcBorders>
              <w:top w:val="nil"/>
              <w:left w:val="nil"/>
              <w:bottom w:val="single" w:sz="4" w:space="0" w:color="auto"/>
              <w:right w:val="single" w:sz="4" w:space="0" w:color="auto"/>
            </w:tcBorders>
            <w:shd w:val="clear" w:color="auto" w:fill="auto"/>
            <w:noWrap/>
            <w:vAlign w:val="bottom"/>
            <w:hideMark/>
          </w:tcPr>
          <w:p w14:paraId="44A6DC06"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0.87%</w:t>
            </w:r>
          </w:p>
        </w:tc>
        <w:tc>
          <w:tcPr>
            <w:tcW w:w="1419" w:type="dxa"/>
            <w:tcBorders>
              <w:top w:val="nil"/>
              <w:left w:val="nil"/>
              <w:bottom w:val="single" w:sz="4" w:space="0" w:color="auto"/>
              <w:right w:val="single" w:sz="4" w:space="0" w:color="auto"/>
            </w:tcBorders>
            <w:shd w:val="clear" w:color="auto" w:fill="auto"/>
            <w:noWrap/>
            <w:vAlign w:val="bottom"/>
            <w:hideMark/>
          </w:tcPr>
          <w:p w14:paraId="50539C22"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85,924,420</w:t>
            </w:r>
          </w:p>
        </w:tc>
        <w:tc>
          <w:tcPr>
            <w:tcW w:w="1134" w:type="dxa"/>
            <w:tcBorders>
              <w:top w:val="nil"/>
              <w:left w:val="nil"/>
              <w:bottom w:val="single" w:sz="4" w:space="0" w:color="auto"/>
              <w:right w:val="single" w:sz="4" w:space="0" w:color="auto"/>
            </w:tcBorders>
            <w:shd w:val="clear" w:color="auto" w:fill="auto"/>
            <w:noWrap/>
            <w:vAlign w:val="bottom"/>
            <w:hideMark/>
          </w:tcPr>
          <w:p w14:paraId="3299A8E8"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70.61%</w:t>
            </w:r>
          </w:p>
        </w:tc>
        <w:tc>
          <w:tcPr>
            <w:tcW w:w="1134" w:type="dxa"/>
            <w:tcBorders>
              <w:top w:val="nil"/>
              <w:left w:val="nil"/>
              <w:bottom w:val="single" w:sz="4" w:space="0" w:color="auto"/>
              <w:right w:val="single" w:sz="4" w:space="0" w:color="auto"/>
            </w:tcBorders>
            <w:shd w:val="clear" w:color="auto" w:fill="auto"/>
            <w:noWrap/>
            <w:vAlign w:val="bottom"/>
            <w:hideMark/>
          </w:tcPr>
          <w:p w14:paraId="4BF19CFB"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176,686</w:t>
            </w:r>
          </w:p>
        </w:tc>
      </w:tr>
      <w:tr w:rsidR="00D94D69" w:rsidRPr="00D94D69" w14:paraId="005F6FCE"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CC7678D"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5</w:t>
            </w:r>
          </w:p>
        </w:tc>
        <w:tc>
          <w:tcPr>
            <w:tcW w:w="1276" w:type="dxa"/>
            <w:tcBorders>
              <w:top w:val="nil"/>
              <w:left w:val="nil"/>
              <w:bottom w:val="single" w:sz="4" w:space="0" w:color="auto"/>
              <w:right w:val="single" w:sz="4" w:space="0" w:color="auto"/>
            </w:tcBorders>
            <w:shd w:val="clear" w:color="auto" w:fill="auto"/>
            <w:noWrap/>
            <w:vAlign w:val="bottom"/>
            <w:hideMark/>
          </w:tcPr>
          <w:p w14:paraId="68DC7977"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85,830,660</w:t>
            </w:r>
          </w:p>
        </w:tc>
        <w:tc>
          <w:tcPr>
            <w:tcW w:w="992" w:type="dxa"/>
            <w:tcBorders>
              <w:top w:val="nil"/>
              <w:left w:val="nil"/>
              <w:bottom w:val="single" w:sz="4" w:space="0" w:color="auto"/>
              <w:right w:val="single" w:sz="4" w:space="0" w:color="auto"/>
            </w:tcBorders>
            <w:shd w:val="clear" w:color="auto" w:fill="auto"/>
            <w:noWrap/>
            <w:vAlign w:val="bottom"/>
            <w:hideMark/>
          </w:tcPr>
          <w:p w14:paraId="6D2CC3FD"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99.71%</w:t>
            </w:r>
          </w:p>
        </w:tc>
        <w:tc>
          <w:tcPr>
            <w:tcW w:w="1276" w:type="dxa"/>
            <w:tcBorders>
              <w:top w:val="nil"/>
              <w:left w:val="nil"/>
              <w:bottom w:val="single" w:sz="4" w:space="0" w:color="auto"/>
              <w:right w:val="single" w:sz="4" w:space="0" w:color="auto"/>
            </w:tcBorders>
            <w:shd w:val="clear" w:color="auto" w:fill="auto"/>
            <w:noWrap/>
            <w:vAlign w:val="bottom"/>
            <w:hideMark/>
          </w:tcPr>
          <w:p w14:paraId="6967A11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253,235</w:t>
            </w:r>
          </w:p>
        </w:tc>
        <w:tc>
          <w:tcPr>
            <w:tcW w:w="1132" w:type="dxa"/>
            <w:tcBorders>
              <w:top w:val="nil"/>
              <w:left w:val="nil"/>
              <w:bottom w:val="single" w:sz="4" w:space="0" w:color="auto"/>
              <w:right w:val="single" w:sz="4" w:space="0" w:color="auto"/>
            </w:tcBorders>
            <w:shd w:val="clear" w:color="auto" w:fill="auto"/>
            <w:noWrap/>
            <w:vAlign w:val="bottom"/>
            <w:hideMark/>
          </w:tcPr>
          <w:p w14:paraId="479CDE6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0.29%</w:t>
            </w:r>
          </w:p>
        </w:tc>
        <w:tc>
          <w:tcPr>
            <w:tcW w:w="1419" w:type="dxa"/>
            <w:tcBorders>
              <w:top w:val="nil"/>
              <w:left w:val="nil"/>
              <w:bottom w:val="single" w:sz="4" w:space="0" w:color="auto"/>
              <w:right w:val="single" w:sz="4" w:space="0" w:color="auto"/>
            </w:tcBorders>
            <w:shd w:val="clear" w:color="auto" w:fill="auto"/>
            <w:noWrap/>
            <w:vAlign w:val="bottom"/>
            <w:hideMark/>
          </w:tcPr>
          <w:p w14:paraId="680DF654"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86,083,895</w:t>
            </w:r>
          </w:p>
        </w:tc>
        <w:tc>
          <w:tcPr>
            <w:tcW w:w="1134" w:type="dxa"/>
            <w:tcBorders>
              <w:top w:val="nil"/>
              <w:left w:val="nil"/>
              <w:bottom w:val="single" w:sz="4" w:space="0" w:color="auto"/>
              <w:right w:val="single" w:sz="4" w:space="0" w:color="auto"/>
            </w:tcBorders>
            <w:shd w:val="clear" w:color="auto" w:fill="auto"/>
            <w:noWrap/>
            <w:vAlign w:val="bottom"/>
            <w:hideMark/>
          </w:tcPr>
          <w:p w14:paraId="7AAFE295"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70.74%</w:t>
            </w:r>
          </w:p>
        </w:tc>
        <w:tc>
          <w:tcPr>
            <w:tcW w:w="1134" w:type="dxa"/>
            <w:tcBorders>
              <w:top w:val="nil"/>
              <w:left w:val="nil"/>
              <w:bottom w:val="single" w:sz="4" w:space="0" w:color="auto"/>
              <w:right w:val="single" w:sz="4" w:space="0" w:color="auto"/>
            </w:tcBorders>
            <w:shd w:val="clear" w:color="auto" w:fill="auto"/>
            <w:noWrap/>
            <w:vAlign w:val="bottom"/>
            <w:hideMark/>
          </w:tcPr>
          <w:p w14:paraId="489467D0"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17,211</w:t>
            </w:r>
          </w:p>
        </w:tc>
      </w:tr>
      <w:tr w:rsidR="00D94D69" w:rsidRPr="00D94D69" w14:paraId="48D418D2"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850F21F"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6</w:t>
            </w:r>
          </w:p>
        </w:tc>
        <w:tc>
          <w:tcPr>
            <w:tcW w:w="1276" w:type="dxa"/>
            <w:tcBorders>
              <w:top w:val="nil"/>
              <w:left w:val="nil"/>
              <w:bottom w:val="single" w:sz="4" w:space="0" w:color="auto"/>
              <w:right w:val="single" w:sz="4" w:space="0" w:color="auto"/>
            </w:tcBorders>
            <w:shd w:val="clear" w:color="auto" w:fill="auto"/>
            <w:noWrap/>
            <w:vAlign w:val="bottom"/>
            <w:hideMark/>
          </w:tcPr>
          <w:p w14:paraId="046589A0"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85,196,740</w:t>
            </w:r>
          </w:p>
        </w:tc>
        <w:tc>
          <w:tcPr>
            <w:tcW w:w="992" w:type="dxa"/>
            <w:tcBorders>
              <w:top w:val="nil"/>
              <w:left w:val="nil"/>
              <w:bottom w:val="single" w:sz="4" w:space="0" w:color="auto"/>
              <w:right w:val="single" w:sz="4" w:space="0" w:color="auto"/>
            </w:tcBorders>
            <w:shd w:val="clear" w:color="auto" w:fill="auto"/>
            <w:noWrap/>
            <w:vAlign w:val="bottom"/>
            <w:hideMark/>
          </w:tcPr>
          <w:p w14:paraId="465D7260"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98.97%</w:t>
            </w:r>
          </w:p>
        </w:tc>
        <w:tc>
          <w:tcPr>
            <w:tcW w:w="1276" w:type="dxa"/>
            <w:tcBorders>
              <w:top w:val="nil"/>
              <w:left w:val="nil"/>
              <w:bottom w:val="single" w:sz="4" w:space="0" w:color="auto"/>
              <w:right w:val="single" w:sz="4" w:space="0" w:color="auto"/>
            </w:tcBorders>
            <w:shd w:val="clear" w:color="auto" w:fill="auto"/>
            <w:noWrap/>
            <w:vAlign w:val="bottom"/>
            <w:hideMark/>
          </w:tcPr>
          <w:p w14:paraId="09F9B002"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887,193</w:t>
            </w:r>
          </w:p>
        </w:tc>
        <w:tc>
          <w:tcPr>
            <w:tcW w:w="1132" w:type="dxa"/>
            <w:tcBorders>
              <w:top w:val="nil"/>
              <w:left w:val="nil"/>
              <w:bottom w:val="single" w:sz="4" w:space="0" w:color="auto"/>
              <w:right w:val="single" w:sz="4" w:space="0" w:color="auto"/>
            </w:tcBorders>
            <w:shd w:val="clear" w:color="auto" w:fill="auto"/>
            <w:noWrap/>
            <w:vAlign w:val="bottom"/>
            <w:hideMark/>
          </w:tcPr>
          <w:p w14:paraId="4AE1FC1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1.03%</w:t>
            </w:r>
          </w:p>
        </w:tc>
        <w:tc>
          <w:tcPr>
            <w:tcW w:w="1419" w:type="dxa"/>
            <w:tcBorders>
              <w:top w:val="nil"/>
              <w:left w:val="nil"/>
              <w:bottom w:val="single" w:sz="4" w:space="0" w:color="auto"/>
              <w:right w:val="single" w:sz="4" w:space="0" w:color="auto"/>
            </w:tcBorders>
            <w:shd w:val="clear" w:color="auto" w:fill="auto"/>
            <w:noWrap/>
            <w:vAlign w:val="bottom"/>
            <w:hideMark/>
          </w:tcPr>
          <w:p w14:paraId="5A91D800"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86,083,933</w:t>
            </w:r>
          </w:p>
        </w:tc>
        <w:tc>
          <w:tcPr>
            <w:tcW w:w="1134" w:type="dxa"/>
            <w:tcBorders>
              <w:top w:val="nil"/>
              <w:left w:val="nil"/>
              <w:bottom w:val="single" w:sz="4" w:space="0" w:color="auto"/>
              <w:right w:val="single" w:sz="4" w:space="0" w:color="auto"/>
            </w:tcBorders>
            <w:shd w:val="clear" w:color="auto" w:fill="auto"/>
            <w:noWrap/>
            <w:vAlign w:val="bottom"/>
            <w:hideMark/>
          </w:tcPr>
          <w:p w14:paraId="28184E52"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70.74%</w:t>
            </w:r>
          </w:p>
        </w:tc>
        <w:tc>
          <w:tcPr>
            <w:tcW w:w="1134" w:type="dxa"/>
            <w:tcBorders>
              <w:top w:val="nil"/>
              <w:left w:val="nil"/>
              <w:bottom w:val="single" w:sz="4" w:space="0" w:color="auto"/>
              <w:right w:val="single" w:sz="4" w:space="0" w:color="auto"/>
            </w:tcBorders>
            <w:shd w:val="clear" w:color="auto" w:fill="auto"/>
            <w:noWrap/>
            <w:vAlign w:val="bottom"/>
            <w:hideMark/>
          </w:tcPr>
          <w:p w14:paraId="47815CDB"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17,173</w:t>
            </w:r>
          </w:p>
        </w:tc>
      </w:tr>
      <w:tr w:rsidR="00D94D69" w:rsidRPr="00D94D69" w14:paraId="18C47E84"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BC91346"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w:t>
            </w:r>
          </w:p>
        </w:tc>
        <w:tc>
          <w:tcPr>
            <w:tcW w:w="1276" w:type="dxa"/>
            <w:tcBorders>
              <w:top w:val="nil"/>
              <w:left w:val="nil"/>
              <w:bottom w:val="single" w:sz="4" w:space="0" w:color="auto"/>
              <w:right w:val="single" w:sz="4" w:space="0" w:color="auto"/>
            </w:tcBorders>
            <w:shd w:val="clear" w:color="auto" w:fill="auto"/>
            <w:noWrap/>
            <w:vAlign w:val="bottom"/>
            <w:hideMark/>
          </w:tcPr>
          <w:p w14:paraId="3BF515E2"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84,569,100</w:t>
            </w:r>
          </w:p>
        </w:tc>
        <w:tc>
          <w:tcPr>
            <w:tcW w:w="992" w:type="dxa"/>
            <w:tcBorders>
              <w:top w:val="nil"/>
              <w:left w:val="nil"/>
              <w:bottom w:val="single" w:sz="4" w:space="0" w:color="auto"/>
              <w:right w:val="single" w:sz="4" w:space="0" w:color="auto"/>
            </w:tcBorders>
            <w:shd w:val="clear" w:color="auto" w:fill="auto"/>
            <w:noWrap/>
            <w:vAlign w:val="bottom"/>
            <w:hideMark/>
          </w:tcPr>
          <w:p w14:paraId="44555472"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98.24%</w:t>
            </w:r>
          </w:p>
        </w:tc>
        <w:tc>
          <w:tcPr>
            <w:tcW w:w="1276" w:type="dxa"/>
            <w:tcBorders>
              <w:top w:val="nil"/>
              <w:left w:val="nil"/>
              <w:bottom w:val="single" w:sz="4" w:space="0" w:color="auto"/>
              <w:right w:val="single" w:sz="4" w:space="0" w:color="auto"/>
            </w:tcBorders>
            <w:shd w:val="clear" w:color="auto" w:fill="auto"/>
            <w:noWrap/>
            <w:vAlign w:val="bottom"/>
            <w:hideMark/>
          </w:tcPr>
          <w:p w14:paraId="18956EFC"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1,514,795</w:t>
            </w:r>
          </w:p>
        </w:tc>
        <w:tc>
          <w:tcPr>
            <w:tcW w:w="1132" w:type="dxa"/>
            <w:tcBorders>
              <w:top w:val="nil"/>
              <w:left w:val="nil"/>
              <w:bottom w:val="single" w:sz="4" w:space="0" w:color="auto"/>
              <w:right w:val="single" w:sz="4" w:space="0" w:color="auto"/>
            </w:tcBorders>
            <w:shd w:val="clear" w:color="auto" w:fill="auto"/>
            <w:noWrap/>
            <w:vAlign w:val="bottom"/>
            <w:hideMark/>
          </w:tcPr>
          <w:p w14:paraId="37CF7DA8"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1.76%</w:t>
            </w:r>
          </w:p>
        </w:tc>
        <w:tc>
          <w:tcPr>
            <w:tcW w:w="1419" w:type="dxa"/>
            <w:tcBorders>
              <w:top w:val="nil"/>
              <w:left w:val="nil"/>
              <w:bottom w:val="single" w:sz="4" w:space="0" w:color="auto"/>
              <w:right w:val="single" w:sz="4" w:space="0" w:color="auto"/>
            </w:tcBorders>
            <w:shd w:val="clear" w:color="auto" w:fill="auto"/>
            <w:noWrap/>
            <w:vAlign w:val="bottom"/>
            <w:hideMark/>
          </w:tcPr>
          <w:p w14:paraId="2E147425"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86,083,895</w:t>
            </w:r>
          </w:p>
        </w:tc>
        <w:tc>
          <w:tcPr>
            <w:tcW w:w="1134" w:type="dxa"/>
            <w:tcBorders>
              <w:top w:val="nil"/>
              <w:left w:val="nil"/>
              <w:bottom w:val="single" w:sz="4" w:space="0" w:color="auto"/>
              <w:right w:val="single" w:sz="4" w:space="0" w:color="auto"/>
            </w:tcBorders>
            <w:shd w:val="clear" w:color="auto" w:fill="auto"/>
            <w:noWrap/>
            <w:vAlign w:val="bottom"/>
            <w:hideMark/>
          </w:tcPr>
          <w:p w14:paraId="61B8684F"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70.74%</w:t>
            </w:r>
          </w:p>
        </w:tc>
        <w:tc>
          <w:tcPr>
            <w:tcW w:w="1134" w:type="dxa"/>
            <w:tcBorders>
              <w:top w:val="nil"/>
              <w:left w:val="nil"/>
              <w:bottom w:val="single" w:sz="4" w:space="0" w:color="auto"/>
              <w:right w:val="single" w:sz="4" w:space="0" w:color="auto"/>
            </w:tcBorders>
            <w:shd w:val="clear" w:color="auto" w:fill="auto"/>
            <w:noWrap/>
            <w:vAlign w:val="bottom"/>
            <w:hideMark/>
          </w:tcPr>
          <w:p w14:paraId="7A8699BA"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17,211</w:t>
            </w:r>
          </w:p>
        </w:tc>
      </w:tr>
      <w:tr w:rsidR="00D94D69" w:rsidRPr="00D94D69" w14:paraId="77CA1ABB"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53650DD"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w:t>
            </w:r>
          </w:p>
        </w:tc>
        <w:tc>
          <w:tcPr>
            <w:tcW w:w="1276" w:type="dxa"/>
            <w:tcBorders>
              <w:top w:val="nil"/>
              <w:left w:val="nil"/>
              <w:bottom w:val="single" w:sz="4" w:space="0" w:color="auto"/>
              <w:right w:val="single" w:sz="4" w:space="0" w:color="auto"/>
            </w:tcBorders>
            <w:shd w:val="clear" w:color="auto" w:fill="auto"/>
            <w:noWrap/>
            <w:vAlign w:val="bottom"/>
            <w:hideMark/>
          </w:tcPr>
          <w:p w14:paraId="4FC90FF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85,310,531</w:t>
            </w:r>
          </w:p>
        </w:tc>
        <w:tc>
          <w:tcPr>
            <w:tcW w:w="992" w:type="dxa"/>
            <w:tcBorders>
              <w:top w:val="nil"/>
              <w:left w:val="nil"/>
              <w:bottom w:val="single" w:sz="4" w:space="0" w:color="auto"/>
              <w:right w:val="single" w:sz="4" w:space="0" w:color="auto"/>
            </w:tcBorders>
            <w:shd w:val="clear" w:color="auto" w:fill="auto"/>
            <w:noWrap/>
            <w:vAlign w:val="bottom"/>
            <w:hideMark/>
          </w:tcPr>
          <w:p w14:paraId="6F7757B7"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99.10%</w:t>
            </w:r>
          </w:p>
        </w:tc>
        <w:tc>
          <w:tcPr>
            <w:tcW w:w="1276" w:type="dxa"/>
            <w:tcBorders>
              <w:top w:val="nil"/>
              <w:left w:val="nil"/>
              <w:bottom w:val="single" w:sz="4" w:space="0" w:color="auto"/>
              <w:right w:val="single" w:sz="4" w:space="0" w:color="auto"/>
            </w:tcBorders>
            <w:shd w:val="clear" w:color="auto" w:fill="auto"/>
            <w:noWrap/>
            <w:vAlign w:val="bottom"/>
            <w:hideMark/>
          </w:tcPr>
          <w:p w14:paraId="506CFC85"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773,364</w:t>
            </w:r>
          </w:p>
        </w:tc>
        <w:tc>
          <w:tcPr>
            <w:tcW w:w="1132" w:type="dxa"/>
            <w:tcBorders>
              <w:top w:val="nil"/>
              <w:left w:val="nil"/>
              <w:bottom w:val="single" w:sz="4" w:space="0" w:color="auto"/>
              <w:right w:val="single" w:sz="4" w:space="0" w:color="auto"/>
            </w:tcBorders>
            <w:shd w:val="clear" w:color="auto" w:fill="auto"/>
            <w:noWrap/>
            <w:vAlign w:val="bottom"/>
            <w:hideMark/>
          </w:tcPr>
          <w:p w14:paraId="002049AB"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0.90%</w:t>
            </w:r>
          </w:p>
        </w:tc>
        <w:tc>
          <w:tcPr>
            <w:tcW w:w="1419" w:type="dxa"/>
            <w:tcBorders>
              <w:top w:val="nil"/>
              <w:left w:val="nil"/>
              <w:bottom w:val="single" w:sz="4" w:space="0" w:color="auto"/>
              <w:right w:val="single" w:sz="4" w:space="0" w:color="auto"/>
            </w:tcBorders>
            <w:shd w:val="clear" w:color="auto" w:fill="auto"/>
            <w:noWrap/>
            <w:vAlign w:val="bottom"/>
            <w:hideMark/>
          </w:tcPr>
          <w:p w14:paraId="71B6E64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86,083,895</w:t>
            </w:r>
          </w:p>
        </w:tc>
        <w:tc>
          <w:tcPr>
            <w:tcW w:w="1134" w:type="dxa"/>
            <w:tcBorders>
              <w:top w:val="nil"/>
              <w:left w:val="nil"/>
              <w:bottom w:val="single" w:sz="4" w:space="0" w:color="auto"/>
              <w:right w:val="single" w:sz="4" w:space="0" w:color="auto"/>
            </w:tcBorders>
            <w:shd w:val="clear" w:color="auto" w:fill="auto"/>
            <w:noWrap/>
            <w:vAlign w:val="bottom"/>
            <w:hideMark/>
          </w:tcPr>
          <w:p w14:paraId="10AE3F98"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70.74%</w:t>
            </w:r>
          </w:p>
        </w:tc>
        <w:tc>
          <w:tcPr>
            <w:tcW w:w="1134" w:type="dxa"/>
            <w:tcBorders>
              <w:top w:val="nil"/>
              <w:left w:val="nil"/>
              <w:bottom w:val="single" w:sz="4" w:space="0" w:color="auto"/>
              <w:right w:val="single" w:sz="4" w:space="0" w:color="auto"/>
            </w:tcBorders>
            <w:shd w:val="clear" w:color="auto" w:fill="auto"/>
            <w:noWrap/>
            <w:vAlign w:val="bottom"/>
            <w:hideMark/>
          </w:tcPr>
          <w:p w14:paraId="07CA5276"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17,211</w:t>
            </w:r>
          </w:p>
        </w:tc>
      </w:tr>
      <w:tr w:rsidR="00D94D69" w:rsidRPr="00D94D69" w14:paraId="583D34D8"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F707C09"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w:t>
            </w:r>
          </w:p>
        </w:tc>
        <w:tc>
          <w:tcPr>
            <w:tcW w:w="1276" w:type="dxa"/>
            <w:tcBorders>
              <w:top w:val="nil"/>
              <w:left w:val="nil"/>
              <w:bottom w:val="single" w:sz="4" w:space="0" w:color="auto"/>
              <w:right w:val="single" w:sz="4" w:space="0" w:color="auto"/>
            </w:tcBorders>
            <w:shd w:val="clear" w:color="auto" w:fill="auto"/>
            <w:noWrap/>
            <w:vAlign w:val="bottom"/>
            <w:hideMark/>
          </w:tcPr>
          <w:p w14:paraId="395321BD"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85,310,390</w:t>
            </w:r>
          </w:p>
        </w:tc>
        <w:tc>
          <w:tcPr>
            <w:tcW w:w="992" w:type="dxa"/>
            <w:tcBorders>
              <w:top w:val="nil"/>
              <w:left w:val="nil"/>
              <w:bottom w:val="single" w:sz="4" w:space="0" w:color="auto"/>
              <w:right w:val="single" w:sz="4" w:space="0" w:color="auto"/>
            </w:tcBorders>
            <w:shd w:val="clear" w:color="auto" w:fill="auto"/>
            <w:noWrap/>
            <w:vAlign w:val="bottom"/>
            <w:hideMark/>
          </w:tcPr>
          <w:p w14:paraId="4542198A"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99.10%</w:t>
            </w:r>
          </w:p>
        </w:tc>
        <w:tc>
          <w:tcPr>
            <w:tcW w:w="1276" w:type="dxa"/>
            <w:tcBorders>
              <w:top w:val="nil"/>
              <w:left w:val="nil"/>
              <w:bottom w:val="single" w:sz="4" w:space="0" w:color="auto"/>
              <w:right w:val="single" w:sz="4" w:space="0" w:color="auto"/>
            </w:tcBorders>
            <w:shd w:val="clear" w:color="auto" w:fill="auto"/>
            <w:noWrap/>
            <w:vAlign w:val="bottom"/>
            <w:hideMark/>
          </w:tcPr>
          <w:p w14:paraId="13DAA0B9"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773,505</w:t>
            </w:r>
          </w:p>
        </w:tc>
        <w:tc>
          <w:tcPr>
            <w:tcW w:w="1132" w:type="dxa"/>
            <w:tcBorders>
              <w:top w:val="nil"/>
              <w:left w:val="nil"/>
              <w:bottom w:val="single" w:sz="4" w:space="0" w:color="auto"/>
              <w:right w:val="single" w:sz="4" w:space="0" w:color="auto"/>
            </w:tcBorders>
            <w:shd w:val="clear" w:color="auto" w:fill="auto"/>
            <w:noWrap/>
            <w:vAlign w:val="bottom"/>
            <w:hideMark/>
          </w:tcPr>
          <w:p w14:paraId="455487AA"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0.90%</w:t>
            </w:r>
          </w:p>
        </w:tc>
        <w:tc>
          <w:tcPr>
            <w:tcW w:w="1419" w:type="dxa"/>
            <w:tcBorders>
              <w:top w:val="nil"/>
              <w:left w:val="nil"/>
              <w:bottom w:val="single" w:sz="4" w:space="0" w:color="auto"/>
              <w:right w:val="single" w:sz="4" w:space="0" w:color="auto"/>
            </w:tcBorders>
            <w:shd w:val="clear" w:color="auto" w:fill="auto"/>
            <w:noWrap/>
            <w:vAlign w:val="bottom"/>
            <w:hideMark/>
          </w:tcPr>
          <w:p w14:paraId="56E54FE9"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86,083,895</w:t>
            </w:r>
          </w:p>
        </w:tc>
        <w:tc>
          <w:tcPr>
            <w:tcW w:w="1134" w:type="dxa"/>
            <w:tcBorders>
              <w:top w:val="nil"/>
              <w:left w:val="nil"/>
              <w:bottom w:val="single" w:sz="4" w:space="0" w:color="auto"/>
              <w:right w:val="single" w:sz="4" w:space="0" w:color="auto"/>
            </w:tcBorders>
            <w:shd w:val="clear" w:color="auto" w:fill="auto"/>
            <w:noWrap/>
            <w:vAlign w:val="bottom"/>
            <w:hideMark/>
          </w:tcPr>
          <w:p w14:paraId="36377E9A"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70.74%</w:t>
            </w:r>
          </w:p>
        </w:tc>
        <w:tc>
          <w:tcPr>
            <w:tcW w:w="1134" w:type="dxa"/>
            <w:tcBorders>
              <w:top w:val="nil"/>
              <w:left w:val="nil"/>
              <w:bottom w:val="single" w:sz="4" w:space="0" w:color="auto"/>
              <w:right w:val="single" w:sz="4" w:space="0" w:color="auto"/>
            </w:tcBorders>
            <w:shd w:val="clear" w:color="auto" w:fill="auto"/>
            <w:noWrap/>
            <w:vAlign w:val="bottom"/>
            <w:hideMark/>
          </w:tcPr>
          <w:p w14:paraId="0A00B570"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17,211</w:t>
            </w:r>
          </w:p>
        </w:tc>
      </w:tr>
      <w:tr w:rsidR="00D94D69" w:rsidRPr="00D94D69" w14:paraId="36BCBC52"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F213449"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10</w:t>
            </w:r>
          </w:p>
        </w:tc>
        <w:tc>
          <w:tcPr>
            <w:tcW w:w="1276" w:type="dxa"/>
            <w:tcBorders>
              <w:top w:val="nil"/>
              <w:left w:val="nil"/>
              <w:bottom w:val="single" w:sz="4" w:space="0" w:color="auto"/>
              <w:right w:val="single" w:sz="4" w:space="0" w:color="auto"/>
            </w:tcBorders>
            <w:shd w:val="clear" w:color="auto" w:fill="auto"/>
            <w:noWrap/>
            <w:vAlign w:val="bottom"/>
            <w:hideMark/>
          </w:tcPr>
          <w:p w14:paraId="77DFAAFC"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85,314,176</w:t>
            </w:r>
          </w:p>
        </w:tc>
        <w:tc>
          <w:tcPr>
            <w:tcW w:w="992" w:type="dxa"/>
            <w:tcBorders>
              <w:top w:val="nil"/>
              <w:left w:val="nil"/>
              <w:bottom w:val="single" w:sz="4" w:space="0" w:color="auto"/>
              <w:right w:val="single" w:sz="4" w:space="0" w:color="auto"/>
            </w:tcBorders>
            <w:shd w:val="clear" w:color="auto" w:fill="auto"/>
            <w:noWrap/>
            <w:vAlign w:val="bottom"/>
            <w:hideMark/>
          </w:tcPr>
          <w:p w14:paraId="5AAF76E9"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99.11%</w:t>
            </w:r>
          </w:p>
        </w:tc>
        <w:tc>
          <w:tcPr>
            <w:tcW w:w="1276" w:type="dxa"/>
            <w:tcBorders>
              <w:top w:val="nil"/>
              <w:left w:val="nil"/>
              <w:bottom w:val="single" w:sz="4" w:space="0" w:color="auto"/>
              <w:right w:val="single" w:sz="4" w:space="0" w:color="auto"/>
            </w:tcBorders>
            <w:shd w:val="clear" w:color="auto" w:fill="auto"/>
            <w:noWrap/>
            <w:vAlign w:val="bottom"/>
            <w:hideMark/>
          </w:tcPr>
          <w:p w14:paraId="1871C21B"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769,719</w:t>
            </w:r>
          </w:p>
        </w:tc>
        <w:tc>
          <w:tcPr>
            <w:tcW w:w="1132" w:type="dxa"/>
            <w:tcBorders>
              <w:top w:val="nil"/>
              <w:left w:val="nil"/>
              <w:bottom w:val="single" w:sz="4" w:space="0" w:color="auto"/>
              <w:right w:val="single" w:sz="4" w:space="0" w:color="auto"/>
            </w:tcBorders>
            <w:shd w:val="clear" w:color="auto" w:fill="auto"/>
            <w:noWrap/>
            <w:vAlign w:val="bottom"/>
            <w:hideMark/>
          </w:tcPr>
          <w:p w14:paraId="5F304A24"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0.89%</w:t>
            </w:r>
          </w:p>
        </w:tc>
        <w:tc>
          <w:tcPr>
            <w:tcW w:w="1419" w:type="dxa"/>
            <w:tcBorders>
              <w:top w:val="nil"/>
              <w:left w:val="nil"/>
              <w:bottom w:val="single" w:sz="4" w:space="0" w:color="auto"/>
              <w:right w:val="single" w:sz="4" w:space="0" w:color="auto"/>
            </w:tcBorders>
            <w:shd w:val="clear" w:color="auto" w:fill="auto"/>
            <w:noWrap/>
            <w:vAlign w:val="bottom"/>
            <w:hideMark/>
          </w:tcPr>
          <w:p w14:paraId="5A993A17"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86,083,895</w:t>
            </w:r>
          </w:p>
        </w:tc>
        <w:tc>
          <w:tcPr>
            <w:tcW w:w="1134" w:type="dxa"/>
            <w:tcBorders>
              <w:top w:val="nil"/>
              <w:left w:val="nil"/>
              <w:bottom w:val="single" w:sz="4" w:space="0" w:color="auto"/>
              <w:right w:val="single" w:sz="4" w:space="0" w:color="auto"/>
            </w:tcBorders>
            <w:shd w:val="clear" w:color="auto" w:fill="auto"/>
            <w:noWrap/>
            <w:vAlign w:val="bottom"/>
            <w:hideMark/>
          </w:tcPr>
          <w:p w14:paraId="43567D97"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70.74%</w:t>
            </w:r>
          </w:p>
        </w:tc>
        <w:tc>
          <w:tcPr>
            <w:tcW w:w="1134" w:type="dxa"/>
            <w:tcBorders>
              <w:top w:val="nil"/>
              <w:left w:val="nil"/>
              <w:bottom w:val="single" w:sz="4" w:space="0" w:color="auto"/>
              <w:right w:val="single" w:sz="4" w:space="0" w:color="auto"/>
            </w:tcBorders>
            <w:shd w:val="clear" w:color="auto" w:fill="auto"/>
            <w:noWrap/>
            <w:vAlign w:val="bottom"/>
            <w:hideMark/>
          </w:tcPr>
          <w:p w14:paraId="681CDFA5"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17,211</w:t>
            </w:r>
          </w:p>
        </w:tc>
      </w:tr>
      <w:tr w:rsidR="00D94D69" w:rsidRPr="00D94D69" w14:paraId="5ADE4516"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191678A"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11</w:t>
            </w:r>
          </w:p>
        </w:tc>
        <w:tc>
          <w:tcPr>
            <w:tcW w:w="1276" w:type="dxa"/>
            <w:tcBorders>
              <w:top w:val="nil"/>
              <w:left w:val="nil"/>
              <w:bottom w:val="single" w:sz="4" w:space="0" w:color="auto"/>
              <w:right w:val="single" w:sz="4" w:space="0" w:color="auto"/>
            </w:tcBorders>
            <w:shd w:val="clear" w:color="auto" w:fill="auto"/>
            <w:noWrap/>
            <w:vAlign w:val="bottom"/>
            <w:hideMark/>
          </w:tcPr>
          <w:p w14:paraId="423DD321"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85,314,293</w:t>
            </w:r>
          </w:p>
        </w:tc>
        <w:tc>
          <w:tcPr>
            <w:tcW w:w="992" w:type="dxa"/>
            <w:tcBorders>
              <w:top w:val="nil"/>
              <w:left w:val="nil"/>
              <w:bottom w:val="single" w:sz="4" w:space="0" w:color="auto"/>
              <w:right w:val="single" w:sz="4" w:space="0" w:color="auto"/>
            </w:tcBorders>
            <w:shd w:val="clear" w:color="auto" w:fill="auto"/>
            <w:noWrap/>
            <w:vAlign w:val="bottom"/>
            <w:hideMark/>
          </w:tcPr>
          <w:p w14:paraId="58D96318"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99.11%</w:t>
            </w:r>
          </w:p>
        </w:tc>
        <w:tc>
          <w:tcPr>
            <w:tcW w:w="1276" w:type="dxa"/>
            <w:tcBorders>
              <w:top w:val="nil"/>
              <w:left w:val="nil"/>
              <w:bottom w:val="single" w:sz="4" w:space="0" w:color="auto"/>
              <w:right w:val="single" w:sz="4" w:space="0" w:color="auto"/>
            </w:tcBorders>
            <w:shd w:val="clear" w:color="auto" w:fill="auto"/>
            <w:noWrap/>
            <w:vAlign w:val="bottom"/>
            <w:hideMark/>
          </w:tcPr>
          <w:p w14:paraId="26BB6750"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769,494</w:t>
            </w:r>
          </w:p>
        </w:tc>
        <w:tc>
          <w:tcPr>
            <w:tcW w:w="1132" w:type="dxa"/>
            <w:tcBorders>
              <w:top w:val="nil"/>
              <w:left w:val="nil"/>
              <w:bottom w:val="single" w:sz="4" w:space="0" w:color="auto"/>
              <w:right w:val="single" w:sz="4" w:space="0" w:color="auto"/>
            </w:tcBorders>
            <w:shd w:val="clear" w:color="auto" w:fill="auto"/>
            <w:noWrap/>
            <w:vAlign w:val="bottom"/>
            <w:hideMark/>
          </w:tcPr>
          <w:p w14:paraId="7E77287F"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0.89%</w:t>
            </w:r>
          </w:p>
        </w:tc>
        <w:tc>
          <w:tcPr>
            <w:tcW w:w="1419" w:type="dxa"/>
            <w:tcBorders>
              <w:top w:val="nil"/>
              <w:left w:val="nil"/>
              <w:bottom w:val="single" w:sz="4" w:space="0" w:color="auto"/>
              <w:right w:val="single" w:sz="4" w:space="0" w:color="auto"/>
            </w:tcBorders>
            <w:shd w:val="clear" w:color="auto" w:fill="auto"/>
            <w:noWrap/>
            <w:vAlign w:val="bottom"/>
            <w:hideMark/>
          </w:tcPr>
          <w:p w14:paraId="3C59986F"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86,083,787</w:t>
            </w:r>
          </w:p>
        </w:tc>
        <w:tc>
          <w:tcPr>
            <w:tcW w:w="1134" w:type="dxa"/>
            <w:tcBorders>
              <w:top w:val="nil"/>
              <w:left w:val="nil"/>
              <w:bottom w:val="single" w:sz="4" w:space="0" w:color="auto"/>
              <w:right w:val="single" w:sz="4" w:space="0" w:color="auto"/>
            </w:tcBorders>
            <w:shd w:val="clear" w:color="auto" w:fill="auto"/>
            <w:noWrap/>
            <w:vAlign w:val="bottom"/>
            <w:hideMark/>
          </w:tcPr>
          <w:p w14:paraId="54399D62"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70.74%</w:t>
            </w:r>
          </w:p>
        </w:tc>
        <w:tc>
          <w:tcPr>
            <w:tcW w:w="1134" w:type="dxa"/>
            <w:tcBorders>
              <w:top w:val="nil"/>
              <w:left w:val="nil"/>
              <w:bottom w:val="single" w:sz="4" w:space="0" w:color="auto"/>
              <w:right w:val="single" w:sz="4" w:space="0" w:color="auto"/>
            </w:tcBorders>
            <w:shd w:val="clear" w:color="auto" w:fill="auto"/>
            <w:noWrap/>
            <w:vAlign w:val="bottom"/>
            <w:hideMark/>
          </w:tcPr>
          <w:p w14:paraId="4157A83F"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17,319</w:t>
            </w:r>
          </w:p>
        </w:tc>
      </w:tr>
      <w:tr w:rsidR="00D94D69" w:rsidRPr="00D94D69" w14:paraId="1305CAF9"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C0D52C8"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12</w:t>
            </w:r>
          </w:p>
        </w:tc>
        <w:tc>
          <w:tcPr>
            <w:tcW w:w="1276" w:type="dxa"/>
            <w:tcBorders>
              <w:top w:val="nil"/>
              <w:left w:val="nil"/>
              <w:bottom w:val="single" w:sz="4" w:space="0" w:color="auto"/>
              <w:right w:val="single" w:sz="4" w:space="0" w:color="auto"/>
            </w:tcBorders>
            <w:shd w:val="clear" w:color="auto" w:fill="auto"/>
            <w:noWrap/>
            <w:vAlign w:val="bottom"/>
            <w:hideMark/>
          </w:tcPr>
          <w:p w14:paraId="462D8AD0"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82,780,412</w:t>
            </w:r>
          </w:p>
        </w:tc>
        <w:tc>
          <w:tcPr>
            <w:tcW w:w="992" w:type="dxa"/>
            <w:tcBorders>
              <w:top w:val="nil"/>
              <w:left w:val="nil"/>
              <w:bottom w:val="single" w:sz="4" w:space="0" w:color="auto"/>
              <w:right w:val="single" w:sz="4" w:space="0" w:color="auto"/>
            </w:tcBorders>
            <w:shd w:val="clear" w:color="auto" w:fill="auto"/>
            <w:noWrap/>
            <w:vAlign w:val="bottom"/>
            <w:hideMark/>
          </w:tcPr>
          <w:p w14:paraId="5C332454"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96.16%</w:t>
            </w:r>
          </w:p>
        </w:tc>
        <w:tc>
          <w:tcPr>
            <w:tcW w:w="1276" w:type="dxa"/>
            <w:tcBorders>
              <w:top w:val="nil"/>
              <w:left w:val="nil"/>
              <w:bottom w:val="single" w:sz="4" w:space="0" w:color="auto"/>
              <w:right w:val="single" w:sz="4" w:space="0" w:color="auto"/>
            </w:tcBorders>
            <w:shd w:val="clear" w:color="auto" w:fill="auto"/>
            <w:noWrap/>
            <w:vAlign w:val="bottom"/>
            <w:hideMark/>
          </w:tcPr>
          <w:p w14:paraId="31059165"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3,303,375</w:t>
            </w:r>
          </w:p>
        </w:tc>
        <w:tc>
          <w:tcPr>
            <w:tcW w:w="1132" w:type="dxa"/>
            <w:tcBorders>
              <w:top w:val="nil"/>
              <w:left w:val="nil"/>
              <w:bottom w:val="single" w:sz="4" w:space="0" w:color="auto"/>
              <w:right w:val="single" w:sz="4" w:space="0" w:color="auto"/>
            </w:tcBorders>
            <w:shd w:val="clear" w:color="auto" w:fill="auto"/>
            <w:noWrap/>
            <w:vAlign w:val="bottom"/>
            <w:hideMark/>
          </w:tcPr>
          <w:p w14:paraId="3DA7923A"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3.84%</w:t>
            </w:r>
          </w:p>
        </w:tc>
        <w:tc>
          <w:tcPr>
            <w:tcW w:w="1419" w:type="dxa"/>
            <w:tcBorders>
              <w:top w:val="nil"/>
              <w:left w:val="nil"/>
              <w:bottom w:val="single" w:sz="4" w:space="0" w:color="auto"/>
              <w:right w:val="single" w:sz="4" w:space="0" w:color="auto"/>
            </w:tcBorders>
            <w:shd w:val="clear" w:color="auto" w:fill="auto"/>
            <w:noWrap/>
            <w:vAlign w:val="bottom"/>
            <w:hideMark/>
          </w:tcPr>
          <w:p w14:paraId="60A1A04C"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86,083,787</w:t>
            </w:r>
          </w:p>
        </w:tc>
        <w:tc>
          <w:tcPr>
            <w:tcW w:w="1134" w:type="dxa"/>
            <w:tcBorders>
              <w:top w:val="nil"/>
              <w:left w:val="nil"/>
              <w:bottom w:val="single" w:sz="4" w:space="0" w:color="auto"/>
              <w:right w:val="single" w:sz="4" w:space="0" w:color="auto"/>
            </w:tcBorders>
            <w:shd w:val="clear" w:color="auto" w:fill="auto"/>
            <w:noWrap/>
            <w:vAlign w:val="bottom"/>
            <w:hideMark/>
          </w:tcPr>
          <w:p w14:paraId="338F6CA9"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70.74%</w:t>
            </w:r>
          </w:p>
        </w:tc>
        <w:tc>
          <w:tcPr>
            <w:tcW w:w="1134" w:type="dxa"/>
            <w:tcBorders>
              <w:top w:val="nil"/>
              <w:left w:val="nil"/>
              <w:bottom w:val="single" w:sz="4" w:space="0" w:color="auto"/>
              <w:right w:val="single" w:sz="4" w:space="0" w:color="auto"/>
            </w:tcBorders>
            <w:shd w:val="clear" w:color="auto" w:fill="auto"/>
            <w:noWrap/>
            <w:vAlign w:val="bottom"/>
            <w:hideMark/>
          </w:tcPr>
          <w:p w14:paraId="20485C33"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17,319</w:t>
            </w:r>
          </w:p>
        </w:tc>
      </w:tr>
      <w:tr w:rsidR="00D94D69" w:rsidRPr="00D94D69" w14:paraId="73BE8184"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0488002"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863A67D"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85,871,680</w:t>
            </w:r>
          </w:p>
        </w:tc>
        <w:tc>
          <w:tcPr>
            <w:tcW w:w="992" w:type="dxa"/>
            <w:tcBorders>
              <w:top w:val="nil"/>
              <w:left w:val="nil"/>
              <w:bottom w:val="single" w:sz="4" w:space="0" w:color="auto"/>
              <w:right w:val="single" w:sz="4" w:space="0" w:color="auto"/>
            </w:tcBorders>
            <w:shd w:val="clear" w:color="auto" w:fill="auto"/>
            <w:noWrap/>
            <w:vAlign w:val="bottom"/>
            <w:hideMark/>
          </w:tcPr>
          <w:p w14:paraId="01F6FA7B"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99.75%</w:t>
            </w:r>
          </w:p>
        </w:tc>
        <w:tc>
          <w:tcPr>
            <w:tcW w:w="1276" w:type="dxa"/>
            <w:tcBorders>
              <w:top w:val="nil"/>
              <w:left w:val="nil"/>
              <w:bottom w:val="single" w:sz="4" w:space="0" w:color="auto"/>
              <w:right w:val="single" w:sz="4" w:space="0" w:color="auto"/>
            </w:tcBorders>
            <w:shd w:val="clear" w:color="auto" w:fill="auto"/>
            <w:noWrap/>
            <w:vAlign w:val="bottom"/>
            <w:hideMark/>
          </w:tcPr>
          <w:p w14:paraId="7AF3F7D4"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212,138</w:t>
            </w:r>
          </w:p>
        </w:tc>
        <w:tc>
          <w:tcPr>
            <w:tcW w:w="1132" w:type="dxa"/>
            <w:tcBorders>
              <w:top w:val="nil"/>
              <w:left w:val="nil"/>
              <w:bottom w:val="single" w:sz="4" w:space="0" w:color="auto"/>
              <w:right w:val="single" w:sz="4" w:space="0" w:color="auto"/>
            </w:tcBorders>
            <w:shd w:val="clear" w:color="auto" w:fill="auto"/>
            <w:noWrap/>
            <w:vAlign w:val="bottom"/>
            <w:hideMark/>
          </w:tcPr>
          <w:p w14:paraId="7C77743A"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0.25%</w:t>
            </w:r>
          </w:p>
        </w:tc>
        <w:tc>
          <w:tcPr>
            <w:tcW w:w="1419" w:type="dxa"/>
            <w:tcBorders>
              <w:top w:val="nil"/>
              <w:left w:val="nil"/>
              <w:bottom w:val="single" w:sz="4" w:space="0" w:color="auto"/>
              <w:right w:val="single" w:sz="4" w:space="0" w:color="auto"/>
            </w:tcBorders>
            <w:shd w:val="clear" w:color="auto" w:fill="auto"/>
            <w:noWrap/>
            <w:vAlign w:val="bottom"/>
            <w:hideMark/>
          </w:tcPr>
          <w:p w14:paraId="0DB2E1B7"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86,083,818</w:t>
            </w:r>
          </w:p>
        </w:tc>
        <w:tc>
          <w:tcPr>
            <w:tcW w:w="1134" w:type="dxa"/>
            <w:tcBorders>
              <w:top w:val="nil"/>
              <w:left w:val="nil"/>
              <w:bottom w:val="single" w:sz="4" w:space="0" w:color="auto"/>
              <w:right w:val="single" w:sz="4" w:space="0" w:color="auto"/>
            </w:tcBorders>
            <w:shd w:val="clear" w:color="auto" w:fill="auto"/>
            <w:noWrap/>
            <w:vAlign w:val="bottom"/>
            <w:hideMark/>
          </w:tcPr>
          <w:p w14:paraId="2289DAB6"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70.74%</w:t>
            </w:r>
          </w:p>
        </w:tc>
        <w:tc>
          <w:tcPr>
            <w:tcW w:w="1134" w:type="dxa"/>
            <w:tcBorders>
              <w:top w:val="nil"/>
              <w:left w:val="nil"/>
              <w:bottom w:val="single" w:sz="4" w:space="0" w:color="auto"/>
              <w:right w:val="single" w:sz="4" w:space="0" w:color="auto"/>
            </w:tcBorders>
            <w:shd w:val="clear" w:color="auto" w:fill="auto"/>
            <w:noWrap/>
            <w:vAlign w:val="bottom"/>
            <w:hideMark/>
          </w:tcPr>
          <w:p w14:paraId="1D98388F"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17,288</w:t>
            </w:r>
          </w:p>
        </w:tc>
      </w:tr>
      <w:tr w:rsidR="00D94D69" w:rsidRPr="00D94D69" w14:paraId="17D762FC"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E7B8E4D"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14</w:t>
            </w:r>
          </w:p>
        </w:tc>
        <w:tc>
          <w:tcPr>
            <w:tcW w:w="1276" w:type="dxa"/>
            <w:tcBorders>
              <w:top w:val="nil"/>
              <w:left w:val="nil"/>
              <w:bottom w:val="single" w:sz="4" w:space="0" w:color="auto"/>
              <w:right w:val="single" w:sz="4" w:space="0" w:color="auto"/>
            </w:tcBorders>
            <w:shd w:val="clear" w:color="auto" w:fill="auto"/>
            <w:noWrap/>
            <w:vAlign w:val="bottom"/>
            <w:hideMark/>
          </w:tcPr>
          <w:p w14:paraId="150F08CD"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85,920,869</w:t>
            </w:r>
          </w:p>
        </w:tc>
        <w:tc>
          <w:tcPr>
            <w:tcW w:w="992" w:type="dxa"/>
            <w:tcBorders>
              <w:top w:val="nil"/>
              <w:left w:val="nil"/>
              <w:bottom w:val="single" w:sz="4" w:space="0" w:color="auto"/>
              <w:right w:val="single" w:sz="4" w:space="0" w:color="auto"/>
            </w:tcBorders>
            <w:shd w:val="clear" w:color="auto" w:fill="auto"/>
            <w:noWrap/>
            <w:vAlign w:val="bottom"/>
            <w:hideMark/>
          </w:tcPr>
          <w:p w14:paraId="7CD15871"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99.81%</w:t>
            </w:r>
          </w:p>
        </w:tc>
        <w:tc>
          <w:tcPr>
            <w:tcW w:w="1276" w:type="dxa"/>
            <w:tcBorders>
              <w:top w:val="nil"/>
              <w:left w:val="nil"/>
              <w:bottom w:val="single" w:sz="4" w:space="0" w:color="auto"/>
              <w:right w:val="single" w:sz="4" w:space="0" w:color="auto"/>
            </w:tcBorders>
            <w:shd w:val="clear" w:color="auto" w:fill="auto"/>
            <w:noWrap/>
            <w:vAlign w:val="bottom"/>
            <w:hideMark/>
          </w:tcPr>
          <w:p w14:paraId="063ADB32"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162,949</w:t>
            </w:r>
          </w:p>
        </w:tc>
        <w:tc>
          <w:tcPr>
            <w:tcW w:w="1132" w:type="dxa"/>
            <w:tcBorders>
              <w:top w:val="nil"/>
              <w:left w:val="nil"/>
              <w:bottom w:val="single" w:sz="4" w:space="0" w:color="auto"/>
              <w:right w:val="single" w:sz="4" w:space="0" w:color="auto"/>
            </w:tcBorders>
            <w:shd w:val="clear" w:color="auto" w:fill="auto"/>
            <w:noWrap/>
            <w:vAlign w:val="bottom"/>
            <w:hideMark/>
          </w:tcPr>
          <w:p w14:paraId="1AF7AF42"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0.19%</w:t>
            </w:r>
          </w:p>
        </w:tc>
        <w:tc>
          <w:tcPr>
            <w:tcW w:w="1419" w:type="dxa"/>
            <w:tcBorders>
              <w:top w:val="nil"/>
              <w:left w:val="nil"/>
              <w:bottom w:val="single" w:sz="4" w:space="0" w:color="auto"/>
              <w:right w:val="single" w:sz="4" w:space="0" w:color="auto"/>
            </w:tcBorders>
            <w:shd w:val="clear" w:color="auto" w:fill="auto"/>
            <w:noWrap/>
            <w:vAlign w:val="bottom"/>
            <w:hideMark/>
          </w:tcPr>
          <w:p w14:paraId="2B0B4341"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86,083,818</w:t>
            </w:r>
          </w:p>
        </w:tc>
        <w:tc>
          <w:tcPr>
            <w:tcW w:w="1134" w:type="dxa"/>
            <w:tcBorders>
              <w:top w:val="nil"/>
              <w:left w:val="nil"/>
              <w:bottom w:val="single" w:sz="4" w:space="0" w:color="auto"/>
              <w:right w:val="single" w:sz="4" w:space="0" w:color="auto"/>
            </w:tcBorders>
            <w:shd w:val="clear" w:color="auto" w:fill="auto"/>
            <w:noWrap/>
            <w:vAlign w:val="bottom"/>
            <w:hideMark/>
          </w:tcPr>
          <w:p w14:paraId="6A1FEB01"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70.74%</w:t>
            </w:r>
          </w:p>
        </w:tc>
        <w:tc>
          <w:tcPr>
            <w:tcW w:w="1134" w:type="dxa"/>
            <w:tcBorders>
              <w:top w:val="nil"/>
              <w:left w:val="nil"/>
              <w:bottom w:val="single" w:sz="4" w:space="0" w:color="auto"/>
              <w:right w:val="single" w:sz="4" w:space="0" w:color="auto"/>
            </w:tcBorders>
            <w:shd w:val="clear" w:color="auto" w:fill="auto"/>
            <w:noWrap/>
            <w:vAlign w:val="bottom"/>
            <w:hideMark/>
          </w:tcPr>
          <w:p w14:paraId="65876FC2"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17,288</w:t>
            </w:r>
          </w:p>
        </w:tc>
      </w:tr>
      <w:tr w:rsidR="00D94D69" w:rsidRPr="00D94D69" w14:paraId="0ABB899A"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CFD1A8A"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15</w:t>
            </w:r>
          </w:p>
        </w:tc>
        <w:tc>
          <w:tcPr>
            <w:tcW w:w="1276" w:type="dxa"/>
            <w:tcBorders>
              <w:top w:val="nil"/>
              <w:left w:val="nil"/>
              <w:bottom w:val="single" w:sz="4" w:space="0" w:color="auto"/>
              <w:right w:val="single" w:sz="4" w:space="0" w:color="auto"/>
            </w:tcBorders>
            <w:shd w:val="clear" w:color="auto" w:fill="auto"/>
            <w:noWrap/>
            <w:vAlign w:val="bottom"/>
            <w:hideMark/>
          </w:tcPr>
          <w:p w14:paraId="54EFF46D"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84,779,754</w:t>
            </w:r>
          </w:p>
        </w:tc>
        <w:tc>
          <w:tcPr>
            <w:tcW w:w="992" w:type="dxa"/>
            <w:tcBorders>
              <w:top w:val="nil"/>
              <w:left w:val="nil"/>
              <w:bottom w:val="single" w:sz="4" w:space="0" w:color="auto"/>
              <w:right w:val="single" w:sz="4" w:space="0" w:color="auto"/>
            </w:tcBorders>
            <w:shd w:val="clear" w:color="auto" w:fill="auto"/>
            <w:noWrap/>
            <w:vAlign w:val="bottom"/>
            <w:hideMark/>
          </w:tcPr>
          <w:p w14:paraId="1480E0B4"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98.49%</w:t>
            </w:r>
          </w:p>
        </w:tc>
        <w:tc>
          <w:tcPr>
            <w:tcW w:w="1276" w:type="dxa"/>
            <w:tcBorders>
              <w:top w:val="nil"/>
              <w:left w:val="nil"/>
              <w:bottom w:val="single" w:sz="4" w:space="0" w:color="auto"/>
              <w:right w:val="single" w:sz="4" w:space="0" w:color="auto"/>
            </w:tcBorders>
            <w:shd w:val="clear" w:color="auto" w:fill="auto"/>
            <w:noWrap/>
            <w:vAlign w:val="bottom"/>
            <w:hideMark/>
          </w:tcPr>
          <w:p w14:paraId="2F390A78"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1,304,033</w:t>
            </w:r>
          </w:p>
        </w:tc>
        <w:tc>
          <w:tcPr>
            <w:tcW w:w="1132" w:type="dxa"/>
            <w:tcBorders>
              <w:top w:val="nil"/>
              <w:left w:val="nil"/>
              <w:bottom w:val="single" w:sz="4" w:space="0" w:color="auto"/>
              <w:right w:val="single" w:sz="4" w:space="0" w:color="auto"/>
            </w:tcBorders>
            <w:shd w:val="clear" w:color="auto" w:fill="auto"/>
            <w:noWrap/>
            <w:vAlign w:val="bottom"/>
            <w:hideMark/>
          </w:tcPr>
          <w:p w14:paraId="3A537676"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1.51%</w:t>
            </w:r>
          </w:p>
        </w:tc>
        <w:tc>
          <w:tcPr>
            <w:tcW w:w="1419" w:type="dxa"/>
            <w:tcBorders>
              <w:top w:val="nil"/>
              <w:left w:val="nil"/>
              <w:bottom w:val="single" w:sz="4" w:space="0" w:color="auto"/>
              <w:right w:val="single" w:sz="4" w:space="0" w:color="auto"/>
            </w:tcBorders>
            <w:shd w:val="clear" w:color="auto" w:fill="auto"/>
            <w:noWrap/>
            <w:vAlign w:val="bottom"/>
            <w:hideMark/>
          </w:tcPr>
          <w:p w14:paraId="2EF450A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86,083,787</w:t>
            </w:r>
          </w:p>
        </w:tc>
        <w:tc>
          <w:tcPr>
            <w:tcW w:w="1134" w:type="dxa"/>
            <w:tcBorders>
              <w:top w:val="nil"/>
              <w:left w:val="nil"/>
              <w:bottom w:val="single" w:sz="4" w:space="0" w:color="auto"/>
              <w:right w:val="single" w:sz="4" w:space="0" w:color="auto"/>
            </w:tcBorders>
            <w:shd w:val="clear" w:color="auto" w:fill="auto"/>
            <w:noWrap/>
            <w:vAlign w:val="bottom"/>
            <w:hideMark/>
          </w:tcPr>
          <w:p w14:paraId="6DC7E572"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70.74%</w:t>
            </w:r>
          </w:p>
        </w:tc>
        <w:tc>
          <w:tcPr>
            <w:tcW w:w="1134" w:type="dxa"/>
            <w:tcBorders>
              <w:top w:val="nil"/>
              <w:left w:val="nil"/>
              <w:bottom w:val="single" w:sz="4" w:space="0" w:color="auto"/>
              <w:right w:val="single" w:sz="4" w:space="0" w:color="auto"/>
            </w:tcBorders>
            <w:shd w:val="clear" w:color="auto" w:fill="auto"/>
            <w:noWrap/>
            <w:vAlign w:val="bottom"/>
            <w:hideMark/>
          </w:tcPr>
          <w:p w14:paraId="28BA3622"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17,319</w:t>
            </w:r>
          </w:p>
        </w:tc>
      </w:tr>
      <w:tr w:rsidR="00D94D69" w:rsidRPr="00D94D69" w14:paraId="359D8AC4"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79A84DA"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16</w:t>
            </w:r>
          </w:p>
        </w:tc>
        <w:tc>
          <w:tcPr>
            <w:tcW w:w="1276" w:type="dxa"/>
            <w:tcBorders>
              <w:top w:val="nil"/>
              <w:left w:val="nil"/>
              <w:bottom w:val="single" w:sz="4" w:space="0" w:color="auto"/>
              <w:right w:val="single" w:sz="4" w:space="0" w:color="auto"/>
            </w:tcBorders>
            <w:shd w:val="clear" w:color="auto" w:fill="auto"/>
            <w:noWrap/>
            <w:vAlign w:val="bottom"/>
            <w:hideMark/>
          </w:tcPr>
          <w:p w14:paraId="5DE789F7"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85,877,998</w:t>
            </w:r>
          </w:p>
        </w:tc>
        <w:tc>
          <w:tcPr>
            <w:tcW w:w="992" w:type="dxa"/>
            <w:tcBorders>
              <w:top w:val="nil"/>
              <w:left w:val="nil"/>
              <w:bottom w:val="single" w:sz="4" w:space="0" w:color="auto"/>
              <w:right w:val="single" w:sz="4" w:space="0" w:color="auto"/>
            </w:tcBorders>
            <w:shd w:val="clear" w:color="auto" w:fill="auto"/>
            <w:noWrap/>
            <w:vAlign w:val="bottom"/>
            <w:hideMark/>
          </w:tcPr>
          <w:p w14:paraId="16A4C2B7"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99.76%</w:t>
            </w:r>
          </w:p>
        </w:tc>
        <w:tc>
          <w:tcPr>
            <w:tcW w:w="1276" w:type="dxa"/>
            <w:tcBorders>
              <w:top w:val="nil"/>
              <w:left w:val="nil"/>
              <w:bottom w:val="single" w:sz="4" w:space="0" w:color="auto"/>
              <w:right w:val="single" w:sz="4" w:space="0" w:color="auto"/>
            </w:tcBorders>
            <w:shd w:val="clear" w:color="auto" w:fill="auto"/>
            <w:noWrap/>
            <w:vAlign w:val="bottom"/>
            <w:hideMark/>
          </w:tcPr>
          <w:p w14:paraId="49CEB53B"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205,928</w:t>
            </w:r>
          </w:p>
        </w:tc>
        <w:tc>
          <w:tcPr>
            <w:tcW w:w="1132" w:type="dxa"/>
            <w:tcBorders>
              <w:top w:val="nil"/>
              <w:left w:val="nil"/>
              <w:bottom w:val="single" w:sz="4" w:space="0" w:color="auto"/>
              <w:right w:val="single" w:sz="4" w:space="0" w:color="auto"/>
            </w:tcBorders>
            <w:shd w:val="clear" w:color="auto" w:fill="auto"/>
            <w:noWrap/>
            <w:vAlign w:val="bottom"/>
            <w:hideMark/>
          </w:tcPr>
          <w:p w14:paraId="1A0B6E9B"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0.24%</w:t>
            </w:r>
          </w:p>
        </w:tc>
        <w:tc>
          <w:tcPr>
            <w:tcW w:w="1419" w:type="dxa"/>
            <w:tcBorders>
              <w:top w:val="nil"/>
              <w:left w:val="nil"/>
              <w:bottom w:val="single" w:sz="4" w:space="0" w:color="auto"/>
              <w:right w:val="single" w:sz="4" w:space="0" w:color="auto"/>
            </w:tcBorders>
            <w:shd w:val="clear" w:color="auto" w:fill="auto"/>
            <w:noWrap/>
            <w:vAlign w:val="bottom"/>
            <w:hideMark/>
          </w:tcPr>
          <w:p w14:paraId="439EDF70"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86,083,926</w:t>
            </w:r>
          </w:p>
        </w:tc>
        <w:tc>
          <w:tcPr>
            <w:tcW w:w="1134" w:type="dxa"/>
            <w:tcBorders>
              <w:top w:val="nil"/>
              <w:left w:val="nil"/>
              <w:bottom w:val="single" w:sz="4" w:space="0" w:color="auto"/>
              <w:right w:val="single" w:sz="4" w:space="0" w:color="auto"/>
            </w:tcBorders>
            <w:shd w:val="clear" w:color="auto" w:fill="auto"/>
            <w:noWrap/>
            <w:vAlign w:val="bottom"/>
            <w:hideMark/>
          </w:tcPr>
          <w:p w14:paraId="40EEAF31"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70.74%</w:t>
            </w:r>
          </w:p>
        </w:tc>
        <w:tc>
          <w:tcPr>
            <w:tcW w:w="1134" w:type="dxa"/>
            <w:tcBorders>
              <w:top w:val="nil"/>
              <w:left w:val="nil"/>
              <w:bottom w:val="single" w:sz="4" w:space="0" w:color="auto"/>
              <w:right w:val="single" w:sz="4" w:space="0" w:color="auto"/>
            </w:tcBorders>
            <w:shd w:val="clear" w:color="auto" w:fill="auto"/>
            <w:noWrap/>
            <w:vAlign w:val="bottom"/>
            <w:hideMark/>
          </w:tcPr>
          <w:p w14:paraId="1FC3CD09"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17,180</w:t>
            </w:r>
          </w:p>
        </w:tc>
      </w:tr>
      <w:tr w:rsidR="00D94D69" w:rsidRPr="00D94D69" w14:paraId="53996C95"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7E15964"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17</w:t>
            </w:r>
          </w:p>
        </w:tc>
        <w:tc>
          <w:tcPr>
            <w:tcW w:w="1276" w:type="dxa"/>
            <w:tcBorders>
              <w:top w:val="nil"/>
              <w:left w:val="nil"/>
              <w:bottom w:val="single" w:sz="4" w:space="0" w:color="auto"/>
              <w:right w:val="single" w:sz="4" w:space="0" w:color="auto"/>
            </w:tcBorders>
            <w:shd w:val="clear" w:color="auto" w:fill="auto"/>
            <w:noWrap/>
            <w:vAlign w:val="bottom"/>
            <w:hideMark/>
          </w:tcPr>
          <w:p w14:paraId="1B2F4984"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85,718,916</w:t>
            </w:r>
          </w:p>
        </w:tc>
        <w:tc>
          <w:tcPr>
            <w:tcW w:w="992" w:type="dxa"/>
            <w:tcBorders>
              <w:top w:val="nil"/>
              <w:left w:val="nil"/>
              <w:bottom w:val="single" w:sz="4" w:space="0" w:color="auto"/>
              <w:right w:val="single" w:sz="4" w:space="0" w:color="auto"/>
            </w:tcBorders>
            <w:shd w:val="clear" w:color="auto" w:fill="auto"/>
            <w:noWrap/>
            <w:vAlign w:val="bottom"/>
            <w:hideMark/>
          </w:tcPr>
          <w:p w14:paraId="00240DEC"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99.58%</w:t>
            </w:r>
          </w:p>
        </w:tc>
        <w:tc>
          <w:tcPr>
            <w:tcW w:w="1276" w:type="dxa"/>
            <w:tcBorders>
              <w:top w:val="nil"/>
              <w:left w:val="nil"/>
              <w:bottom w:val="single" w:sz="4" w:space="0" w:color="auto"/>
              <w:right w:val="single" w:sz="4" w:space="0" w:color="auto"/>
            </w:tcBorders>
            <w:shd w:val="clear" w:color="auto" w:fill="auto"/>
            <w:noWrap/>
            <w:vAlign w:val="bottom"/>
            <w:hideMark/>
          </w:tcPr>
          <w:p w14:paraId="0236B65C"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364,979</w:t>
            </w:r>
          </w:p>
        </w:tc>
        <w:tc>
          <w:tcPr>
            <w:tcW w:w="1132" w:type="dxa"/>
            <w:tcBorders>
              <w:top w:val="nil"/>
              <w:left w:val="nil"/>
              <w:bottom w:val="single" w:sz="4" w:space="0" w:color="auto"/>
              <w:right w:val="single" w:sz="4" w:space="0" w:color="auto"/>
            </w:tcBorders>
            <w:shd w:val="clear" w:color="auto" w:fill="auto"/>
            <w:noWrap/>
            <w:vAlign w:val="bottom"/>
            <w:hideMark/>
          </w:tcPr>
          <w:p w14:paraId="07FE8D91"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0.42%</w:t>
            </w:r>
          </w:p>
        </w:tc>
        <w:tc>
          <w:tcPr>
            <w:tcW w:w="1419" w:type="dxa"/>
            <w:tcBorders>
              <w:top w:val="nil"/>
              <w:left w:val="nil"/>
              <w:bottom w:val="single" w:sz="4" w:space="0" w:color="auto"/>
              <w:right w:val="single" w:sz="4" w:space="0" w:color="auto"/>
            </w:tcBorders>
            <w:shd w:val="clear" w:color="auto" w:fill="auto"/>
            <w:noWrap/>
            <w:vAlign w:val="bottom"/>
            <w:hideMark/>
          </w:tcPr>
          <w:p w14:paraId="4B89A09F"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86,083,895</w:t>
            </w:r>
          </w:p>
        </w:tc>
        <w:tc>
          <w:tcPr>
            <w:tcW w:w="1134" w:type="dxa"/>
            <w:tcBorders>
              <w:top w:val="nil"/>
              <w:left w:val="nil"/>
              <w:bottom w:val="single" w:sz="4" w:space="0" w:color="auto"/>
              <w:right w:val="single" w:sz="4" w:space="0" w:color="auto"/>
            </w:tcBorders>
            <w:shd w:val="clear" w:color="auto" w:fill="auto"/>
            <w:noWrap/>
            <w:vAlign w:val="bottom"/>
            <w:hideMark/>
          </w:tcPr>
          <w:p w14:paraId="79E3CD1C"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70.74%</w:t>
            </w:r>
          </w:p>
        </w:tc>
        <w:tc>
          <w:tcPr>
            <w:tcW w:w="1134" w:type="dxa"/>
            <w:tcBorders>
              <w:top w:val="nil"/>
              <w:left w:val="nil"/>
              <w:bottom w:val="single" w:sz="4" w:space="0" w:color="auto"/>
              <w:right w:val="single" w:sz="4" w:space="0" w:color="auto"/>
            </w:tcBorders>
            <w:shd w:val="clear" w:color="auto" w:fill="auto"/>
            <w:noWrap/>
            <w:vAlign w:val="bottom"/>
            <w:hideMark/>
          </w:tcPr>
          <w:p w14:paraId="3340AF7F"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17,211</w:t>
            </w:r>
          </w:p>
        </w:tc>
      </w:tr>
      <w:tr w:rsidR="00D94D69" w:rsidRPr="00D94D69" w14:paraId="59956D80"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FE77AFA"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18</w:t>
            </w:r>
          </w:p>
        </w:tc>
        <w:tc>
          <w:tcPr>
            <w:tcW w:w="1276" w:type="dxa"/>
            <w:tcBorders>
              <w:top w:val="nil"/>
              <w:left w:val="nil"/>
              <w:bottom w:val="single" w:sz="4" w:space="0" w:color="auto"/>
              <w:right w:val="single" w:sz="4" w:space="0" w:color="auto"/>
            </w:tcBorders>
            <w:shd w:val="clear" w:color="auto" w:fill="auto"/>
            <w:noWrap/>
            <w:vAlign w:val="bottom"/>
            <w:hideMark/>
          </w:tcPr>
          <w:p w14:paraId="2E65A369"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85,887,854</w:t>
            </w:r>
          </w:p>
        </w:tc>
        <w:tc>
          <w:tcPr>
            <w:tcW w:w="992" w:type="dxa"/>
            <w:tcBorders>
              <w:top w:val="nil"/>
              <w:left w:val="nil"/>
              <w:bottom w:val="single" w:sz="4" w:space="0" w:color="auto"/>
              <w:right w:val="single" w:sz="4" w:space="0" w:color="auto"/>
            </w:tcBorders>
            <w:shd w:val="clear" w:color="auto" w:fill="auto"/>
            <w:noWrap/>
            <w:vAlign w:val="bottom"/>
            <w:hideMark/>
          </w:tcPr>
          <w:p w14:paraId="0C3ABDC7"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99.77%</w:t>
            </w:r>
          </w:p>
        </w:tc>
        <w:tc>
          <w:tcPr>
            <w:tcW w:w="1276" w:type="dxa"/>
            <w:tcBorders>
              <w:top w:val="nil"/>
              <w:left w:val="nil"/>
              <w:bottom w:val="single" w:sz="4" w:space="0" w:color="auto"/>
              <w:right w:val="single" w:sz="4" w:space="0" w:color="auto"/>
            </w:tcBorders>
            <w:shd w:val="clear" w:color="auto" w:fill="auto"/>
            <w:noWrap/>
            <w:vAlign w:val="bottom"/>
            <w:hideMark/>
          </w:tcPr>
          <w:p w14:paraId="448F2B79"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195,897</w:t>
            </w:r>
          </w:p>
        </w:tc>
        <w:tc>
          <w:tcPr>
            <w:tcW w:w="1132" w:type="dxa"/>
            <w:tcBorders>
              <w:top w:val="nil"/>
              <w:left w:val="nil"/>
              <w:bottom w:val="single" w:sz="4" w:space="0" w:color="auto"/>
              <w:right w:val="single" w:sz="4" w:space="0" w:color="auto"/>
            </w:tcBorders>
            <w:shd w:val="clear" w:color="auto" w:fill="auto"/>
            <w:noWrap/>
            <w:vAlign w:val="bottom"/>
            <w:hideMark/>
          </w:tcPr>
          <w:p w14:paraId="438392E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0.23%</w:t>
            </w:r>
          </w:p>
        </w:tc>
        <w:tc>
          <w:tcPr>
            <w:tcW w:w="1419" w:type="dxa"/>
            <w:tcBorders>
              <w:top w:val="nil"/>
              <w:left w:val="nil"/>
              <w:bottom w:val="single" w:sz="4" w:space="0" w:color="auto"/>
              <w:right w:val="single" w:sz="4" w:space="0" w:color="auto"/>
            </w:tcBorders>
            <w:shd w:val="clear" w:color="auto" w:fill="auto"/>
            <w:noWrap/>
            <w:vAlign w:val="bottom"/>
            <w:hideMark/>
          </w:tcPr>
          <w:p w14:paraId="29A8835D"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86,083,751</w:t>
            </w:r>
          </w:p>
        </w:tc>
        <w:tc>
          <w:tcPr>
            <w:tcW w:w="1134" w:type="dxa"/>
            <w:tcBorders>
              <w:top w:val="nil"/>
              <w:left w:val="nil"/>
              <w:bottom w:val="single" w:sz="4" w:space="0" w:color="auto"/>
              <w:right w:val="single" w:sz="4" w:space="0" w:color="auto"/>
            </w:tcBorders>
            <w:shd w:val="clear" w:color="auto" w:fill="auto"/>
            <w:noWrap/>
            <w:vAlign w:val="bottom"/>
            <w:hideMark/>
          </w:tcPr>
          <w:p w14:paraId="40C44487"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70.74%</w:t>
            </w:r>
          </w:p>
        </w:tc>
        <w:tc>
          <w:tcPr>
            <w:tcW w:w="1134" w:type="dxa"/>
            <w:tcBorders>
              <w:top w:val="nil"/>
              <w:left w:val="nil"/>
              <w:bottom w:val="single" w:sz="4" w:space="0" w:color="auto"/>
              <w:right w:val="single" w:sz="4" w:space="0" w:color="auto"/>
            </w:tcBorders>
            <w:shd w:val="clear" w:color="auto" w:fill="auto"/>
            <w:noWrap/>
            <w:vAlign w:val="bottom"/>
            <w:hideMark/>
          </w:tcPr>
          <w:p w14:paraId="4485BC4B"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17,355</w:t>
            </w:r>
          </w:p>
        </w:tc>
      </w:tr>
      <w:tr w:rsidR="00D94D69" w:rsidRPr="00D94D69" w14:paraId="12FB1CB5"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496A2B0"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19</w:t>
            </w:r>
          </w:p>
        </w:tc>
        <w:tc>
          <w:tcPr>
            <w:tcW w:w="1276" w:type="dxa"/>
            <w:tcBorders>
              <w:top w:val="nil"/>
              <w:left w:val="nil"/>
              <w:bottom w:val="single" w:sz="4" w:space="0" w:color="auto"/>
              <w:right w:val="single" w:sz="4" w:space="0" w:color="auto"/>
            </w:tcBorders>
            <w:shd w:val="clear" w:color="auto" w:fill="auto"/>
            <w:noWrap/>
            <w:vAlign w:val="bottom"/>
            <w:hideMark/>
          </w:tcPr>
          <w:p w14:paraId="31EC15F3"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86,044,081</w:t>
            </w:r>
          </w:p>
        </w:tc>
        <w:tc>
          <w:tcPr>
            <w:tcW w:w="992" w:type="dxa"/>
            <w:tcBorders>
              <w:top w:val="nil"/>
              <w:left w:val="nil"/>
              <w:bottom w:val="single" w:sz="4" w:space="0" w:color="auto"/>
              <w:right w:val="single" w:sz="4" w:space="0" w:color="auto"/>
            </w:tcBorders>
            <w:shd w:val="clear" w:color="auto" w:fill="auto"/>
            <w:noWrap/>
            <w:vAlign w:val="bottom"/>
            <w:hideMark/>
          </w:tcPr>
          <w:p w14:paraId="4912E737"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99.96%</w:t>
            </w:r>
          </w:p>
        </w:tc>
        <w:tc>
          <w:tcPr>
            <w:tcW w:w="1276" w:type="dxa"/>
            <w:tcBorders>
              <w:top w:val="nil"/>
              <w:left w:val="nil"/>
              <w:bottom w:val="single" w:sz="4" w:space="0" w:color="auto"/>
              <w:right w:val="single" w:sz="4" w:space="0" w:color="auto"/>
            </w:tcBorders>
            <w:shd w:val="clear" w:color="auto" w:fill="auto"/>
            <w:noWrap/>
            <w:vAlign w:val="bottom"/>
            <w:hideMark/>
          </w:tcPr>
          <w:p w14:paraId="753CFDF2"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32,071</w:t>
            </w:r>
          </w:p>
        </w:tc>
        <w:tc>
          <w:tcPr>
            <w:tcW w:w="1132" w:type="dxa"/>
            <w:tcBorders>
              <w:top w:val="nil"/>
              <w:left w:val="nil"/>
              <w:bottom w:val="single" w:sz="4" w:space="0" w:color="auto"/>
              <w:right w:val="single" w:sz="4" w:space="0" w:color="auto"/>
            </w:tcBorders>
            <w:shd w:val="clear" w:color="auto" w:fill="auto"/>
            <w:noWrap/>
            <w:vAlign w:val="bottom"/>
            <w:hideMark/>
          </w:tcPr>
          <w:p w14:paraId="3FE72C5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0.04%</w:t>
            </w:r>
          </w:p>
        </w:tc>
        <w:tc>
          <w:tcPr>
            <w:tcW w:w="1419" w:type="dxa"/>
            <w:tcBorders>
              <w:top w:val="nil"/>
              <w:left w:val="nil"/>
              <w:bottom w:val="single" w:sz="4" w:space="0" w:color="auto"/>
              <w:right w:val="single" w:sz="4" w:space="0" w:color="auto"/>
            </w:tcBorders>
            <w:shd w:val="clear" w:color="auto" w:fill="auto"/>
            <w:noWrap/>
            <w:vAlign w:val="bottom"/>
            <w:hideMark/>
          </w:tcPr>
          <w:p w14:paraId="229DEAF1"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86,076,152</w:t>
            </w:r>
          </w:p>
        </w:tc>
        <w:tc>
          <w:tcPr>
            <w:tcW w:w="1134" w:type="dxa"/>
            <w:tcBorders>
              <w:top w:val="nil"/>
              <w:left w:val="nil"/>
              <w:bottom w:val="single" w:sz="4" w:space="0" w:color="auto"/>
              <w:right w:val="single" w:sz="4" w:space="0" w:color="auto"/>
            </w:tcBorders>
            <w:shd w:val="clear" w:color="auto" w:fill="auto"/>
            <w:noWrap/>
            <w:vAlign w:val="bottom"/>
            <w:hideMark/>
          </w:tcPr>
          <w:p w14:paraId="1F4ADC65"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70.73%</w:t>
            </w:r>
          </w:p>
        </w:tc>
        <w:tc>
          <w:tcPr>
            <w:tcW w:w="1134" w:type="dxa"/>
            <w:tcBorders>
              <w:top w:val="nil"/>
              <w:left w:val="nil"/>
              <w:bottom w:val="single" w:sz="4" w:space="0" w:color="auto"/>
              <w:right w:val="single" w:sz="4" w:space="0" w:color="auto"/>
            </w:tcBorders>
            <w:shd w:val="clear" w:color="auto" w:fill="auto"/>
            <w:noWrap/>
            <w:vAlign w:val="bottom"/>
            <w:hideMark/>
          </w:tcPr>
          <w:p w14:paraId="15F5D50D"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16,892</w:t>
            </w:r>
          </w:p>
        </w:tc>
      </w:tr>
      <w:tr w:rsidR="00D94D69" w:rsidRPr="00D94D69" w14:paraId="42D25D05"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688FC15"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20</w:t>
            </w:r>
          </w:p>
        </w:tc>
        <w:tc>
          <w:tcPr>
            <w:tcW w:w="1276" w:type="dxa"/>
            <w:tcBorders>
              <w:top w:val="nil"/>
              <w:left w:val="nil"/>
              <w:bottom w:val="single" w:sz="4" w:space="0" w:color="auto"/>
              <w:right w:val="single" w:sz="4" w:space="0" w:color="auto"/>
            </w:tcBorders>
            <w:shd w:val="clear" w:color="auto" w:fill="auto"/>
            <w:noWrap/>
            <w:vAlign w:val="bottom"/>
            <w:hideMark/>
          </w:tcPr>
          <w:p w14:paraId="103B918A"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77,961,243</w:t>
            </w:r>
          </w:p>
        </w:tc>
        <w:tc>
          <w:tcPr>
            <w:tcW w:w="992" w:type="dxa"/>
            <w:tcBorders>
              <w:top w:val="nil"/>
              <w:left w:val="nil"/>
              <w:bottom w:val="single" w:sz="4" w:space="0" w:color="auto"/>
              <w:right w:val="single" w:sz="4" w:space="0" w:color="auto"/>
            </w:tcBorders>
            <w:shd w:val="clear" w:color="auto" w:fill="auto"/>
            <w:noWrap/>
            <w:vAlign w:val="bottom"/>
            <w:hideMark/>
          </w:tcPr>
          <w:p w14:paraId="584B21CA"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90.58%</w:t>
            </w:r>
          </w:p>
        </w:tc>
        <w:tc>
          <w:tcPr>
            <w:tcW w:w="1276" w:type="dxa"/>
            <w:tcBorders>
              <w:top w:val="nil"/>
              <w:left w:val="nil"/>
              <w:bottom w:val="single" w:sz="4" w:space="0" w:color="auto"/>
              <w:right w:val="single" w:sz="4" w:space="0" w:color="auto"/>
            </w:tcBorders>
            <w:shd w:val="clear" w:color="auto" w:fill="auto"/>
            <w:noWrap/>
            <w:vAlign w:val="bottom"/>
            <w:hideMark/>
          </w:tcPr>
          <w:p w14:paraId="555C273C"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8,110,808</w:t>
            </w:r>
          </w:p>
        </w:tc>
        <w:tc>
          <w:tcPr>
            <w:tcW w:w="1132" w:type="dxa"/>
            <w:tcBorders>
              <w:top w:val="nil"/>
              <w:left w:val="nil"/>
              <w:bottom w:val="single" w:sz="4" w:space="0" w:color="auto"/>
              <w:right w:val="single" w:sz="4" w:space="0" w:color="auto"/>
            </w:tcBorders>
            <w:shd w:val="clear" w:color="auto" w:fill="auto"/>
            <w:noWrap/>
            <w:vAlign w:val="bottom"/>
            <w:hideMark/>
          </w:tcPr>
          <w:p w14:paraId="4B5A155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9.42%</w:t>
            </w:r>
          </w:p>
        </w:tc>
        <w:tc>
          <w:tcPr>
            <w:tcW w:w="1419" w:type="dxa"/>
            <w:tcBorders>
              <w:top w:val="nil"/>
              <w:left w:val="nil"/>
              <w:bottom w:val="single" w:sz="4" w:space="0" w:color="auto"/>
              <w:right w:val="single" w:sz="4" w:space="0" w:color="auto"/>
            </w:tcBorders>
            <w:shd w:val="clear" w:color="auto" w:fill="auto"/>
            <w:noWrap/>
            <w:vAlign w:val="bottom"/>
            <w:hideMark/>
          </w:tcPr>
          <w:p w14:paraId="59F2988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86,072,051</w:t>
            </w:r>
          </w:p>
        </w:tc>
        <w:tc>
          <w:tcPr>
            <w:tcW w:w="1134" w:type="dxa"/>
            <w:tcBorders>
              <w:top w:val="nil"/>
              <w:left w:val="nil"/>
              <w:bottom w:val="single" w:sz="4" w:space="0" w:color="auto"/>
              <w:right w:val="single" w:sz="4" w:space="0" w:color="auto"/>
            </w:tcBorders>
            <w:shd w:val="clear" w:color="auto" w:fill="auto"/>
            <w:noWrap/>
            <w:vAlign w:val="bottom"/>
            <w:hideMark/>
          </w:tcPr>
          <w:p w14:paraId="4AD35E85"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70.73%</w:t>
            </w:r>
          </w:p>
        </w:tc>
        <w:tc>
          <w:tcPr>
            <w:tcW w:w="1134" w:type="dxa"/>
            <w:tcBorders>
              <w:top w:val="nil"/>
              <w:left w:val="nil"/>
              <w:bottom w:val="single" w:sz="4" w:space="0" w:color="auto"/>
              <w:right w:val="single" w:sz="4" w:space="0" w:color="auto"/>
            </w:tcBorders>
            <w:shd w:val="clear" w:color="auto" w:fill="auto"/>
            <w:noWrap/>
            <w:vAlign w:val="bottom"/>
            <w:hideMark/>
          </w:tcPr>
          <w:p w14:paraId="29DDF37A"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20,993</w:t>
            </w:r>
          </w:p>
        </w:tc>
      </w:tr>
      <w:tr w:rsidR="00D94D69" w:rsidRPr="00D94D69" w14:paraId="10B7A0AF"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B477085" w14:textId="4A7EEF32"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21</w:t>
            </w:r>
            <w:r w:rsidR="00415BD4">
              <w:rPr>
                <w:rFonts w:ascii="Arial" w:eastAsia="Times New Roman" w:hAnsi="Arial" w:cs="Arial"/>
                <w:color w:val="000000"/>
                <w:sz w:val="20"/>
                <w:szCs w:val="20"/>
                <w:lang w:eastAsia="zh-CN"/>
              </w:rPr>
              <w:t>*</w:t>
            </w:r>
          </w:p>
        </w:tc>
        <w:tc>
          <w:tcPr>
            <w:tcW w:w="1276" w:type="dxa"/>
            <w:tcBorders>
              <w:top w:val="nil"/>
              <w:left w:val="nil"/>
              <w:bottom w:val="single" w:sz="4" w:space="0" w:color="auto"/>
              <w:right w:val="single" w:sz="4" w:space="0" w:color="auto"/>
            </w:tcBorders>
            <w:shd w:val="clear" w:color="auto" w:fill="auto"/>
            <w:noWrap/>
            <w:vAlign w:val="bottom"/>
            <w:hideMark/>
          </w:tcPr>
          <w:p w14:paraId="1EB460C8"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85,869,679</w:t>
            </w:r>
          </w:p>
        </w:tc>
        <w:tc>
          <w:tcPr>
            <w:tcW w:w="992" w:type="dxa"/>
            <w:tcBorders>
              <w:top w:val="nil"/>
              <w:left w:val="nil"/>
              <w:bottom w:val="single" w:sz="4" w:space="0" w:color="auto"/>
              <w:right w:val="single" w:sz="4" w:space="0" w:color="auto"/>
            </w:tcBorders>
            <w:shd w:val="clear" w:color="auto" w:fill="auto"/>
            <w:noWrap/>
            <w:vAlign w:val="bottom"/>
            <w:hideMark/>
          </w:tcPr>
          <w:p w14:paraId="08F1908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99.76%</w:t>
            </w:r>
          </w:p>
        </w:tc>
        <w:tc>
          <w:tcPr>
            <w:tcW w:w="1276" w:type="dxa"/>
            <w:tcBorders>
              <w:top w:val="nil"/>
              <w:left w:val="nil"/>
              <w:bottom w:val="single" w:sz="4" w:space="0" w:color="auto"/>
              <w:right w:val="single" w:sz="4" w:space="0" w:color="auto"/>
            </w:tcBorders>
            <w:shd w:val="clear" w:color="auto" w:fill="auto"/>
            <w:noWrap/>
            <w:vAlign w:val="bottom"/>
            <w:hideMark/>
          </w:tcPr>
          <w:p w14:paraId="36435E65"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202,547</w:t>
            </w:r>
          </w:p>
        </w:tc>
        <w:tc>
          <w:tcPr>
            <w:tcW w:w="1132" w:type="dxa"/>
            <w:tcBorders>
              <w:top w:val="nil"/>
              <w:left w:val="nil"/>
              <w:bottom w:val="single" w:sz="4" w:space="0" w:color="auto"/>
              <w:right w:val="single" w:sz="4" w:space="0" w:color="auto"/>
            </w:tcBorders>
            <w:shd w:val="clear" w:color="auto" w:fill="auto"/>
            <w:noWrap/>
            <w:vAlign w:val="bottom"/>
            <w:hideMark/>
          </w:tcPr>
          <w:p w14:paraId="5189151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0.24%</w:t>
            </w:r>
          </w:p>
        </w:tc>
        <w:tc>
          <w:tcPr>
            <w:tcW w:w="1419" w:type="dxa"/>
            <w:tcBorders>
              <w:top w:val="nil"/>
              <w:left w:val="nil"/>
              <w:bottom w:val="single" w:sz="4" w:space="0" w:color="auto"/>
              <w:right w:val="single" w:sz="4" w:space="0" w:color="auto"/>
            </w:tcBorders>
            <w:shd w:val="clear" w:color="auto" w:fill="auto"/>
            <w:noWrap/>
            <w:vAlign w:val="bottom"/>
            <w:hideMark/>
          </w:tcPr>
          <w:p w14:paraId="12FC043B"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86,072,226</w:t>
            </w:r>
          </w:p>
        </w:tc>
        <w:tc>
          <w:tcPr>
            <w:tcW w:w="1134" w:type="dxa"/>
            <w:tcBorders>
              <w:top w:val="nil"/>
              <w:left w:val="nil"/>
              <w:bottom w:val="single" w:sz="4" w:space="0" w:color="auto"/>
              <w:right w:val="single" w:sz="4" w:space="0" w:color="auto"/>
            </w:tcBorders>
            <w:shd w:val="clear" w:color="auto" w:fill="auto"/>
            <w:noWrap/>
            <w:vAlign w:val="bottom"/>
            <w:hideMark/>
          </w:tcPr>
          <w:p w14:paraId="693B0739"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70.73%</w:t>
            </w:r>
          </w:p>
        </w:tc>
        <w:tc>
          <w:tcPr>
            <w:tcW w:w="1134" w:type="dxa"/>
            <w:tcBorders>
              <w:top w:val="nil"/>
              <w:left w:val="nil"/>
              <w:bottom w:val="single" w:sz="4" w:space="0" w:color="auto"/>
              <w:right w:val="single" w:sz="4" w:space="0" w:color="auto"/>
            </w:tcBorders>
            <w:shd w:val="clear" w:color="auto" w:fill="auto"/>
            <w:noWrap/>
            <w:vAlign w:val="bottom"/>
            <w:hideMark/>
          </w:tcPr>
          <w:p w14:paraId="189113F7"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20,818</w:t>
            </w:r>
          </w:p>
        </w:tc>
      </w:tr>
      <w:tr w:rsidR="00D94D69" w:rsidRPr="00D94D69" w14:paraId="417D974A"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F9C04A8" w14:textId="02AB4049"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22</w:t>
            </w:r>
            <w:r w:rsidR="00415BD4">
              <w:rPr>
                <w:rFonts w:ascii="Arial" w:eastAsia="Times New Roman" w:hAnsi="Arial" w:cs="Arial"/>
                <w:color w:val="000000"/>
                <w:sz w:val="20"/>
                <w:szCs w:val="20"/>
                <w:lang w:eastAsia="zh-CN"/>
              </w:rPr>
              <w:t>*</w:t>
            </w:r>
          </w:p>
        </w:tc>
        <w:tc>
          <w:tcPr>
            <w:tcW w:w="1276" w:type="dxa"/>
            <w:tcBorders>
              <w:top w:val="nil"/>
              <w:left w:val="nil"/>
              <w:bottom w:val="single" w:sz="4" w:space="0" w:color="auto"/>
              <w:right w:val="single" w:sz="4" w:space="0" w:color="auto"/>
            </w:tcBorders>
            <w:shd w:val="clear" w:color="auto" w:fill="auto"/>
            <w:noWrap/>
            <w:vAlign w:val="bottom"/>
            <w:hideMark/>
          </w:tcPr>
          <w:p w14:paraId="4F6B8BE1"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80,127,730</w:t>
            </w:r>
          </w:p>
        </w:tc>
        <w:tc>
          <w:tcPr>
            <w:tcW w:w="992" w:type="dxa"/>
            <w:tcBorders>
              <w:top w:val="nil"/>
              <w:left w:val="nil"/>
              <w:bottom w:val="single" w:sz="4" w:space="0" w:color="auto"/>
              <w:right w:val="single" w:sz="4" w:space="0" w:color="auto"/>
            </w:tcBorders>
            <w:shd w:val="clear" w:color="auto" w:fill="auto"/>
            <w:noWrap/>
            <w:vAlign w:val="bottom"/>
            <w:hideMark/>
          </w:tcPr>
          <w:p w14:paraId="6BE21179"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93.09%</w:t>
            </w:r>
          </w:p>
        </w:tc>
        <w:tc>
          <w:tcPr>
            <w:tcW w:w="1276" w:type="dxa"/>
            <w:tcBorders>
              <w:top w:val="nil"/>
              <w:left w:val="nil"/>
              <w:bottom w:val="single" w:sz="4" w:space="0" w:color="auto"/>
              <w:right w:val="single" w:sz="4" w:space="0" w:color="auto"/>
            </w:tcBorders>
            <w:shd w:val="clear" w:color="auto" w:fill="auto"/>
            <w:noWrap/>
            <w:vAlign w:val="bottom"/>
            <w:hideMark/>
          </w:tcPr>
          <w:p w14:paraId="5AC54DE2"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5,944,496</w:t>
            </w:r>
          </w:p>
        </w:tc>
        <w:tc>
          <w:tcPr>
            <w:tcW w:w="1132" w:type="dxa"/>
            <w:tcBorders>
              <w:top w:val="nil"/>
              <w:left w:val="nil"/>
              <w:bottom w:val="single" w:sz="4" w:space="0" w:color="auto"/>
              <w:right w:val="single" w:sz="4" w:space="0" w:color="auto"/>
            </w:tcBorders>
            <w:shd w:val="clear" w:color="auto" w:fill="auto"/>
            <w:noWrap/>
            <w:vAlign w:val="bottom"/>
            <w:hideMark/>
          </w:tcPr>
          <w:p w14:paraId="5E49CBEA"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6.91%</w:t>
            </w:r>
          </w:p>
        </w:tc>
        <w:tc>
          <w:tcPr>
            <w:tcW w:w="1419" w:type="dxa"/>
            <w:tcBorders>
              <w:top w:val="nil"/>
              <w:left w:val="nil"/>
              <w:bottom w:val="single" w:sz="4" w:space="0" w:color="auto"/>
              <w:right w:val="single" w:sz="4" w:space="0" w:color="auto"/>
            </w:tcBorders>
            <w:shd w:val="clear" w:color="auto" w:fill="auto"/>
            <w:noWrap/>
            <w:vAlign w:val="bottom"/>
            <w:hideMark/>
          </w:tcPr>
          <w:p w14:paraId="5020B0AA"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86,072,226</w:t>
            </w:r>
          </w:p>
        </w:tc>
        <w:tc>
          <w:tcPr>
            <w:tcW w:w="1134" w:type="dxa"/>
            <w:tcBorders>
              <w:top w:val="nil"/>
              <w:left w:val="nil"/>
              <w:bottom w:val="single" w:sz="4" w:space="0" w:color="auto"/>
              <w:right w:val="single" w:sz="4" w:space="0" w:color="auto"/>
            </w:tcBorders>
            <w:shd w:val="clear" w:color="auto" w:fill="auto"/>
            <w:noWrap/>
            <w:vAlign w:val="bottom"/>
            <w:hideMark/>
          </w:tcPr>
          <w:p w14:paraId="11264FBD"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70.73%</w:t>
            </w:r>
          </w:p>
        </w:tc>
        <w:tc>
          <w:tcPr>
            <w:tcW w:w="1134" w:type="dxa"/>
            <w:tcBorders>
              <w:top w:val="nil"/>
              <w:left w:val="nil"/>
              <w:bottom w:val="single" w:sz="4" w:space="0" w:color="auto"/>
              <w:right w:val="single" w:sz="4" w:space="0" w:color="auto"/>
            </w:tcBorders>
            <w:shd w:val="clear" w:color="auto" w:fill="auto"/>
            <w:noWrap/>
            <w:vAlign w:val="bottom"/>
            <w:hideMark/>
          </w:tcPr>
          <w:p w14:paraId="05CDC14F"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20,818</w:t>
            </w:r>
          </w:p>
        </w:tc>
      </w:tr>
      <w:tr w:rsidR="00D94D69" w:rsidRPr="00D94D69" w14:paraId="2E09101A"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A21D671" w14:textId="7ECDF24E"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23</w:t>
            </w:r>
            <w:r w:rsidR="00415BD4">
              <w:rPr>
                <w:rFonts w:ascii="Arial" w:eastAsia="Times New Roman" w:hAnsi="Arial" w:cs="Arial"/>
                <w:color w:val="000000"/>
                <w:sz w:val="20"/>
                <w:szCs w:val="20"/>
                <w:lang w:eastAsia="zh-CN"/>
              </w:rPr>
              <w:t>*</w:t>
            </w:r>
          </w:p>
        </w:tc>
        <w:tc>
          <w:tcPr>
            <w:tcW w:w="1276" w:type="dxa"/>
            <w:tcBorders>
              <w:top w:val="nil"/>
              <w:left w:val="nil"/>
              <w:bottom w:val="single" w:sz="4" w:space="0" w:color="auto"/>
              <w:right w:val="single" w:sz="4" w:space="0" w:color="auto"/>
            </w:tcBorders>
            <w:shd w:val="clear" w:color="auto" w:fill="auto"/>
            <w:noWrap/>
            <w:vAlign w:val="bottom"/>
            <w:hideMark/>
          </w:tcPr>
          <w:p w14:paraId="4F2C5762"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85,535,159</w:t>
            </w:r>
          </w:p>
        </w:tc>
        <w:tc>
          <w:tcPr>
            <w:tcW w:w="992" w:type="dxa"/>
            <w:tcBorders>
              <w:top w:val="nil"/>
              <w:left w:val="nil"/>
              <w:bottom w:val="single" w:sz="4" w:space="0" w:color="auto"/>
              <w:right w:val="single" w:sz="4" w:space="0" w:color="auto"/>
            </w:tcBorders>
            <w:shd w:val="clear" w:color="auto" w:fill="auto"/>
            <w:noWrap/>
            <w:vAlign w:val="bottom"/>
            <w:hideMark/>
          </w:tcPr>
          <w:p w14:paraId="73213C7D"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99.45%</w:t>
            </w:r>
          </w:p>
        </w:tc>
        <w:tc>
          <w:tcPr>
            <w:tcW w:w="1276" w:type="dxa"/>
            <w:tcBorders>
              <w:top w:val="nil"/>
              <w:left w:val="nil"/>
              <w:bottom w:val="single" w:sz="4" w:space="0" w:color="auto"/>
              <w:right w:val="single" w:sz="4" w:space="0" w:color="auto"/>
            </w:tcBorders>
            <w:shd w:val="clear" w:color="auto" w:fill="auto"/>
            <w:noWrap/>
            <w:vAlign w:val="bottom"/>
            <w:hideMark/>
          </w:tcPr>
          <w:p w14:paraId="5D1A8B35"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475,126</w:t>
            </w:r>
          </w:p>
        </w:tc>
        <w:tc>
          <w:tcPr>
            <w:tcW w:w="1132" w:type="dxa"/>
            <w:tcBorders>
              <w:top w:val="nil"/>
              <w:left w:val="nil"/>
              <w:bottom w:val="single" w:sz="4" w:space="0" w:color="auto"/>
              <w:right w:val="single" w:sz="4" w:space="0" w:color="auto"/>
            </w:tcBorders>
            <w:shd w:val="clear" w:color="auto" w:fill="auto"/>
            <w:noWrap/>
            <w:vAlign w:val="bottom"/>
            <w:hideMark/>
          </w:tcPr>
          <w:p w14:paraId="5E5B5D93"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0.55%</w:t>
            </w:r>
          </w:p>
        </w:tc>
        <w:tc>
          <w:tcPr>
            <w:tcW w:w="1419" w:type="dxa"/>
            <w:tcBorders>
              <w:top w:val="nil"/>
              <w:left w:val="nil"/>
              <w:bottom w:val="single" w:sz="4" w:space="0" w:color="auto"/>
              <w:right w:val="single" w:sz="4" w:space="0" w:color="auto"/>
            </w:tcBorders>
            <w:shd w:val="clear" w:color="auto" w:fill="auto"/>
            <w:noWrap/>
            <w:vAlign w:val="bottom"/>
            <w:hideMark/>
          </w:tcPr>
          <w:p w14:paraId="7221AAC3"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86,010,285</w:t>
            </w:r>
          </w:p>
        </w:tc>
        <w:tc>
          <w:tcPr>
            <w:tcW w:w="1134" w:type="dxa"/>
            <w:tcBorders>
              <w:top w:val="nil"/>
              <w:left w:val="nil"/>
              <w:bottom w:val="single" w:sz="4" w:space="0" w:color="auto"/>
              <w:right w:val="single" w:sz="4" w:space="0" w:color="auto"/>
            </w:tcBorders>
            <w:shd w:val="clear" w:color="auto" w:fill="auto"/>
            <w:noWrap/>
            <w:vAlign w:val="bottom"/>
            <w:hideMark/>
          </w:tcPr>
          <w:p w14:paraId="10A0FD4B"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70.68%</w:t>
            </w:r>
          </w:p>
        </w:tc>
        <w:tc>
          <w:tcPr>
            <w:tcW w:w="1134" w:type="dxa"/>
            <w:tcBorders>
              <w:top w:val="nil"/>
              <w:left w:val="nil"/>
              <w:bottom w:val="single" w:sz="4" w:space="0" w:color="auto"/>
              <w:right w:val="single" w:sz="4" w:space="0" w:color="auto"/>
            </w:tcBorders>
            <w:shd w:val="clear" w:color="auto" w:fill="auto"/>
            <w:noWrap/>
            <w:vAlign w:val="bottom"/>
            <w:hideMark/>
          </w:tcPr>
          <w:p w14:paraId="0B21E2DE"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82,759</w:t>
            </w:r>
          </w:p>
        </w:tc>
      </w:tr>
      <w:tr w:rsidR="00D94D69" w:rsidRPr="00D94D69" w14:paraId="3416376E"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CBB8ACA"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24</w:t>
            </w:r>
          </w:p>
        </w:tc>
        <w:tc>
          <w:tcPr>
            <w:tcW w:w="1276" w:type="dxa"/>
            <w:tcBorders>
              <w:top w:val="nil"/>
              <w:left w:val="nil"/>
              <w:bottom w:val="single" w:sz="4" w:space="0" w:color="auto"/>
              <w:right w:val="single" w:sz="4" w:space="0" w:color="auto"/>
            </w:tcBorders>
            <w:shd w:val="clear" w:color="auto" w:fill="auto"/>
            <w:noWrap/>
            <w:vAlign w:val="bottom"/>
            <w:hideMark/>
          </w:tcPr>
          <w:p w14:paraId="31C83CF4"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85,451,008</w:t>
            </w:r>
          </w:p>
        </w:tc>
        <w:tc>
          <w:tcPr>
            <w:tcW w:w="992" w:type="dxa"/>
            <w:tcBorders>
              <w:top w:val="nil"/>
              <w:left w:val="nil"/>
              <w:bottom w:val="single" w:sz="4" w:space="0" w:color="auto"/>
              <w:right w:val="single" w:sz="4" w:space="0" w:color="auto"/>
            </w:tcBorders>
            <w:shd w:val="clear" w:color="auto" w:fill="auto"/>
            <w:noWrap/>
            <w:vAlign w:val="bottom"/>
            <w:hideMark/>
          </w:tcPr>
          <w:p w14:paraId="69D720C0"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99.28%</w:t>
            </w:r>
          </w:p>
        </w:tc>
        <w:tc>
          <w:tcPr>
            <w:tcW w:w="1276" w:type="dxa"/>
            <w:tcBorders>
              <w:top w:val="nil"/>
              <w:left w:val="nil"/>
              <w:bottom w:val="single" w:sz="4" w:space="0" w:color="auto"/>
              <w:right w:val="single" w:sz="4" w:space="0" w:color="auto"/>
            </w:tcBorders>
            <w:shd w:val="clear" w:color="auto" w:fill="auto"/>
            <w:noWrap/>
            <w:vAlign w:val="bottom"/>
            <w:hideMark/>
          </w:tcPr>
          <w:p w14:paraId="7D1043DB"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620,325</w:t>
            </w:r>
          </w:p>
        </w:tc>
        <w:tc>
          <w:tcPr>
            <w:tcW w:w="1132" w:type="dxa"/>
            <w:tcBorders>
              <w:top w:val="nil"/>
              <w:left w:val="nil"/>
              <w:bottom w:val="single" w:sz="4" w:space="0" w:color="auto"/>
              <w:right w:val="single" w:sz="4" w:space="0" w:color="auto"/>
            </w:tcBorders>
            <w:shd w:val="clear" w:color="auto" w:fill="auto"/>
            <w:noWrap/>
            <w:vAlign w:val="bottom"/>
            <w:hideMark/>
          </w:tcPr>
          <w:p w14:paraId="74082E27"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0.72%</w:t>
            </w:r>
          </w:p>
        </w:tc>
        <w:tc>
          <w:tcPr>
            <w:tcW w:w="1419" w:type="dxa"/>
            <w:tcBorders>
              <w:top w:val="nil"/>
              <w:left w:val="nil"/>
              <w:bottom w:val="single" w:sz="4" w:space="0" w:color="auto"/>
              <w:right w:val="single" w:sz="4" w:space="0" w:color="auto"/>
            </w:tcBorders>
            <w:shd w:val="clear" w:color="auto" w:fill="auto"/>
            <w:noWrap/>
            <w:vAlign w:val="bottom"/>
            <w:hideMark/>
          </w:tcPr>
          <w:p w14:paraId="78DF8946"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86,071,333</w:t>
            </w:r>
          </w:p>
        </w:tc>
        <w:tc>
          <w:tcPr>
            <w:tcW w:w="1134" w:type="dxa"/>
            <w:tcBorders>
              <w:top w:val="nil"/>
              <w:left w:val="nil"/>
              <w:bottom w:val="single" w:sz="4" w:space="0" w:color="auto"/>
              <w:right w:val="single" w:sz="4" w:space="0" w:color="auto"/>
            </w:tcBorders>
            <w:shd w:val="clear" w:color="auto" w:fill="auto"/>
            <w:noWrap/>
            <w:vAlign w:val="bottom"/>
            <w:hideMark/>
          </w:tcPr>
          <w:p w14:paraId="32A22D0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70.73%</w:t>
            </w:r>
          </w:p>
        </w:tc>
        <w:tc>
          <w:tcPr>
            <w:tcW w:w="1134" w:type="dxa"/>
            <w:tcBorders>
              <w:top w:val="nil"/>
              <w:left w:val="nil"/>
              <w:bottom w:val="single" w:sz="4" w:space="0" w:color="auto"/>
              <w:right w:val="single" w:sz="4" w:space="0" w:color="auto"/>
            </w:tcBorders>
            <w:shd w:val="clear" w:color="auto" w:fill="auto"/>
            <w:noWrap/>
            <w:vAlign w:val="bottom"/>
            <w:hideMark/>
          </w:tcPr>
          <w:p w14:paraId="12A737D9"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20,631</w:t>
            </w:r>
          </w:p>
        </w:tc>
      </w:tr>
      <w:tr w:rsidR="00D94D69" w:rsidRPr="00D94D69" w14:paraId="4996889A"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3594842" w14:textId="3DD5869C"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25</w:t>
            </w:r>
            <w:r w:rsidR="00415BD4">
              <w:rPr>
                <w:rFonts w:ascii="Arial" w:eastAsia="Times New Roman" w:hAnsi="Arial" w:cs="Arial"/>
                <w:color w:val="000000"/>
                <w:sz w:val="20"/>
                <w:szCs w:val="20"/>
                <w:lang w:eastAsia="zh-CN"/>
              </w:rPr>
              <w:t>*</w:t>
            </w:r>
          </w:p>
        </w:tc>
        <w:tc>
          <w:tcPr>
            <w:tcW w:w="1276" w:type="dxa"/>
            <w:tcBorders>
              <w:top w:val="nil"/>
              <w:left w:val="nil"/>
              <w:bottom w:val="single" w:sz="4" w:space="0" w:color="auto"/>
              <w:right w:val="single" w:sz="4" w:space="0" w:color="auto"/>
            </w:tcBorders>
            <w:shd w:val="clear" w:color="auto" w:fill="auto"/>
            <w:noWrap/>
            <w:vAlign w:val="bottom"/>
            <w:hideMark/>
          </w:tcPr>
          <w:p w14:paraId="2335E8E4"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74,826,536</w:t>
            </w:r>
          </w:p>
        </w:tc>
        <w:tc>
          <w:tcPr>
            <w:tcW w:w="992" w:type="dxa"/>
            <w:tcBorders>
              <w:top w:val="nil"/>
              <w:left w:val="nil"/>
              <w:bottom w:val="single" w:sz="4" w:space="0" w:color="auto"/>
              <w:right w:val="single" w:sz="4" w:space="0" w:color="auto"/>
            </w:tcBorders>
            <w:shd w:val="clear" w:color="auto" w:fill="auto"/>
            <w:noWrap/>
            <w:vAlign w:val="bottom"/>
            <w:hideMark/>
          </w:tcPr>
          <w:p w14:paraId="66342F4B"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86.93%</w:t>
            </w:r>
          </w:p>
        </w:tc>
        <w:tc>
          <w:tcPr>
            <w:tcW w:w="1276" w:type="dxa"/>
            <w:tcBorders>
              <w:top w:val="nil"/>
              <w:left w:val="nil"/>
              <w:bottom w:val="single" w:sz="4" w:space="0" w:color="auto"/>
              <w:right w:val="single" w:sz="4" w:space="0" w:color="auto"/>
            </w:tcBorders>
            <w:shd w:val="clear" w:color="auto" w:fill="auto"/>
            <w:noWrap/>
            <w:vAlign w:val="bottom"/>
            <w:hideMark/>
          </w:tcPr>
          <w:p w14:paraId="7B07407C"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11,249,182</w:t>
            </w:r>
          </w:p>
        </w:tc>
        <w:tc>
          <w:tcPr>
            <w:tcW w:w="1132" w:type="dxa"/>
            <w:tcBorders>
              <w:top w:val="nil"/>
              <w:left w:val="nil"/>
              <w:bottom w:val="single" w:sz="4" w:space="0" w:color="auto"/>
              <w:right w:val="single" w:sz="4" w:space="0" w:color="auto"/>
            </w:tcBorders>
            <w:shd w:val="clear" w:color="auto" w:fill="auto"/>
            <w:noWrap/>
            <w:vAlign w:val="bottom"/>
            <w:hideMark/>
          </w:tcPr>
          <w:p w14:paraId="6041D8F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13.07%</w:t>
            </w:r>
          </w:p>
        </w:tc>
        <w:tc>
          <w:tcPr>
            <w:tcW w:w="1419" w:type="dxa"/>
            <w:tcBorders>
              <w:top w:val="nil"/>
              <w:left w:val="nil"/>
              <w:bottom w:val="single" w:sz="4" w:space="0" w:color="auto"/>
              <w:right w:val="single" w:sz="4" w:space="0" w:color="auto"/>
            </w:tcBorders>
            <w:shd w:val="clear" w:color="auto" w:fill="auto"/>
            <w:noWrap/>
            <w:vAlign w:val="bottom"/>
            <w:hideMark/>
          </w:tcPr>
          <w:p w14:paraId="592E8387"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86,075,718</w:t>
            </w:r>
          </w:p>
        </w:tc>
        <w:tc>
          <w:tcPr>
            <w:tcW w:w="1134" w:type="dxa"/>
            <w:tcBorders>
              <w:top w:val="nil"/>
              <w:left w:val="nil"/>
              <w:bottom w:val="single" w:sz="4" w:space="0" w:color="auto"/>
              <w:right w:val="single" w:sz="4" w:space="0" w:color="auto"/>
            </w:tcBorders>
            <w:shd w:val="clear" w:color="auto" w:fill="auto"/>
            <w:noWrap/>
            <w:vAlign w:val="bottom"/>
            <w:hideMark/>
          </w:tcPr>
          <w:p w14:paraId="6878CA87"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70.73%</w:t>
            </w:r>
          </w:p>
        </w:tc>
        <w:tc>
          <w:tcPr>
            <w:tcW w:w="1134" w:type="dxa"/>
            <w:tcBorders>
              <w:top w:val="nil"/>
              <w:left w:val="nil"/>
              <w:bottom w:val="single" w:sz="4" w:space="0" w:color="auto"/>
              <w:right w:val="single" w:sz="4" w:space="0" w:color="auto"/>
            </w:tcBorders>
            <w:shd w:val="clear" w:color="auto" w:fill="auto"/>
            <w:noWrap/>
            <w:vAlign w:val="bottom"/>
            <w:hideMark/>
          </w:tcPr>
          <w:p w14:paraId="7CFE79E0"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17,326</w:t>
            </w:r>
          </w:p>
        </w:tc>
      </w:tr>
      <w:tr w:rsidR="00D94D69" w:rsidRPr="00D94D69" w14:paraId="24169794"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F034A19" w14:textId="4399EB35"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26</w:t>
            </w:r>
            <w:r w:rsidR="00415BD4">
              <w:rPr>
                <w:rFonts w:ascii="Arial" w:eastAsia="Times New Roman" w:hAnsi="Arial" w:cs="Arial"/>
                <w:color w:val="000000"/>
                <w:sz w:val="20"/>
                <w:szCs w:val="20"/>
                <w:lang w:eastAsia="zh-CN"/>
              </w:rPr>
              <w:t>*</w:t>
            </w:r>
          </w:p>
        </w:tc>
        <w:tc>
          <w:tcPr>
            <w:tcW w:w="1276" w:type="dxa"/>
            <w:tcBorders>
              <w:top w:val="nil"/>
              <w:left w:val="nil"/>
              <w:bottom w:val="single" w:sz="4" w:space="0" w:color="auto"/>
              <w:right w:val="single" w:sz="4" w:space="0" w:color="auto"/>
            </w:tcBorders>
            <w:shd w:val="clear" w:color="auto" w:fill="auto"/>
            <w:noWrap/>
            <w:vAlign w:val="bottom"/>
            <w:hideMark/>
          </w:tcPr>
          <w:p w14:paraId="2C3E65D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86,045,985</w:t>
            </w:r>
          </w:p>
        </w:tc>
        <w:tc>
          <w:tcPr>
            <w:tcW w:w="992" w:type="dxa"/>
            <w:tcBorders>
              <w:top w:val="nil"/>
              <w:left w:val="nil"/>
              <w:bottom w:val="single" w:sz="4" w:space="0" w:color="auto"/>
              <w:right w:val="single" w:sz="4" w:space="0" w:color="auto"/>
            </w:tcBorders>
            <w:shd w:val="clear" w:color="auto" w:fill="auto"/>
            <w:noWrap/>
            <w:vAlign w:val="bottom"/>
            <w:hideMark/>
          </w:tcPr>
          <w:p w14:paraId="70D6C5B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99.97%</w:t>
            </w:r>
          </w:p>
        </w:tc>
        <w:tc>
          <w:tcPr>
            <w:tcW w:w="1276" w:type="dxa"/>
            <w:tcBorders>
              <w:top w:val="nil"/>
              <w:left w:val="nil"/>
              <w:bottom w:val="single" w:sz="4" w:space="0" w:color="auto"/>
              <w:right w:val="single" w:sz="4" w:space="0" w:color="auto"/>
            </w:tcBorders>
            <w:shd w:val="clear" w:color="auto" w:fill="auto"/>
            <w:noWrap/>
            <w:vAlign w:val="bottom"/>
            <w:hideMark/>
          </w:tcPr>
          <w:p w14:paraId="7A6D10E4"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25,469</w:t>
            </w:r>
          </w:p>
        </w:tc>
        <w:tc>
          <w:tcPr>
            <w:tcW w:w="1132" w:type="dxa"/>
            <w:tcBorders>
              <w:top w:val="nil"/>
              <w:left w:val="nil"/>
              <w:bottom w:val="single" w:sz="4" w:space="0" w:color="auto"/>
              <w:right w:val="single" w:sz="4" w:space="0" w:color="auto"/>
            </w:tcBorders>
            <w:shd w:val="clear" w:color="auto" w:fill="auto"/>
            <w:noWrap/>
            <w:vAlign w:val="bottom"/>
            <w:hideMark/>
          </w:tcPr>
          <w:p w14:paraId="452DF93B"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0.03%</w:t>
            </w:r>
          </w:p>
        </w:tc>
        <w:tc>
          <w:tcPr>
            <w:tcW w:w="1419" w:type="dxa"/>
            <w:tcBorders>
              <w:top w:val="nil"/>
              <w:left w:val="nil"/>
              <w:bottom w:val="single" w:sz="4" w:space="0" w:color="auto"/>
              <w:right w:val="single" w:sz="4" w:space="0" w:color="auto"/>
            </w:tcBorders>
            <w:shd w:val="clear" w:color="auto" w:fill="auto"/>
            <w:noWrap/>
            <w:vAlign w:val="bottom"/>
            <w:hideMark/>
          </w:tcPr>
          <w:p w14:paraId="0FBF36C3"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86,071,454</w:t>
            </w:r>
          </w:p>
        </w:tc>
        <w:tc>
          <w:tcPr>
            <w:tcW w:w="1134" w:type="dxa"/>
            <w:tcBorders>
              <w:top w:val="nil"/>
              <w:left w:val="nil"/>
              <w:bottom w:val="single" w:sz="4" w:space="0" w:color="auto"/>
              <w:right w:val="single" w:sz="4" w:space="0" w:color="auto"/>
            </w:tcBorders>
            <w:shd w:val="clear" w:color="auto" w:fill="auto"/>
            <w:noWrap/>
            <w:vAlign w:val="bottom"/>
            <w:hideMark/>
          </w:tcPr>
          <w:p w14:paraId="35A480A7"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70.73%</w:t>
            </w:r>
          </w:p>
        </w:tc>
        <w:tc>
          <w:tcPr>
            <w:tcW w:w="1134" w:type="dxa"/>
            <w:tcBorders>
              <w:top w:val="nil"/>
              <w:left w:val="nil"/>
              <w:bottom w:val="single" w:sz="4" w:space="0" w:color="auto"/>
              <w:right w:val="single" w:sz="4" w:space="0" w:color="auto"/>
            </w:tcBorders>
            <w:shd w:val="clear" w:color="auto" w:fill="auto"/>
            <w:noWrap/>
            <w:vAlign w:val="bottom"/>
            <w:hideMark/>
          </w:tcPr>
          <w:p w14:paraId="02E847C9"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21,590</w:t>
            </w:r>
          </w:p>
        </w:tc>
      </w:tr>
      <w:tr w:rsidR="00D94D69" w:rsidRPr="00D94D69" w14:paraId="5EFAC0E4"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1C1CD08"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27</w:t>
            </w:r>
          </w:p>
        </w:tc>
        <w:tc>
          <w:tcPr>
            <w:tcW w:w="1276" w:type="dxa"/>
            <w:tcBorders>
              <w:top w:val="nil"/>
              <w:left w:val="nil"/>
              <w:bottom w:val="single" w:sz="4" w:space="0" w:color="auto"/>
              <w:right w:val="single" w:sz="4" w:space="0" w:color="auto"/>
            </w:tcBorders>
            <w:shd w:val="clear" w:color="auto" w:fill="auto"/>
            <w:noWrap/>
            <w:vAlign w:val="bottom"/>
            <w:hideMark/>
          </w:tcPr>
          <w:p w14:paraId="52E3623A"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86,045,397</w:t>
            </w:r>
          </w:p>
        </w:tc>
        <w:tc>
          <w:tcPr>
            <w:tcW w:w="992" w:type="dxa"/>
            <w:tcBorders>
              <w:top w:val="nil"/>
              <w:left w:val="nil"/>
              <w:bottom w:val="single" w:sz="4" w:space="0" w:color="auto"/>
              <w:right w:val="single" w:sz="4" w:space="0" w:color="auto"/>
            </w:tcBorders>
            <w:shd w:val="clear" w:color="auto" w:fill="auto"/>
            <w:noWrap/>
            <w:vAlign w:val="bottom"/>
            <w:hideMark/>
          </w:tcPr>
          <w:p w14:paraId="783C3F5B"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99.97%</w:t>
            </w:r>
          </w:p>
        </w:tc>
        <w:tc>
          <w:tcPr>
            <w:tcW w:w="1276" w:type="dxa"/>
            <w:tcBorders>
              <w:top w:val="nil"/>
              <w:left w:val="nil"/>
              <w:bottom w:val="single" w:sz="4" w:space="0" w:color="auto"/>
              <w:right w:val="single" w:sz="4" w:space="0" w:color="auto"/>
            </w:tcBorders>
            <w:shd w:val="clear" w:color="auto" w:fill="auto"/>
            <w:noWrap/>
            <w:vAlign w:val="bottom"/>
            <w:hideMark/>
          </w:tcPr>
          <w:p w14:paraId="3A5782AA"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26,212</w:t>
            </w:r>
          </w:p>
        </w:tc>
        <w:tc>
          <w:tcPr>
            <w:tcW w:w="1132" w:type="dxa"/>
            <w:tcBorders>
              <w:top w:val="nil"/>
              <w:left w:val="nil"/>
              <w:bottom w:val="single" w:sz="4" w:space="0" w:color="auto"/>
              <w:right w:val="single" w:sz="4" w:space="0" w:color="auto"/>
            </w:tcBorders>
            <w:shd w:val="clear" w:color="auto" w:fill="auto"/>
            <w:noWrap/>
            <w:vAlign w:val="bottom"/>
            <w:hideMark/>
          </w:tcPr>
          <w:p w14:paraId="4A3C904B"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0.03%</w:t>
            </w:r>
          </w:p>
        </w:tc>
        <w:tc>
          <w:tcPr>
            <w:tcW w:w="1419" w:type="dxa"/>
            <w:tcBorders>
              <w:top w:val="nil"/>
              <w:left w:val="nil"/>
              <w:bottom w:val="single" w:sz="4" w:space="0" w:color="auto"/>
              <w:right w:val="single" w:sz="4" w:space="0" w:color="auto"/>
            </w:tcBorders>
            <w:shd w:val="clear" w:color="auto" w:fill="auto"/>
            <w:noWrap/>
            <w:vAlign w:val="bottom"/>
            <w:hideMark/>
          </w:tcPr>
          <w:p w14:paraId="1078739A"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86,071,609</w:t>
            </w:r>
          </w:p>
        </w:tc>
        <w:tc>
          <w:tcPr>
            <w:tcW w:w="1134" w:type="dxa"/>
            <w:tcBorders>
              <w:top w:val="nil"/>
              <w:left w:val="nil"/>
              <w:bottom w:val="single" w:sz="4" w:space="0" w:color="auto"/>
              <w:right w:val="single" w:sz="4" w:space="0" w:color="auto"/>
            </w:tcBorders>
            <w:shd w:val="clear" w:color="auto" w:fill="auto"/>
            <w:noWrap/>
            <w:vAlign w:val="bottom"/>
            <w:hideMark/>
          </w:tcPr>
          <w:p w14:paraId="77F79310"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70.73%</w:t>
            </w:r>
          </w:p>
        </w:tc>
        <w:tc>
          <w:tcPr>
            <w:tcW w:w="1134" w:type="dxa"/>
            <w:tcBorders>
              <w:top w:val="nil"/>
              <w:left w:val="nil"/>
              <w:bottom w:val="single" w:sz="4" w:space="0" w:color="auto"/>
              <w:right w:val="single" w:sz="4" w:space="0" w:color="auto"/>
            </w:tcBorders>
            <w:shd w:val="clear" w:color="auto" w:fill="auto"/>
            <w:noWrap/>
            <w:vAlign w:val="bottom"/>
            <w:hideMark/>
          </w:tcPr>
          <w:p w14:paraId="6FD1CEE3"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21,435</w:t>
            </w:r>
          </w:p>
        </w:tc>
      </w:tr>
      <w:tr w:rsidR="00D94D69" w:rsidRPr="00D94D69" w14:paraId="620BC46D" w14:textId="77777777" w:rsidTr="00D94D6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4C6D05B" w14:textId="77777777" w:rsidR="00D94D69" w:rsidRPr="00D94D69" w:rsidRDefault="00D94D69" w:rsidP="00D94D69">
            <w:pPr>
              <w:spacing w:after="0" w:line="240" w:lineRule="auto"/>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28</w:t>
            </w:r>
          </w:p>
        </w:tc>
        <w:tc>
          <w:tcPr>
            <w:tcW w:w="1276" w:type="dxa"/>
            <w:tcBorders>
              <w:top w:val="nil"/>
              <w:left w:val="nil"/>
              <w:bottom w:val="single" w:sz="4" w:space="0" w:color="auto"/>
              <w:right w:val="single" w:sz="4" w:space="0" w:color="auto"/>
            </w:tcBorders>
            <w:shd w:val="clear" w:color="auto" w:fill="auto"/>
            <w:noWrap/>
            <w:vAlign w:val="bottom"/>
            <w:hideMark/>
          </w:tcPr>
          <w:p w14:paraId="6A34119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85,909,226</w:t>
            </w:r>
          </w:p>
        </w:tc>
        <w:tc>
          <w:tcPr>
            <w:tcW w:w="992" w:type="dxa"/>
            <w:tcBorders>
              <w:top w:val="nil"/>
              <w:left w:val="nil"/>
              <w:bottom w:val="single" w:sz="4" w:space="0" w:color="auto"/>
              <w:right w:val="single" w:sz="4" w:space="0" w:color="auto"/>
            </w:tcBorders>
            <w:shd w:val="clear" w:color="auto" w:fill="auto"/>
            <w:noWrap/>
            <w:vAlign w:val="bottom"/>
            <w:hideMark/>
          </w:tcPr>
          <w:p w14:paraId="6A94BD14"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99.81%</w:t>
            </w:r>
          </w:p>
        </w:tc>
        <w:tc>
          <w:tcPr>
            <w:tcW w:w="1276" w:type="dxa"/>
            <w:tcBorders>
              <w:top w:val="nil"/>
              <w:left w:val="nil"/>
              <w:bottom w:val="single" w:sz="4" w:space="0" w:color="auto"/>
              <w:right w:val="single" w:sz="4" w:space="0" w:color="auto"/>
            </w:tcBorders>
            <w:shd w:val="clear" w:color="auto" w:fill="auto"/>
            <w:noWrap/>
            <w:vAlign w:val="bottom"/>
            <w:hideMark/>
          </w:tcPr>
          <w:p w14:paraId="67268A92"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162,383</w:t>
            </w:r>
          </w:p>
        </w:tc>
        <w:tc>
          <w:tcPr>
            <w:tcW w:w="1132" w:type="dxa"/>
            <w:tcBorders>
              <w:top w:val="nil"/>
              <w:left w:val="nil"/>
              <w:bottom w:val="single" w:sz="4" w:space="0" w:color="auto"/>
              <w:right w:val="single" w:sz="4" w:space="0" w:color="auto"/>
            </w:tcBorders>
            <w:shd w:val="clear" w:color="auto" w:fill="auto"/>
            <w:noWrap/>
            <w:vAlign w:val="bottom"/>
            <w:hideMark/>
          </w:tcPr>
          <w:p w14:paraId="4C9EE8DE"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0.19%</w:t>
            </w:r>
          </w:p>
        </w:tc>
        <w:tc>
          <w:tcPr>
            <w:tcW w:w="1419" w:type="dxa"/>
            <w:tcBorders>
              <w:top w:val="nil"/>
              <w:left w:val="nil"/>
              <w:bottom w:val="single" w:sz="4" w:space="0" w:color="auto"/>
              <w:right w:val="single" w:sz="4" w:space="0" w:color="auto"/>
            </w:tcBorders>
            <w:shd w:val="clear" w:color="auto" w:fill="auto"/>
            <w:noWrap/>
            <w:vAlign w:val="bottom"/>
            <w:hideMark/>
          </w:tcPr>
          <w:p w14:paraId="075860B9"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86,071,609</w:t>
            </w:r>
          </w:p>
        </w:tc>
        <w:tc>
          <w:tcPr>
            <w:tcW w:w="1134" w:type="dxa"/>
            <w:tcBorders>
              <w:top w:val="nil"/>
              <w:left w:val="nil"/>
              <w:bottom w:val="single" w:sz="4" w:space="0" w:color="auto"/>
              <w:right w:val="single" w:sz="4" w:space="0" w:color="auto"/>
            </w:tcBorders>
            <w:shd w:val="clear" w:color="auto" w:fill="auto"/>
            <w:noWrap/>
            <w:vAlign w:val="bottom"/>
            <w:hideMark/>
          </w:tcPr>
          <w:p w14:paraId="6483450A" w14:textId="77777777" w:rsidR="00D94D69" w:rsidRPr="00D94D69" w:rsidRDefault="00D94D69" w:rsidP="00D94D69">
            <w:pPr>
              <w:spacing w:after="0" w:line="240" w:lineRule="auto"/>
              <w:jc w:val="right"/>
              <w:rPr>
                <w:rFonts w:ascii="Arial" w:eastAsia="Times New Roman" w:hAnsi="Arial" w:cs="Arial"/>
                <w:color w:val="000000"/>
                <w:sz w:val="20"/>
                <w:szCs w:val="20"/>
                <w:lang w:eastAsia="zh-CN"/>
              </w:rPr>
            </w:pPr>
            <w:r w:rsidRPr="00D94D69">
              <w:rPr>
                <w:rFonts w:ascii="Arial" w:eastAsia="Times New Roman" w:hAnsi="Arial" w:cs="Arial"/>
                <w:color w:val="000000"/>
                <w:sz w:val="20"/>
                <w:szCs w:val="20"/>
                <w:lang w:eastAsia="zh-CN"/>
              </w:rPr>
              <w:t>70.73%</w:t>
            </w:r>
          </w:p>
        </w:tc>
        <w:tc>
          <w:tcPr>
            <w:tcW w:w="1134" w:type="dxa"/>
            <w:tcBorders>
              <w:top w:val="nil"/>
              <w:left w:val="nil"/>
              <w:bottom w:val="single" w:sz="4" w:space="0" w:color="auto"/>
              <w:right w:val="single" w:sz="4" w:space="0" w:color="auto"/>
            </w:tcBorders>
            <w:shd w:val="clear" w:color="auto" w:fill="auto"/>
            <w:noWrap/>
            <w:vAlign w:val="bottom"/>
            <w:hideMark/>
          </w:tcPr>
          <w:p w14:paraId="1AFC7471" w14:textId="77777777" w:rsidR="00D94D69" w:rsidRPr="00D94D69" w:rsidRDefault="00D94D69" w:rsidP="00D94D69">
            <w:pPr>
              <w:spacing w:after="0" w:line="240" w:lineRule="auto"/>
              <w:jc w:val="right"/>
              <w:rPr>
                <w:rFonts w:ascii="Arial" w:eastAsia="Times New Roman" w:hAnsi="Arial" w:cs="Arial"/>
                <w:color w:val="000000"/>
                <w:sz w:val="18"/>
                <w:szCs w:val="18"/>
                <w:lang w:eastAsia="zh-CN"/>
              </w:rPr>
            </w:pPr>
            <w:r w:rsidRPr="00D94D69">
              <w:rPr>
                <w:rFonts w:ascii="Arial" w:eastAsia="Times New Roman" w:hAnsi="Arial" w:cs="Arial"/>
                <w:color w:val="000000"/>
                <w:sz w:val="18"/>
                <w:szCs w:val="18"/>
                <w:lang w:eastAsia="zh-CN"/>
              </w:rPr>
              <w:t>21,435</w:t>
            </w:r>
          </w:p>
        </w:tc>
      </w:tr>
    </w:tbl>
    <w:p w14:paraId="7F1D5B91" w14:textId="199F1F38" w:rsidR="00E56971" w:rsidRDefault="00E56971" w:rsidP="00EF0795">
      <w:pPr>
        <w:pStyle w:val="NoSpacing"/>
        <w:jc w:val="both"/>
        <w:rPr>
          <w:rFonts w:ascii="Arial" w:hAnsi="Arial" w:cs="Arial"/>
          <w:bCs/>
        </w:rPr>
      </w:pPr>
    </w:p>
    <w:p w14:paraId="4FD210C4" w14:textId="77777777" w:rsidR="00D94D69" w:rsidRDefault="00D94D69">
      <w:pPr>
        <w:rPr>
          <w:rFonts w:ascii="Arial" w:hAnsi="Arial" w:cs="Arial"/>
          <w:bCs/>
        </w:rPr>
      </w:pPr>
      <w:r>
        <w:rPr>
          <w:rFonts w:ascii="Arial" w:hAnsi="Arial" w:cs="Arial"/>
          <w:bCs/>
        </w:rPr>
        <w:br w:type="page"/>
      </w:r>
    </w:p>
    <w:p w14:paraId="43851674" w14:textId="087D73D9" w:rsidR="00684BE5" w:rsidRPr="00AD143A" w:rsidRDefault="00CC365C" w:rsidP="00EF0795">
      <w:pPr>
        <w:pStyle w:val="NoSpacing"/>
        <w:jc w:val="both"/>
        <w:rPr>
          <w:rFonts w:ascii="Arial" w:hAnsi="Arial" w:cs="Arial"/>
          <w:bCs/>
        </w:rPr>
      </w:pPr>
      <w:r w:rsidRPr="00AD143A">
        <w:rPr>
          <w:rFonts w:ascii="Arial" w:hAnsi="Arial" w:cs="Arial"/>
          <w:bCs/>
        </w:rPr>
        <w:lastRenderedPageBreak/>
        <w:t>Notes:</w:t>
      </w:r>
    </w:p>
    <w:p w14:paraId="3D146D9A" w14:textId="77777777" w:rsidR="00CC365C" w:rsidRPr="00AD143A" w:rsidRDefault="00CC365C" w:rsidP="00C96660">
      <w:pPr>
        <w:pStyle w:val="NoSpacing"/>
        <w:jc w:val="both"/>
        <w:rPr>
          <w:rFonts w:ascii="Arial" w:hAnsi="Arial" w:cs="Arial"/>
          <w:bCs/>
        </w:rPr>
      </w:pPr>
    </w:p>
    <w:p w14:paraId="446A12A7" w14:textId="77777777" w:rsidR="00C96660" w:rsidRPr="00AD143A" w:rsidRDefault="00C96660" w:rsidP="00C96660">
      <w:pPr>
        <w:pStyle w:val="NoSpacing"/>
        <w:jc w:val="both"/>
        <w:rPr>
          <w:rFonts w:ascii="Arial" w:hAnsi="Arial" w:cs="Arial"/>
          <w:bCs/>
        </w:rPr>
      </w:pPr>
      <w:r w:rsidRPr="00AD143A">
        <w:rPr>
          <w:rFonts w:ascii="Arial" w:hAnsi="Arial" w:cs="Arial"/>
          <w:bCs/>
        </w:rPr>
        <w:t>*Special resolution</w:t>
      </w:r>
    </w:p>
    <w:p w14:paraId="4ED3BF9B" w14:textId="08DF1A4D" w:rsidR="009258A2" w:rsidRDefault="009258A2" w:rsidP="009258A2">
      <w:pPr>
        <w:pStyle w:val="NoSpacing"/>
        <w:jc w:val="both"/>
        <w:rPr>
          <w:rFonts w:ascii="Arial" w:hAnsi="Arial" w:cs="Arial"/>
          <w:bCs/>
        </w:rPr>
      </w:pPr>
    </w:p>
    <w:p w14:paraId="345A60D8" w14:textId="5DC995C4" w:rsidR="00C96660" w:rsidRPr="00AD143A" w:rsidRDefault="00D94D69" w:rsidP="009258A2">
      <w:pPr>
        <w:pStyle w:val="NoSpacing"/>
        <w:jc w:val="both"/>
        <w:rPr>
          <w:rFonts w:ascii="Arial" w:hAnsi="Arial" w:cs="Arial"/>
          <w:bCs/>
        </w:rPr>
      </w:pPr>
      <w:r>
        <w:rPr>
          <w:rFonts w:ascii="Arial" w:hAnsi="Arial" w:cs="Arial"/>
          <w:bCs/>
        </w:rPr>
        <w:t>1</w:t>
      </w:r>
      <w:r w:rsidR="009258A2">
        <w:rPr>
          <w:rFonts w:ascii="Arial" w:hAnsi="Arial" w:cs="Arial"/>
          <w:bCs/>
        </w:rPr>
        <w:t>.</w:t>
      </w:r>
      <w:r w:rsidR="009258A2">
        <w:rPr>
          <w:rFonts w:ascii="Arial" w:hAnsi="Arial" w:cs="Arial"/>
          <w:bCs/>
        </w:rPr>
        <w:tab/>
      </w:r>
      <w:r w:rsidR="00C96660" w:rsidRPr="00AD143A">
        <w:rPr>
          <w:rFonts w:ascii="Arial" w:hAnsi="Arial" w:cs="Arial"/>
          <w:bCs/>
        </w:rPr>
        <w:t xml:space="preserve">The votes "for" include those </w:t>
      </w:r>
      <w:r w:rsidR="003732A8">
        <w:rPr>
          <w:rFonts w:ascii="Arial" w:hAnsi="Arial" w:cs="Arial"/>
          <w:bCs/>
        </w:rPr>
        <w:t>votes giving discretion to</w:t>
      </w:r>
      <w:r w:rsidR="00C96660" w:rsidRPr="00AD143A">
        <w:rPr>
          <w:rFonts w:ascii="Arial" w:hAnsi="Arial" w:cs="Arial"/>
          <w:bCs/>
        </w:rPr>
        <w:t xml:space="preserve"> the Chairman. </w:t>
      </w:r>
    </w:p>
    <w:p w14:paraId="0E63E9C1" w14:textId="77777777" w:rsidR="00CC365C" w:rsidRPr="00AD143A" w:rsidRDefault="00CC365C" w:rsidP="00C96660">
      <w:pPr>
        <w:pStyle w:val="NoSpacing"/>
        <w:jc w:val="both"/>
        <w:rPr>
          <w:rFonts w:ascii="Arial" w:hAnsi="Arial" w:cs="Arial"/>
          <w:bCs/>
        </w:rPr>
      </w:pPr>
    </w:p>
    <w:p w14:paraId="54E6C710" w14:textId="481F0ACC" w:rsidR="005E47FE" w:rsidRPr="00AD143A" w:rsidRDefault="00D94D69" w:rsidP="00AD143A">
      <w:pPr>
        <w:pStyle w:val="NoSpacing"/>
        <w:ind w:left="720" w:hanging="720"/>
        <w:jc w:val="both"/>
        <w:rPr>
          <w:rFonts w:ascii="Arial" w:hAnsi="Arial" w:cs="Arial"/>
          <w:bCs/>
        </w:rPr>
      </w:pPr>
      <w:r>
        <w:rPr>
          <w:rFonts w:ascii="Arial" w:hAnsi="Arial" w:cs="Arial"/>
          <w:bCs/>
        </w:rPr>
        <w:t>2</w:t>
      </w:r>
      <w:r w:rsidR="00CC365C" w:rsidRPr="00AD143A">
        <w:rPr>
          <w:rFonts w:ascii="Arial" w:hAnsi="Arial" w:cs="Arial"/>
          <w:bCs/>
        </w:rPr>
        <w:t>.</w:t>
      </w:r>
      <w:r w:rsidR="009258A2">
        <w:rPr>
          <w:rFonts w:ascii="Arial" w:hAnsi="Arial" w:cs="Arial"/>
          <w:bCs/>
        </w:rPr>
        <w:tab/>
      </w:r>
      <w:r w:rsidR="00C96660" w:rsidRPr="00AD143A">
        <w:rPr>
          <w:rFonts w:ascii="Arial" w:hAnsi="Arial" w:cs="Arial"/>
          <w:bCs/>
        </w:rPr>
        <w:t>A vote withheld is not a vote in law and is not counted in the calculation of the votes for or against a resolution.</w:t>
      </w:r>
    </w:p>
    <w:p w14:paraId="7407BE02" w14:textId="77777777" w:rsidR="00CC365C" w:rsidRPr="00AD143A" w:rsidRDefault="00CC365C" w:rsidP="00C96660">
      <w:pPr>
        <w:pStyle w:val="NoSpacing"/>
        <w:jc w:val="both"/>
        <w:rPr>
          <w:rFonts w:ascii="Arial" w:hAnsi="Arial" w:cs="Arial"/>
          <w:bCs/>
        </w:rPr>
      </w:pPr>
    </w:p>
    <w:p w14:paraId="273CEA61" w14:textId="65FFA46F" w:rsidR="00CC365C" w:rsidRPr="00AD143A" w:rsidRDefault="00D94D69" w:rsidP="00AD143A">
      <w:pPr>
        <w:pStyle w:val="NoSpacing"/>
        <w:ind w:left="720" w:hanging="720"/>
        <w:jc w:val="both"/>
        <w:rPr>
          <w:rFonts w:ascii="Arial" w:hAnsi="Arial" w:cs="Arial"/>
          <w:bCs/>
        </w:rPr>
      </w:pPr>
      <w:r>
        <w:rPr>
          <w:rFonts w:ascii="Arial" w:hAnsi="Arial" w:cs="Arial"/>
          <w:bCs/>
        </w:rPr>
        <w:t>3</w:t>
      </w:r>
      <w:r w:rsidR="00CC365C" w:rsidRPr="00AD143A">
        <w:rPr>
          <w:rFonts w:ascii="Arial" w:hAnsi="Arial" w:cs="Arial"/>
          <w:bCs/>
        </w:rPr>
        <w:t>.</w:t>
      </w:r>
      <w:r w:rsidR="009258A2">
        <w:rPr>
          <w:rFonts w:ascii="Arial" w:hAnsi="Arial" w:cs="Arial"/>
          <w:bCs/>
        </w:rPr>
        <w:tab/>
      </w:r>
      <w:r w:rsidR="006542FB" w:rsidRPr="006542FB">
        <w:rPr>
          <w:rFonts w:ascii="Arial" w:hAnsi="Arial" w:cs="Arial"/>
          <w:bCs/>
        </w:rPr>
        <w:t xml:space="preserve">The number of Existing Ordinary Shares in issue is 121,696,046 (excluding shares held in Treasury).   </w:t>
      </w:r>
    </w:p>
    <w:p w14:paraId="0551EB15" w14:textId="77777777" w:rsidR="00CC365C" w:rsidRPr="00AD143A" w:rsidRDefault="00CC365C" w:rsidP="00C96660">
      <w:pPr>
        <w:pStyle w:val="NoSpacing"/>
        <w:jc w:val="both"/>
        <w:rPr>
          <w:rFonts w:ascii="Arial" w:hAnsi="Arial" w:cs="Arial"/>
          <w:bCs/>
        </w:rPr>
      </w:pPr>
    </w:p>
    <w:p w14:paraId="13D747C3" w14:textId="7D5A3EEB" w:rsidR="00CC365C" w:rsidRPr="00AD143A" w:rsidRDefault="009258A2" w:rsidP="00AD143A">
      <w:pPr>
        <w:pStyle w:val="NoSpacing"/>
        <w:ind w:left="720" w:hanging="720"/>
        <w:jc w:val="both"/>
        <w:rPr>
          <w:rFonts w:ascii="Arial" w:hAnsi="Arial" w:cs="Arial"/>
          <w:bCs/>
        </w:rPr>
      </w:pPr>
      <w:r>
        <w:rPr>
          <w:rFonts w:ascii="Arial" w:hAnsi="Arial" w:cs="Arial"/>
          <w:bCs/>
        </w:rPr>
        <w:t>5</w:t>
      </w:r>
      <w:r w:rsidR="00CC365C" w:rsidRPr="00AD143A">
        <w:rPr>
          <w:rFonts w:ascii="Arial" w:hAnsi="Arial" w:cs="Arial"/>
          <w:bCs/>
        </w:rPr>
        <w:t>.</w:t>
      </w:r>
      <w:r>
        <w:rPr>
          <w:rFonts w:ascii="Arial" w:hAnsi="Arial" w:cs="Arial"/>
          <w:bCs/>
        </w:rPr>
        <w:tab/>
      </w:r>
      <w:r w:rsidR="00CC365C" w:rsidRPr="00AD143A">
        <w:rPr>
          <w:rFonts w:ascii="Arial" w:hAnsi="Arial" w:cs="Arial"/>
          <w:bCs/>
        </w:rPr>
        <w:t>Copies of the resolutions passed will shortly be available for inspection on the National Storage Mechanism at:</w:t>
      </w:r>
      <w:r w:rsidR="001351EA" w:rsidRPr="00AD143A">
        <w:rPr>
          <w:rFonts w:ascii="Arial" w:hAnsi="Arial" w:cs="Arial"/>
          <w:bCs/>
        </w:rPr>
        <w:t xml:space="preserve"> </w:t>
      </w:r>
      <w:hyperlink r:id="rId8" w:anchor="/nsm/nationalstoragemechanism" w:history="1">
        <w:r w:rsidR="001351EA" w:rsidRPr="00AD143A">
          <w:rPr>
            <w:rStyle w:val="Hyperlink"/>
            <w:rFonts w:ascii="Arial" w:hAnsi="Arial" w:cs="Arial"/>
            <w:bCs/>
          </w:rPr>
          <w:t>https://data.fca.org.uk/#/nsm/nationalstoragemechanism</w:t>
        </w:r>
      </w:hyperlink>
      <w:r w:rsidR="00CC365C" w:rsidRPr="00AD143A">
        <w:rPr>
          <w:rFonts w:ascii="Arial" w:hAnsi="Arial" w:cs="Arial"/>
          <w:bCs/>
        </w:rPr>
        <w:t xml:space="preserve">.  The full text of the resolutions can be found in the 2021 AGM Notice which can be located in the Investor Information section of the Company's website </w:t>
      </w:r>
      <w:r>
        <w:rPr>
          <w:rFonts w:ascii="Arial" w:hAnsi="Arial" w:cs="Arial"/>
          <w:bCs/>
        </w:rPr>
        <w:t xml:space="preserve">at the following location: </w:t>
      </w:r>
      <w:hyperlink r:id="rId9" w:history="1">
        <w:r w:rsidR="00CC365C" w:rsidRPr="00AD143A">
          <w:rPr>
            <w:rStyle w:val="Hyperlink"/>
            <w:rFonts w:ascii="Arial" w:hAnsi="Arial" w:cs="Arial"/>
            <w:bCs/>
          </w:rPr>
          <w:t>www.berkeleygroup.co.uk</w:t>
        </w:r>
      </w:hyperlink>
      <w:r>
        <w:rPr>
          <w:rStyle w:val="Hyperlink"/>
          <w:rFonts w:ascii="Arial" w:hAnsi="Arial" w:cs="Arial"/>
          <w:bCs/>
        </w:rPr>
        <w:t>/investor-information</w:t>
      </w:r>
      <w:r w:rsidR="00CC365C" w:rsidRPr="00AD143A">
        <w:rPr>
          <w:rFonts w:ascii="Arial" w:hAnsi="Arial" w:cs="Arial"/>
          <w:bCs/>
        </w:rPr>
        <w:t>.</w:t>
      </w:r>
    </w:p>
    <w:p w14:paraId="34A30291" w14:textId="77777777" w:rsidR="00CC365C" w:rsidRPr="00AD143A" w:rsidRDefault="00CC365C">
      <w:pPr>
        <w:pStyle w:val="NoSpacing"/>
        <w:jc w:val="both"/>
        <w:rPr>
          <w:rFonts w:ascii="Arial" w:hAnsi="Arial" w:cs="Arial"/>
          <w:bCs/>
        </w:rPr>
      </w:pPr>
    </w:p>
    <w:p w14:paraId="72D19EF5" w14:textId="4CF07F39" w:rsidR="00684BE5" w:rsidRPr="00AD143A" w:rsidRDefault="00AA00ED" w:rsidP="00684BE5">
      <w:pPr>
        <w:pStyle w:val="NoSpacing"/>
        <w:jc w:val="both"/>
        <w:rPr>
          <w:rFonts w:ascii="Arial" w:hAnsi="Arial" w:cs="Arial"/>
          <w:b/>
          <w:bCs/>
        </w:rPr>
      </w:pPr>
      <w:r w:rsidRPr="00AD143A">
        <w:rPr>
          <w:rFonts w:ascii="Arial" w:hAnsi="Arial" w:cs="Arial"/>
          <w:b/>
          <w:bCs/>
        </w:rPr>
        <w:t>Return of Cash</w:t>
      </w:r>
    </w:p>
    <w:p w14:paraId="27F0C759" w14:textId="77777777" w:rsidR="00684BE5" w:rsidRPr="00AD143A" w:rsidRDefault="00684BE5" w:rsidP="00684BE5">
      <w:pPr>
        <w:pStyle w:val="NoSpacing"/>
        <w:jc w:val="both"/>
        <w:rPr>
          <w:rFonts w:ascii="Arial" w:hAnsi="Arial" w:cs="Arial"/>
          <w:bCs/>
        </w:rPr>
      </w:pPr>
    </w:p>
    <w:p w14:paraId="4F1A7E5E" w14:textId="6039A2AA" w:rsidR="00684BE5" w:rsidRPr="00AD143A" w:rsidRDefault="00684BE5">
      <w:pPr>
        <w:pStyle w:val="NoSpacing"/>
        <w:jc w:val="both"/>
        <w:rPr>
          <w:rFonts w:ascii="Arial" w:hAnsi="Arial" w:cs="Arial"/>
          <w:bCs/>
        </w:rPr>
      </w:pPr>
      <w:r w:rsidRPr="00AD143A">
        <w:rPr>
          <w:rFonts w:ascii="Arial" w:hAnsi="Arial" w:cs="Arial"/>
          <w:bCs/>
        </w:rPr>
        <w:t xml:space="preserve">Further to </w:t>
      </w:r>
      <w:r w:rsidR="005E47FE" w:rsidRPr="00AD143A">
        <w:rPr>
          <w:rFonts w:ascii="Arial" w:hAnsi="Arial" w:cs="Arial"/>
          <w:bCs/>
        </w:rPr>
        <w:t xml:space="preserve">the </w:t>
      </w:r>
      <w:r w:rsidR="006B052B" w:rsidRPr="00AD143A">
        <w:rPr>
          <w:rFonts w:ascii="Arial" w:hAnsi="Arial" w:cs="Arial"/>
          <w:bCs/>
        </w:rPr>
        <w:t xml:space="preserve">2021 </w:t>
      </w:r>
      <w:r w:rsidR="000C586C" w:rsidRPr="00AD143A">
        <w:rPr>
          <w:rFonts w:ascii="Arial" w:hAnsi="Arial" w:cs="Arial"/>
          <w:bCs/>
        </w:rPr>
        <w:t>AGM Notice</w:t>
      </w:r>
      <w:r w:rsidRPr="00AD143A">
        <w:rPr>
          <w:rFonts w:ascii="Arial" w:hAnsi="Arial" w:cs="Arial"/>
          <w:bCs/>
        </w:rPr>
        <w:t xml:space="preserve">, </w:t>
      </w:r>
      <w:r w:rsidR="005E47FE" w:rsidRPr="00AD143A">
        <w:rPr>
          <w:rFonts w:ascii="Arial" w:hAnsi="Arial" w:cs="Arial"/>
          <w:bCs/>
        </w:rPr>
        <w:t>and the</w:t>
      </w:r>
      <w:r w:rsidR="000C586C" w:rsidRPr="00AD143A">
        <w:rPr>
          <w:rFonts w:ascii="Arial" w:hAnsi="Arial" w:cs="Arial"/>
          <w:bCs/>
        </w:rPr>
        <w:t xml:space="preserve"> 2021</w:t>
      </w:r>
      <w:r w:rsidRPr="00AD143A">
        <w:rPr>
          <w:rFonts w:ascii="Arial" w:hAnsi="Arial" w:cs="Arial"/>
          <w:bCs/>
        </w:rPr>
        <w:t xml:space="preserve"> </w:t>
      </w:r>
      <w:r w:rsidR="000C586C" w:rsidRPr="00AD143A">
        <w:rPr>
          <w:rFonts w:ascii="Arial" w:hAnsi="Arial" w:cs="Arial"/>
          <w:bCs/>
        </w:rPr>
        <w:t>AGM</w:t>
      </w:r>
      <w:r w:rsidRPr="00AD143A">
        <w:rPr>
          <w:rFonts w:ascii="Arial" w:hAnsi="Arial" w:cs="Arial"/>
          <w:bCs/>
        </w:rPr>
        <w:t xml:space="preserve"> held today</w:t>
      </w:r>
      <w:r w:rsidR="005E47FE" w:rsidRPr="00AD143A">
        <w:rPr>
          <w:rFonts w:ascii="Arial" w:hAnsi="Arial" w:cs="Arial"/>
          <w:bCs/>
        </w:rPr>
        <w:t>,</w:t>
      </w:r>
      <w:r w:rsidRPr="00AD143A">
        <w:rPr>
          <w:rFonts w:ascii="Arial" w:hAnsi="Arial" w:cs="Arial"/>
          <w:bCs/>
        </w:rPr>
        <w:t xml:space="preserve"> </w:t>
      </w:r>
      <w:r w:rsidR="005E47FE" w:rsidRPr="00AD143A">
        <w:rPr>
          <w:rFonts w:ascii="Arial" w:hAnsi="Arial" w:cs="Arial"/>
          <w:bCs/>
        </w:rPr>
        <w:t>r</w:t>
      </w:r>
      <w:r w:rsidRPr="00AD143A">
        <w:rPr>
          <w:rFonts w:ascii="Arial" w:hAnsi="Arial" w:cs="Arial"/>
          <w:bCs/>
        </w:rPr>
        <w:t>esolutions 2</w:t>
      </w:r>
      <w:r w:rsidR="00AD143A">
        <w:rPr>
          <w:rFonts w:ascii="Arial" w:hAnsi="Arial" w:cs="Arial"/>
          <w:bCs/>
        </w:rPr>
        <w:t>6, 27</w:t>
      </w:r>
      <w:r w:rsidRPr="00AD143A">
        <w:rPr>
          <w:rFonts w:ascii="Arial" w:hAnsi="Arial" w:cs="Arial"/>
          <w:bCs/>
        </w:rPr>
        <w:t xml:space="preserve"> and 2</w:t>
      </w:r>
      <w:r w:rsidR="00AD143A">
        <w:rPr>
          <w:rFonts w:ascii="Arial" w:hAnsi="Arial" w:cs="Arial"/>
          <w:bCs/>
        </w:rPr>
        <w:t>8</w:t>
      </w:r>
      <w:r w:rsidRPr="00AD143A">
        <w:rPr>
          <w:rFonts w:ascii="Arial" w:hAnsi="Arial" w:cs="Arial"/>
          <w:bCs/>
        </w:rPr>
        <w:t xml:space="preserve"> were passed by the requisite majority on a poll.</w:t>
      </w:r>
    </w:p>
    <w:p w14:paraId="466EC6C5" w14:textId="77777777" w:rsidR="00684BE5" w:rsidRPr="00AD143A" w:rsidRDefault="00684BE5" w:rsidP="00684BE5">
      <w:pPr>
        <w:pStyle w:val="NoSpacing"/>
        <w:jc w:val="both"/>
        <w:rPr>
          <w:rFonts w:ascii="Arial" w:hAnsi="Arial" w:cs="Arial"/>
          <w:bCs/>
        </w:rPr>
      </w:pPr>
    </w:p>
    <w:p w14:paraId="6C5CEA77" w14:textId="1DAACA83" w:rsidR="00182239" w:rsidRPr="00AD143A" w:rsidRDefault="00684BE5" w:rsidP="00684BE5">
      <w:pPr>
        <w:pStyle w:val="NoSpacing"/>
        <w:jc w:val="both"/>
        <w:rPr>
          <w:rFonts w:ascii="Arial" w:hAnsi="Arial" w:cs="Arial"/>
          <w:bCs/>
        </w:rPr>
      </w:pPr>
      <w:r w:rsidRPr="00AD143A">
        <w:rPr>
          <w:rFonts w:ascii="Arial" w:hAnsi="Arial" w:cs="Arial"/>
          <w:bCs/>
        </w:rPr>
        <w:t xml:space="preserve">Accordingly, Berkeley announces that the B Shares will be issued on </w:t>
      </w:r>
      <w:r w:rsidR="005E47FE" w:rsidRPr="00AD143A">
        <w:rPr>
          <w:rFonts w:ascii="Arial" w:hAnsi="Arial" w:cs="Arial"/>
          <w:bCs/>
        </w:rPr>
        <w:t>6 September 2021</w:t>
      </w:r>
      <w:r w:rsidR="00AA00ED" w:rsidRPr="00AD143A">
        <w:rPr>
          <w:rFonts w:ascii="Arial" w:hAnsi="Arial" w:cs="Arial"/>
          <w:bCs/>
        </w:rPr>
        <w:t xml:space="preserve"> in accordance with the B Share Scheme, as detailed in the shareholder circular at Appendix 2 of the </w:t>
      </w:r>
      <w:r w:rsidR="000C586C" w:rsidRPr="00AD143A">
        <w:rPr>
          <w:rFonts w:ascii="Arial" w:hAnsi="Arial" w:cs="Arial"/>
          <w:bCs/>
        </w:rPr>
        <w:t>2021 AGM</w:t>
      </w:r>
      <w:r w:rsidR="00AA00ED" w:rsidRPr="00AD143A">
        <w:rPr>
          <w:rFonts w:ascii="Arial" w:hAnsi="Arial" w:cs="Arial"/>
          <w:bCs/>
        </w:rPr>
        <w:t xml:space="preserve"> Notice</w:t>
      </w:r>
      <w:r w:rsidR="00182239" w:rsidRPr="00AD143A">
        <w:rPr>
          <w:rFonts w:ascii="Arial" w:hAnsi="Arial" w:cs="Arial"/>
          <w:bCs/>
        </w:rPr>
        <w:t xml:space="preserve"> (the "</w:t>
      </w:r>
      <w:r w:rsidR="00182239" w:rsidRPr="00AD143A">
        <w:rPr>
          <w:rFonts w:ascii="Arial" w:hAnsi="Arial" w:cs="Arial"/>
          <w:b/>
          <w:bCs/>
        </w:rPr>
        <w:t>Circular</w:t>
      </w:r>
      <w:r w:rsidR="00182239" w:rsidRPr="00AD143A">
        <w:rPr>
          <w:rFonts w:ascii="Arial" w:hAnsi="Arial" w:cs="Arial"/>
          <w:bCs/>
        </w:rPr>
        <w:t>")</w:t>
      </w:r>
      <w:r w:rsidRPr="00AD143A">
        <w:rPr>
          <w:rFonts w:ascii="Arial" w:hAnsi="Arial" w:cs="Arial"/>
          <w:bCs/>
        </w:rPr>
        <w:t xml:space="preserve">. The record time for entitlement to the B Shares is 6.00 pm today, </w:t>
      </w:r>
      <w:r w:rsidR="005E47FE" w:rsidRPr="00AD143A">
        <w:rPr>
          <w:rFonts w:ascii="Arial" w:hAnsi="Arial" w:cs="Arial"/>
          <w:bCs/>
        </w:rPr>
        <w:t>3 September 2021</w:t>
      </w:r>
      <w:r w:rsidRPr="00AD143A">
        <w:rPr>
          <w:rFonts w:ascii="Arial" w:hAnsi="Arial" w:cs="Arial"/>
          <w:bCs/>
        </w:rPr>
        <w:t xml:space="preserve">. </w:t>
      </w:r>
    </w:p>
    <w:p w14:paraId="02731274" w14:textId="77777777" w:rsidR="00182239" w:rsidRPr="00AD143A" w:rsidRDefault="00182239" w:rsidP="00684BE5">
      <w:pPr>
        <w:pStyle w:val="NoSpacing"/>
        <w:jc w:val="both"/>
        <w:rPr>
          <w:rFonts w:ascii="Arial" w:hAnsi="Arial" w:cs="Arial"/>
          <w:bCs/>
        </w:rPr>
      </w:pPr>
    </w:p>
    <w:p w14:paraId="22CC5F9D" w14:textId="3C27BB30" w:rsidR="00684BE5" w:rsidRPr="00AD143A" w:rsidRDefault="00684BE5" w:rsidP="00684BE5">
      <w:pPr>
        <w:pStyle w:val="NoSpacing"/>
        <w:jc w:val="both"/>
        <w:rPr>
          <w:rFonts w:ascii="Arial" w:hAnsi="Arial" w:cs="Arial"/>
          <w:bCs/>
        </w:rPr>
      </w:pPr>
      <w:r w:rsidRPr="00AD143A">
        <w:rPr>
          <w:rFonts w:ascii="Arial" w:hAnsi="Arial" w:cs="Arial"/>
          <w:bCs/>
        </w:rPr>
        <w:t xml:space="preserve">A further announcement will be made on </w:t>
      </w:r>
      <w:r w:rsidR="005E47FE" w:rsidRPr="00AD143A">
        <w:rPr>
          <w:rFonts w:ascii="Arial" w:hAnsi="Arial" w:cs="Arial"/>
          <w:bCs/>
        </w:rPr>
        <w:t xml:space="preserve">6 September </w:t>
      </w:r>
      <w:r w:rsidRPr="00AD143A">
        <w:rPr>
          <w:rFonts w:ascii="Arial" w:hAnsi="Arial" w:cs="Arial"/>
          <w:bCs/>
        </w:rPr>
        <w:t>202</w:t>
      </w:r>
      <w:r w:rsidR="005E47FE" w:rsidRPr="00AD143A">
        <w:rPr>
          <w:rFonts w:ascii="Arial" w:hAnsi="Arial" w:cs="Arial"/>
          <w:bCs/>
        </w:rPr>
        <w:t>1</w:t>
      </w:r>
      <w:r w:rsidRPr="00AD143A">
        <w:rPr>
          <w:rFonts w:ascii="Arial" w:hAnsi="Arial" w:cs="Arial"/>
          <w:bCs/>
        </w:rPr>
        <w:t xml:space="preserve"> regarding the issue of the B Shares.</w:t>
      </w:r>
    </w:p>
    <w:p w14:paraId="6EF88530" w14:textId="77777777" w:rsidR="00684BE5" w:rsidRPr="00AD143A" w:rsidRDefault="00684BE5" w:rsidP="00EF0795">
      <w:pPr>
        <w:pStyle w:val="NoSpacing"/>
        <w:jc w:val="both"/>
        <w:rPr>
          <w:rFonts w:ascii="Arial" w:hAnsi="Arial" w:cs="Arial"/>
          <w:bCs/>
        </w:rPr>
      </w:pPr>
    </w:p>
    <w:p w14:paraId="1C767291" w14:textId="77777777" w:rsidR="007E2AA8" w:rsidRPr="00AD143A" w:rsidRDefault="007E2AA8" w:rsidP="007E2AA8">
      <w:pPr>
        <w:pStyle w:val="NoSpacing"/>
        <w:jc w:val="both"/>
        <w:rPr>
          <w:rFonts w:ascii="Arial" w:hAnsi="Arial" w:cs="Arial"/>
          <w:b/>
          <w:bCs/>
        </w:rPr>
      </w:pPr>
      <w:r w:rsidRPr="00AD143A">
        <w:rPr>
          <w:rFonts w:ascii="Arial" w:hAnsi="Arial" w:cs="Arial"/>
          <w:b/>
          <w:bCs/>
        </w:rPr>
        <w:t>Share Consolidation</w:t>
      </w:r>
    </w:p>
    <w:p w14:paraId="7F05768C" w14:textId="77777777" w:rsidR="00E56971" w:rsidRPr="00AD143A" w:rsidRDefault="00E56971" w:rsidP="007E2AA8">
      <w:pPr>
        <w:pStyle w:val="NoSpacing"/>
        <w:jc w:val="both"/>
        <w:rPr>
          <w:rFonts w:ascii="Arial" w:hAnsi="Arial" w:cs="Arial"/>
          <w:b/>
          <w:bCs/>
        </w:rPr>
      </w:pPr>
    </w:p>
    <w:p w14:paraId="646A1501" w14:textId="230C3D67" w:rsidR="00E56971" w:rsidRPr="00AD143A" w:rsidRDefault="007E2AA8">
      <w:pPr>
        <w:pStyle w:val="NoSpacing"/>
        <w:jc w:val="both"/>
        <w:rPr>
          <w:rFonts w:ascii="Arial" w:hAnsi="Arial" w:cs="Arial"/>
          <w:bCs/>
        </w:rPr>
      </w:pPr>
      <w:r w:rsidRPr="00AD143A">
        <w:rPr>
          <w:rFonts w:ascii="Arial" w:hAnsi="Arial" w:cs="Arial"/>
          <w:bCs/>
        </w:rPr>
        <w:t xml:space="preserve">The Share Consolidation </w:t>
      </w:r>
      <w:r w:rsidR="00AA00ED" w:rsidRPr="00AD143A">
        <w:rPr>
          <w:rFonts w:ascii="Arial" w:hAnsi="Arial" w:cs="Arial"/>
          <w:bCs/>
        </w:rPr>
        <w:t>in relation to the B Share Scheme</w:t>
      </w:r>
      <w:r w:rsidR="00182239" w:rsidRPr="00AD143A">
        <w:rPr>
          <w:rFonts w:ascii="Arial" w:hAnsi="Arial" w:cs="Arial"/>
          <w:bCs/>
        </w:rPr>
        <w:t>, as explained in the Circular,</w:t>
      </w:r>
      <w:r w:rsidR="00AA00ED" w:rsidRPr="00AD143A">
        <w:rPr>
          <w:rFonts w:ascii="Arial" w:hAnsi="Arial" w:cs="Arial"/>
          <w:bCs/>
        </w:rPr>
        <w:t xml:space="preserve"> </w:t>
      </w:r>
      <w:r w:rsidRPr="00AD143A">
        <w:rPr>
          <w:rFonts w:ascii="Arial" w:hAnsi="Arial" w:cs="Arial"/>
          <w:bCs/>
        </w:rPr>
        <w:t xml:space="preserve">will replace every </w:t>
      </w:r>
      <w:r w:rsidR="000D10A8" w:rsidRPr="00AD143A">
        <w:rPr>
          <w:rFonts w:ascii="Arial" w:hAnsi="Arial" w:cs="Arial"/>
          <w:bCs/>
        </w:rPr>
        <w:t>100</w:t>
      </w:r>
      <w:r w:rsidRPr="00AD143A">
        <w:rPr>
          <w:rFonts w:ascii="Arial" w:hAnsi="Arial" w:cs="Arial"/>
          <w:bCs/>
        </w:rPr>
        <w:t xml:space="preserve"> Existing Ordinary Shares with </w:t>
      </w:r>
      <w:r w:rsidR="00401AB7">
        <w:rPr>
          <w:rFonts w:ascii="Arial" w:hAnsi="Arial" w:cs="Arial"/>
          <w:bCs/>
        </w:rPr>
        <w:t>92.35</w:t>
      </w:r>
      <w:r w:rsidR="000D10A8" w:rsidRPr="00AD143A">
        <w:rPr>
          <w:rFonts w:ascii="Arial" w:hAnsi="Arial" w:cs="Arial"/>
          <w:bCs/>
        </w:rPr>
        <w:t xml:space="preserve"> </w:t>
      </w:r>
      <w:r w:rsidRPr="00AD143A">
        <w:rPr>
          <w:rFonts w:ascii="Arial" w:hAnsi="Arial" w:cs="Arial"/>
          <w:bCs/>
        </w:rPr>
        <w:t>New Ordinary Shares. Applications have been made to the FCA to amend the</w:t>
      </w:r>
      <w:r w:rsidR="00E56971" w:rsidRPr="00AD143A">
        <w:rPr>
          <w:rFonts w:ascii="Arial" w:hAnsi="Arial" w:cs="Arial"/>
          <w:bCs/>
        </w:rPr>
        <w:t xml:space="preserve"> </w:t>
      </w:r>
      <w:r w:rsidRPr="00AD143A">
        <w:rPr>
          <w:rFonts w:ascii="Arial" w:hAnsi="Arial" w:cs="Arial"/>
          <w:bCs/>
        </w:rPr>
        <w:t>Official List and to the LSE for an amendment to trading to reflect the Share</w:t>
      </w:r>
      <w:r w:rsidR="00E56971" w:rsidRPr="00AD143A">
        <w:rPr>
          <w:rFonts w:ascii="Arial" w:hAnsi="Arial" w:cs="Arial"/>
          <w:bCs/>
        </w:rPr>
        <w:t xml:space="preserve"> </w:t>
      </w:r>
      <w:r w:rsidRPr="00AD143A">
        <w:rPr>
          <w:rFonts w:ascii="Arial" w:hAnsi="Arial" w:cs="Arial"/>
          <w:bCs/>
        </w:rPr>
        <w:t>Consolidation. It is expected that the New Ordinary Shares will commence</w:t>
      </w:r>
      <w:r w:rsidR="00E56971" w:rsidRPr="00AD143A">
        <w:rPr>
          <w:rFonts w:ascii="Arial" w:hAnsi="Arial" w:cs="Arial"/>
          <w:bCs/>
        </w:rPr>
        <w:t xml:space="preserve"> </w:t>
      </w:r>
      <w:r w:rsidRPr="00AD143A">
        <w:rPr>
          <w:rFonts w:ascii="Arial" w:hAnsi="Arial" w:cs="Arial"/>
          <w:bCs/>
        </w:rPr>
        <w:t xml:space="preserve">trading on the LSE at 8.00 a.m. on </w:t>
      </w:r>
      <w:r w:rsidR="005E47FE" w:rsidRPr="00AD143A">
        <w:rPr>
          <w:rFonts w:ascii="Arial" w:hAnsi="Arial" w:cs="Arial"/>
          <w:bCs/>
        </w:rPr>
        <w:t>Monday 6 September</w:t>
      </w:r>
      <w:r w:rsidR="000565F7" w:rsidRPr="00AD143A">
        <w:rPr>
          <w:rFonts w:ascii="Arial" w:hAnsi="Arial" w:cs="Arial"/>
          <w:bCs/>
        </w:rPr>
        <w:t xml:space="preserve"> 202</w:t>
      </w:r>
      <w:r w:rsidR="005E47FE" w:rsidRPr="00AD143A">
        <w:rPr>
          <w:rFonts w:ascii="Arial" w:hAnsi="Arial" w:cs="Arial"/>
          <w:bCs/>
        </w:rPr>
        <w:t>1</w:t>
      </w:r>
      <w:r w:rsidRPr="00AD143A">
        <w:rPr>
          <w:rFonts w:ascii="Arial" w:hAnsi="Arial" w:cs="Arial"/>
          <w:bCs/>
        </w:rPr>
        <w:t>. The New Ordinary</w:t>
      </w:r>
      <w:r w:rsidR="00E56971" w:rsidRPr="00AD143A">
        <w:rPr>
          <w:rFonts w:ascii="Arial" w:hAnsi="Arial" w:cs="Arial"/>
          <w:bCs/>
        </w:rPr>
        <w:t xml:space="preserve"> </w:t>
      </w:r>
      <w:r w:rsidRPr="00AD143A">
        <w:rPr>
          <w:rFonts w:ascii="Arial" w:hAnsi="Arial" w:cs="Arial"/>
          <w:bCs/>
        </w:rPr>
        <w:t xml:space="preserve">Shares will have an ISIN of </w:t>
      </w:r>
      <w:r w:rsidR="000565F7" w:rsidRPr="00AD143A">
        <w:rPr>
          <w:rFonts w:ascii="Arial" w:hAnsi="Arial" w:cs="Arial"/>
          <w:bCs/>
        </w:rPr>
        <w:t>GB00BLJNXL82</w:t>
      </w:r>
      <w:r w:rsidRPr="00AD143A">
        <w:rPr>
          <w:rFonts w:ascii="Arial" w:hAnsi="Arial" w:cs="Arial"/>
          <w:bCs/>
        </w:rPr>
        <w:t xml:space="preserve"> and a SEDOL of </w:t>
      </w:r>
      <w:r w:rsidR="000565F7" w:rsidRPr="00AD143A">
        <w:rPr>
          <w:rFonts w:ascii="Arial" w:hAnsi="Arial" w:cs="Arial"/>
          <w:bCs/>
        </w:rPr>
        <w:t>BLJNXL8</w:t>
      </w:r>
      <w:r w:rsidRPr="00AD143A">
        <w:rPr>
          <w:rFonts w:ascii="Arial" w:hAnsi="Arial" w:cs="Arial"/>
          <w:bCs/>
        </w:rPr>
        <w:t>.</w:t>
      </w:r>
      <w:r w:rsidR="00E56971" w:rsidRPr="00AD143A">
        <w:rPr>
          <w:rFonts w:ascii="Arial" w:hAnsi="Arial" w:cs="Arial"/>
          <w:bCs/>
        </w:rPr>
        <w:t xml:space="preserve"> </w:t>
      </w:r>
    </w:p>
    <w:p w14:paraId="33145CFC" w14:textId="6EBAA71C" w:rsidR="00E56971" w:rsidRPr="00AD143A" w:rsidRDefault="00E56971" w:rsidP="007E2AA8">
      <w:pPr>
        <w:pStyle w:val="NoSpacing"/>
        <w:jc w:val="both"/>
        <w:rPr>
          <w:rFonts w:ascii="Arial" w:hAnsi="Arial" w:cs="Arial"/>
          <w:bCs/>
        </w:rPr>
      </w:pPr>
    </w:p>
    <w:p w14:paraId="09A9D3C9" w14:textId="26A14875" w:rsidR="00EC27DC" w:rsidRPr="00AD143A" w:rsidRDefault="00EC27DC">
      <w:pPr>
        <w:pStyle w:val="NoSpacing"/>
        <w:jc w:val="both"/>
        <w:rPr>
          <w:rFonts w:ascii="Arial" w:hAnsi="Arial" w:cs="Arial"/>
          <w:bCs/>
        </w:rPr>
      </w:pPr>
      <w:r w:rsidRPr="00AD143A">
        <w:rPr>
          <w:rFonts w:ascii="Arial" w:hAnsi="Arial" w:cs="Arial"/>
          <w:bCs/>
        </w:rPr>
        <w:t xml:space="preserve">Following the </w:t>
      </w:r>
      <w:r w:rsidR="001D7119" w:rsidRPr="00AD143A">
        <w:rPr>
          <w:rFonts w:ascii="Arial" w:hAnsi="Arial" w:cs="Arial"/>
          <w:bCs/>
        </w:rPr>
        <w:t>S</w:t>
      </w:r>
      <w:r w:rsidRPr="00AD143A">
        <w:rPr>
          <w:rFonts w:ascii="Arial" w:hAnsi="Arial" w:cs="Arial"/>
          <w:bCs/>
        </w:rPr>
        <w:t xml:space="preserve">hare </w:t>
      </w:r>
      <w:r w:rsidR="001D7119" w:rsidRPr="00AD143A">
        <w:rPr>
          <w:rFonts w:ascii="Arial" w:hAnsi="Arial" w:cs="Arial"/>
          <w:bCs/>
        </w:rPr>
        <w:t>C</w:t>
      </w:r>
      <w:r w:rsidRPr="00AD143A">
        <w:rPr>
          <w:rFonts w:ascii="Arial" w:hAnsi="Arial" w:cs="Arial"/>
          <w:bCs/>
        </w:rPr>
        <w:t xml:space="preserve">onsolidation there will be </w:t>
      </w:r>
      <w:r w:rsidR="00401AB7">
        <w:rPr>
          <w:rFonts w:ascii="Arial" w:hAnsi="Arial" w:cs="Arial"/>
          <w:bCs/>
        </w:rPr>
        <w:t xml:space="preserve">122,120,562 </w:t>
      </w:r>
      <w:r w:rsidR="001D7119" w:rsidRPr="00AD143A">
        <w:rPr>
          <w:rFonts w:ascii="Arial" w:hAnsi="Arial" w:cs="Arial"/>
          <w:bCs/>
        </w:rPr>
        <w:t xml:space="preserve">New Ordinary Shares </w:t>
      </w:r>
      <w:r w:rsidR="009258A2">
        <w:rPr>
          <w:rFonts w:ascii="Arial" w:hAnsi="Arial" w:cs="Arial"/>
          <w:bCs/>
        </w:rPr>
        <w:t>in issue</w:t>
      </w:r>
      <w:r w:rsidRPr="00AD143A">
        <w:rPr>
          <w:rFonts w:ascii="Arial" w:hAnsi="Arial" w:cs="Arial"/>
          <w:bCs/>
        </w:rPr>
        <w:t xml:space="preserve">, including </w:t>
      </w:r>
      <w:r w:rsidR="00401AB7">
        <w:rPr>
          <w:rFonts w:ascii="Arial" w:hAnsi="Arial" w:cs="Arial"/>
          <w:bCs/>
        </w:rPr>
        <w:t xml:space="preserve">9,734,264 </w:t>
      </w:r>
      <w:r w:rsidR="001D7119" w:rsidRPr="00AD143A">
        <w:rPr>
          <w:rFonts w:ascii="Arial" w:hAnsi="Arial" w:cs="Arial"/>
          <w:bCs/>
        </w:rPr>
        <w:t xml:space="preserve">New Ordinary Shares </w:t>
      </w:r>
      <w:r w:rsidRPr="00AD143A">
        <w:rPr>
          <w:rFonts w:ascii="Arial" w:hAnsi="Arial" w:cs="Arial"/>
          <w:bCs/>
        </w:rPr>
        <w:t>in treasury</w:t>
      </w:r>
      <w:r w:rsidR="009258A2">
        <w:rPr>
          <w:rFonts w:ascii="Arial" w:hAnsi="Arial" w:cs="Arial"/>
          <w:bCs/>
        </w:rPr>
        <w:t>,</w:t>
      </w:r>
      <w:r w:rsidRPr="00AD143A">
        <w:rPr>
          <w:rFonts w:ascii="Arial" w:hAnsi="Arial" w:cs="Arial"/>
          <w:bCs/>
        </w:rPr>
        <w:t xml:space="preserve"> with a nominal value of </w:t>
      </w:r>
      <w:r w:rsidR="00401AB7">
        <w:rPr>
          <w:rFonts w:ascii="Arial" w:hAnsi="Arial" w:cs="Arial"/>
          <w:bCs/>
        </w:rPr>
        <w:t xml:space="preserve">5.4141 </w:t>
      </w:r>
      <w:r w:rsidRPr="00AD143A">
        <w:rPr>
          <w:rFonts w:ascii="Arial" w:hAnsi="Arial" w:cs="Arial"/>
          <w:bCs/>
        </w:rPr>
        <w:t>pence</w:t>
      </w:r>
      <w:r w:rsidR="009258A2">
        <w:rPr>
          <w:rFonts w:ascii="Arial" w:hAnsi="Arial" w:cs="Arial"/>
          <w:bCs/>
        </w:rPr>
        <w:t xml:space="preserve"> per share</w:t>
      </w:r>
      <w:r w:rsidRPr="00AD143A">
        <w:rPr>
          <w:rFonts w:ascii="Arial" w:hAnsi="Arial" w:cs="Arial"/>
          <w:bCs/>
        </w:rPr>
        <w:t>.</w:t>
      </w:r>
    </w:p>
    <w:p w14:paraId="0C07E9D3" w14:textId="77777777" w:rsidR="007A0A1B" w:rsidRPr="00AD143A" w:rsidRDefault="007A0A1B" w:rsidP="007E2AA8">
      <w:pPr>
        <w:pStyle w:val="NoSpacing"/>
        <w:jc w:val="both"/>
        <w:rPr>
          <w:rFonts w:ascii="Arial" w:hAnsi="Arial" w:cs="Arial"/>
          <w:bCs/>
        </w:rPr>
      </w:pPr>
    </w:p>
    <w:p w14:paraId="476479A9" w14:textId="77777777" w:rsidR="003917AC" w:rsidRPr="00AD143A" w:rsidRDefault="003917AC" w:rsidP="003917AC">
      <w:pPr>
        <w:pStyle w:val="NoSpacing"/>
        <w:jc w:val="both"/>
        <w:rPr>
          <w:rFonts w:ascii="Arial" w:hAnsi="Arial" w:cs="Arial"/>
        </w:rPr>
      </w:pPr>
      <w:r w:rsidRPr="00AD143A">
        <w:rPr>
          <w:rFonts w:ascii="Arial" w:hAnsi="Arial" w:cs="Arial"/>
          <w:b/>
        </w:rPr>
        <w:t>Enquiries</w:t>
      </w:r>
    </w:p>
    <w:p w14:paraId="749C16FE" w14:textId="77777777" w:rsidR="003917AC" w:rsidRPr="00AD143A" w:rsidRDefault="003917AC" w:rsidP="003917AC">
      <w:pPr>
        <w:pStyle w:val="NoSpacing"/>
        <w:jc w:val="both"/>
        <w:rPr>
          <w:rFonts w:ascii="Arial" w:hAnsi="Arial" w:cs="Arial"/>
        </w:rPr>
      </w:pPr>
    </w:p>
    <w:tbl>
      <w:tblPr>
        <w:tblStyle w:val="TableGrid"/>
        <w:tblW w:w="0" w:type="auto"/>
        <w:tblInd w:w="0" w:type="dxa"/>
        <w:tblLook w:val="04A0" w:firstRow="1" w:lastRow="0" w:firstColumn="1" w:lastColumn="0" w:noHBand="0" w:noVBand="1"/>
      </w:tblPr>
      <w:tblGrid>
        <w:gridCol w:w="4592"/>
        <w:gridCol w:w="3081"/>
      </w:tblGrid>
      <w:tr w:rsidR="003917AC" w:rsidRPr="003732A8" w14:paraId="18CDF180" w14:textId="77777777" w:rsidTr="00E4172B">
        <w:tc>
          <w:tcPr>
            <w:tcW w:w="4592" w:type="dxa"/>
            <w:vAlign w:val="center"/>
          </w:tcPr>
          <w:p w14:paraId="232B0855" w14:textId="4B42CF8D" w:rsidR="003917AC" w:rsidRPr="00AD143A" w:rsidRDefault="003917AC">
            <w:pPr>
              <w:pStyle w:val="NoSpacing"/>
              <w:rPr>
                <w:rFonts w:ascii="Arial" w:hAnsi="Arial" w:cs="Arial"/>
                <w:b/>
              </w:rPr>
            </w:pPr>
            <w:r w:rsidRPr="00AD143A">
              <w:rPr>
                <w:rFonts w:ascii="Arial" w:hAnsi="Arial" w:cs="Arial"/>
                <w:b/>
              </w:rPr>
              <w:t xml:space="preserve">The Berkeley Group Holdings </w:t>
            </w:r>
            <w:r w:rsidR="006F74CF">
              <w:rPr>
                <w:rFonts w:ascii="Arial" w:hAnsi="Arial" w:cs="Arial"/>
                <w:b/>
              </w:rPr>
              <w:t>plc</w:t>
            </w:r>
          </w:p>
        </w:tc>
        <w:tc>
          <w:tcPr>
            <w:tcW w:w="3081" w:type="dxa"/>
            <w:vAlign w:val="center"/>
          </w:tcPr>
          <w:p w14:paraId="44EB7AAC" w14:textId="77777777" w:rsidR="003917AC" w:rsidRPr="00AD143A" w:rsidRDefault="003917AC" w:rsidP="00E4172B">
            <w:pPr>
              <w:pStyle w:val="NoSpacing"/>
              <w:rPr>
                <w:rFonts w:ascii="Arial" w:hAnsi="Arial" w:cs="Arial"/>
                <w:b/>
              </w:rPr>
            </w:pPr>
            <w:r w:rsidRPr="00AD143A">
              <w:rPr>
                <w:rFonts w:ascii="Arial" w:hAnsi="Arial" w:cs="Arial"/>
                <w:b/>
              </w:rPr>
              <w:t>01932 868555</w:t>
            </w:r>
          </w:p>
        </w:tc>
      </w:tr>
      <w:tr w:rsidR="003917AC" w:rsidRPr="003732A8" w14:paraId="31A55CFE" w14:textId="77777777" w:rsidTr="00E4172B">
        <w:tc>
          <w:tcPr>
            <w:tcW w:w="4592" w:type="dxa"/>
            <w:vAlign w:val="center"/>
          </w:tcPr>
          <w:p w14:paraId="2FB68D40" w14:textId="6997CDDF" w:rsidR="003917AC" w:rsidRPr="00AD143A" w:rsidRDefault="00CC365C" w:rsidP="00E4172B">
            <w:pPr>
              <w:pStyle w:val="NoSpacing"/>
              <w:rPr>
                <w:rFonts w:ascii="Arial" w:hAnsi="Arial" w:cs="Arial"/>
              </w:rPr>
            </w:pPr>
            <w:r w:rsidRPr="00AD143A">
              <w:rPr>
                <w:rFonts w:ascii="Arial" w:hAnsi="Arial" w:cs="Arial"/>
              </w:rPr>
              <w:t>Ann Dibben</w:t>
            </w:r>
            <w:r w:rsidR="00BC2B55">
              <w:rPr>
                <w:rFonts w:ascii="Arial" w:hAnsi="Arial" w:cs="Arial"/>
              </w:rPr>
              <w:t>, Company Secretary</w:t>
            </w:r>
          </w:p>
        </w:tc>
        <w:tc>
          <w:tcPr>
            <w:tcW w:w="3081" w:type="dxa"/>
            <w:vAlign w:val="center"/>
          </w:tcPr>
          <w:p w14:paraId="09558A40" w14:textId="77777777" w:rsidR="003917AC" w:rsidRPr="00AD143A" w:rsidRDefault="003917AC" w:rsidP="00E4172B">
            <w:pPr>
              <w:pStyle w:val="NoSpacing"/>
              <w:rPr>
                <w:rFonts w:ascii="Arial" w:hAnsi="Arial" w:cs="Arial"/>
              </w:rPr>
            </w:pPr>
          </w:p>
        </w:tc>
      </w:tr>
      <w:tr w:rsidR="003917AC" w:rsidRPr="003732A8" w14:paraId="2C0DE0A7" w14:textId="77777777" w:rsidTr="00E4172B">
        <w:tc>
          <w:tcPr>
            <w:tcW w:w="4592" w:type="dxa"/>
            <w:vAlign w:val="center"/>
          </w:tcPr>
          <w:p w14:paraId="2FED4867" w14:textId="77777777" w:rsidR="003917AC" w:rsidRPr="00AD143A" w:rsidRDefault="003917AC" w:rsidP="00E4172B">
            <w:pPr>
              <w:pStyle w:val="NoSpacing"/>
              <w:rPr>
                <w:rFonts w:ascii="Arial" w:hAnsi="Arial" w:cs="Arial"/>
              </w:rPr>
            </w:pPr>
          </w:p>
        </w:tc>
        <w:tc>
          <w:tcPr>
            <w:tcW w:w="3081" w:type="dxa"/>
            <w:vAlign w:val="center"/>
          </w:tcPr>
          <w:p w14:paraId="3CFF5FE0" w14:textId="77777777" w:rsidR="003917AC" w:rsidRPr="00AD143A" w:rsidRDefault="003917AC" w:rsidP="00E4172B">
            <w:pPr>
              <w:pStyle w:val="NoSpacing"/>
              <w:rPr>
                <w:rFonts w:ascii="Arial" w:hAnsi="Arial" w:cs="Arial"/>
              </w:rPr>
            </w:pPr>
          </w:p>
        </w:tc>
      </w:tr>
      <w:tr w:rsidR="003917AC" w:rsidRPr="003732A8" w14:paraId="2AEE25FA" w14:textId="77777777" w:rsidTr="00E4172B">
        <w:tc>
          <w:tcPr>
            <w:tcW w:w="4592" w:type="dxa"/>
            <w:vAlign w:val="center"/>
          </w:tcPr>
          <w:p w14:paraId="2B703D10" w14:textId="77777777" w:rsidR="003917AC" w:rsidRPr="00AD143A" w:rsidRDefault="003917AC" w:rsidP="00E4172B">
            <w:pPr>
              <w:pStyle w:val="NoSpacing"/>
              <w:rPr>
                <w:rFonts w:ascii="Arial" w:hAnsi="Arial" w:cs="Arial"/>
                <w:b/>
              </w:rPr>
            </w:pPr>
            <w:r w:rsidRPr="00AD143A">
              <w:rPr>
                <w:rFonts w:ascii="Arial" w:hAnsi="Arial" w:cs="Arial"/>
                <w:b/>
              </w:rPr>
              <w:t>Novella Communications</w:t>
            </w:r>
          </w:p>
        </w:tc>
        <w:tc>
          <w:tcPr>
            <w:tcW w:w="3081" w:type="dxa"/>
            <w:vAlign w:val="center"/>
          </w:tcPr>
          <w:p w14:paraId="0BE352DA" w14:textId="77777777" w:rsidR="003917AC" w:rsidRPr="00AD143A" w:rsidRDefault="003917AC" w:rsidP="00E4172B">
            <w:pPr>
              <w:pStyle w:val="NoSpacing"/>
              <w:rPr>
                <w:rFonts w:ascii="Arial" w:hAnsi="Arial" w:cs="Arial"/>
                <w:b/>
              </w:rPr>
            </w:pPr>
            <w:r w:rsidRPr="00AD143A">
              <w:rPr>
                <w:rFonts w:ascii="Arial" w:hAnsi="Arial" w:cs="Arial"/>
                <w:b/>
              </w:rPr>
              <w:t>020 3151 7008</w:t>
            </w:r>
          </w:p>
        </w:tc>
      </w:tr>
      <w:tr w:rsidR="003917AC" w:rsidRPr="003732A8" w14:paraId="5BA31FA9" w14:textId="77777777" w:rsidTr="00E4172B">
        <w:tc>
          <w:tcPr>
            <w:tcW w:w="4592" w:type="dxa"/>
            <w:vAlign w:val="center"/>
          </w:tcPr>
          <w:p w14:paraId="0D33A4D1" w14:textId="77777777" w:rsidR="003917AC" w:rsidRPr="00AD143A" w:rsidRDefault="003917AC" w:rsidP="00E4172B">
            <w:pPr>
              <w:pStyle w:val="NoSpacing"/>
              <w:rPr>
                <w:rFonts w:ascii="Arial" w:hAnsi="Arial" w:cs="Arial"/>
              </w:rPr>
            </w:pPr>
            <w:r w:rsidRPr="00AD143A">
              <w:rPr>
                <w:rFonts w:ascii="Arial" w:hAnsi="Arial" w:cs="Arial"/>
              </w:rPr>
              <w:t>Tim Robertson</w:t>
            </w:r>
          </w:p>
        </w:tc>
        <w:tc>
          <w:tcPr>
            <w:tcW w:w="3081" w:type="dxa"/>
            <w:vAlign w:val="center"/>
          </w:tcPr>
          <w:p w14:paraId="114693DC" w14:textId="77777777" w:rsidR="003917AC" w:rsidRPr="00AD143A" w:rsidRDefault="003917AC" w:rsidP="00E4172B">
            <w:pPr>
              <w:pStyle w:val="NoSpacing"/>
              <w:rPr>
                <w:rFonts w:ascii="Arial" w:hAnsi="Arial" w:cs="Arial"/>
              </w:rPr>
            </w:pPr>
          </w:p>
        </w:tc>
      </w:tr>
      <w:tr w:rsidR="003917AC" w:rsidRPr="003732A8" w14:paraId="4091BB7B" w14:textId="77777777" w:rsidTr="00E4172B">
        <w:tc>
          <w:tcPr>
            <w:tcW w:w="4592" w:type="dxa"/>
            <w:vAlign w:val="center"/>
          </w:tcPr>
          <w:p w14:paraId="1C026DD7" w14:textId="77777777" w:rsidR="003917AC" w:rsidRPr="00AD143A" w:rsidRDefault="003917AC" w:rsidP="00E4172B">
            <w:pPr>
              <w:pStyle w:val="NoSpacing"/>
              <w:rPr>
                <w:rFonts w:ascii="Arial" w:hAnsi="Arial" w:cs="Arial"/>
              </w:rPr>
            </w:pPr>
          </w:p>
        </w:tc>
        <w:tc>
          <w:tcPr>
            <w:tcW w:w="3081" w:type="dxa"/>
            <w:vAlign w:val="center"/>
          </w:tcPr>
          <w:p w14:paraId="243C839C" w14:textId="77777777" w:rsidR="003917AC" w:rsidRPr="00AD143A" w:rsidRDefault="003917AC" w:rsidP="00E4172B">
            <w:pPr>
              <w:pStyle w:val="NoSpacing"/>
              <w:rPr>
                <w:rFonts w:ascii="Arial" w:hAnsi="Arial" w:cs="Arial"/>
              </w:rPr>
            </w:pPr>
          </w:p>
        </w:tc>
      </w:tr>
      <w:tr w:rsidR="003917AC" w:rsidRPr="003732A8" w14:paraId="0E098F8C" w14:textId="77777777" w:rsidTr="00E4172B">
        <w:tc>
          <w:tcPr>
            <w:tcW w:w="4592" w:type="dxa"/>
            <w:vAlign w:val="center"/>
          </w:tcPr>
          <w:p w14:paraId="31D24649" w14:textId="77777777" w:rsidR="003917AC" w:rsidRPr="00AD143A" w:rsidRDefault="003917AC" w:rsidP="00E4172B">
            <w:pPr>
              <w:pStyle w:val="NoSpacing"/>
              <w:rPr>
                <w:rFonts w:ascii="Arial" w:hAnsi="Arial" w:cs="Arial"/>
                <w:b/>
              </w:rPr>
            </w:pPr>
            <w:r w:rsidRPr="00AD143A">
              <w:rPr>
                <w:rFonts w:ascii="Arial" w:hAnsi="Arial" w:cs="Arial"/>
                <w:b/>
              </w:rPr>
              <w:t xml:space="preserve">UBS AG London Branch </w:t>
            </w:r>
          </w:p>
        </w:tc>
        <w:tc>
          <w:tcPr>
            <w:tcW w:w="3081" w:type="dxa"/>
            <w:vAlign w:val="center"/>
          </w:tcPr>
          <w:p w14:paraId="6ADF27DF" w14:textId="77777777" w:rsidR="003917AC" w:rsidRPr="00AD143A" w:rsidRDefault="003917AC" w:rsidP="00E4172B">
            <w:pPr>
              <w:pStyle w:val="NoSpacing"/>
              <w:rPr>
                <w:rFonts w:ascii="Arial" w:hAnsi="Arial" w:cs="Arial"/>
                <w:b/>
              </w:rPr>
            </w:pPr>
            <w:r w:rsidRPr="00AD143A">
              <w:rPr>
                <w:rFonts w:ascii="Arial" w:hAnsi="Arial" w:cs="Arial"/>
                <w:b/>
              </w:rPr>
              <w:t>020 7567 8000</w:t>
            </w:r>
          </w:p>
        </w:tc>
      </w:tr>
      <w:tr w:rsidR="003917AC" w:rsidRPr="003732A8" w14:paraId="578540A1" w14:textId="77777777" w:rsidTr="00E4172B">
        <w:tc>
          <w:tcPr>
            <w:tcW w:w="4592" w:type="dxa"/>
            <w:vAlign w:val="center"/>
          </w:tcPr>
          <w:p w14:paraId="1FD4B92A" w14:textId="77777777" w:rsidR="003917AC" w:rsidRPr="00AD143A" w:rsidRDefault="003917AC" w:rsidP="00E4172B">
            <w:pPr>
              <w:pStyle w:val="NoSpacing"/>
              <w:rPr>
                <w:rFonts w:ascii="Arial" w:hAnsi="Arial" w:cs="Arial"/>
              </w:rPr>
            </w:pPr>
            <w:r w:rsidRPr="00AD143A">
              <w:rPr>
                <w:rFonts w:ascii="Arial" w:hAnsi="Arial" w:cs="Arial"/>
              </w:rPr>
              <w:t xml:space="preserve">John </w:t>
            </w:r>
            <w:proofErr w:type="spellStart"/>
            <w:r w:rsidRPr="00AD143A">
              <w:rPr>
                <w:rFonts w:ascii="Arial" w:hAnsi="Arial" w:cs="Arial"/>
              </w:rPr>
              <w:t>Woolland</w:t>
            </w:r>
            <w:proofErr w:type="spellEnd"/>
          </w:p>
        </w:tc>
        <w:tc>
          <w:tcPr>
            <w:tcW w:w="3081" w:type="dxa"/>
            <w:vAlign w:val="center"/>
          </w:tcPr>
          <w:p w14:paraId="3ED048CA" w14:textId="77777777" w:rsidR="003917AC" w:rsidRPr="00AD143A" w:rsidRDefault="003917AC" w:rsidP="00E4172B">
            <w:pPr>
              <w:pStyle w:val="NoSpacing"/>
              <w:rPr>
                <w:rFonts w:ascii="Arial" w:hAnsi="Arial" w:cs="Arial"/>
              </w:rPr>
            </w:pPr>
          </w:p>
        </w:tc>
      </w:tr>
      <w:tr w:rsidR="003917AC" w:rsidRPr="003732A8" w14:paraId="692B95DE" w14:textId="77777777" w:rsidTr="00E4172B">
        <w:tc>
          <w:tcPr>
            <w:tcW w:w="4592" w:type="dxa"/>
            <w:vAlign w:val="center"/>
          </w:tcPr>
          <w:p w14:paraId="2E0D32C3" w14:textId="77777777" w:rsidR="003917AC" w:rsidRPr="00AD143A" w:rsidRDefault="003917AC" w:rsidP="00E4172B">
            <w:pPr>
              <w:pStyle w:val="NoSpacing"/>
              <w:rPr>
                <w:rFonts w:ascii="Arial" w:hAnsi="Arial" w:cs="Arial"/>
              </w:rPr>
            </w:pPr>
            <w:r w:rsidRPr="00AD143A">
              <w:rPr>
                <w:rFonts w:ascii="Arial" w:hAnsi="Arial" w:cs="Arial"/>
              </w:rPr>
              <w:t>Thomas Raynsford</w:t>
            </w:r>
          </w:p>
        </w:tc>
        <w:tc>
          <w:tcPr>
            <w:tcW w:w="3081" w:type="dxa"/>
            <w:vAlign w:val="center"/>
          </w:tcPr>
          <w:p w14:paraId="4B612740" w14:textId="77777777" w:rsidR="003917AC" w:rsidRPr="00AD143A" w:rsidRDefault="003917AC" w:rsidP="00E4172B">
            <w:pPr>
              <w:pStyle w:val="NoSpacing"/>
              <w:rPr>
                <w:rFonts w:ascii="Arial" w:hAnsi="Arial" w:cs="Arial"/>
              </w:rPr>
            </w:pPr>
          </w:p>
        </w:tc>
      </w:tr>
    </w:tbl>
    <w:p w14:paraId="48215AC3" w14:textId="77777777" w:rsidR="003917AC" w:rsidRPr="00AD143A" w:rsidRDefault="003917AC" w:rsidP="003917AC">
      <w:pPr>
        <w:pStyle w:val="NoSpacing"/>
        <w:jc w:val="both"/>
        <w:rPr>
          <w:rFonts w:ascii="Arial" w:hAnsi="Arial" w:cs="Arial"/>
          <w:b/>
        </w:rPr>
      </w:pPr>
    </w:p>
    <w:p w14:paraId="6420A9AB" w14:textId="77777777" w:rsidR="005468D2" w:rsidRPr="00AD143A" w:rsidRDefault="005468D2">
      <w:pPr>
        <w:autoSpaceDE w:val="0"/>
        <w:autoSpaceDN w:val="0"/>
        <w:adjustRightInd w:val="0"/>
        <w:spacing w:after="0" w:line="240" w:lineRule="auto"/>
        <w:rPr>
          <w:rFonts w:ascii="Arial" w:hAnsi="Arial" w:cs="Arial"/>
          <w:b/>
        </w:rPr>
      </w:pPr>
      <w:r w:rsidRPr="00AD143A">
        <w:rPr>
          <w:rFonts w:ascii="Arial" w:hAnsi="Arial" w:cs="Arial"/>
          <w:b/>
        </w:rPr>
        <w:lastRenderedPageBreak/>
        <w:t>About UBS AG London Branch</w:t>
      </w:r>
    </w:p>
    <w:p w14:paraId="541A03AD" w14:textId="77777777" w:rsidR="004F02C9" w:rsidRPr="00AD143A" w:rsidRDefault="004F02C9" w:rsidP="00AD143A">
      <w:pPr>
        <w:spacing w:after="0" w:line="240" w:lineRule="auto"/>
        <w:jc w:val="both"/>
        <w:rPr>
          <w:rFonts w:ascii="Arial" w:hAnsi="Arial" w:cs="Arial"/>
        </w:rPr>
      </w:pPr>
      <w:r w:rsidRPr="00AD143A">
        <w:rPr>
          <w:rFonts w:ascii="Arial" w:hAnsi="Arial" w:cs="Arial"/>
        </w:rPr>
        <w:t xml:space="preserve">UBS AG London Branch is authorised and regulated by the Financial Market Supervisory Authority in Switzerland. It is authorised by the Prudential Regulation Authority and subject to regulation by the Financial Conduct Authority and limited regulation by the Prudential Regulation Authority in the United Kingdom.  UBS AG London Branch </w:t>
      </w:r>
      <w:r w:rsidR="0086335E" w:rsidRPr="00AD143A">
        <w:rPr>
          <w:rFonts w:ascii="Arial" w:hAnsi="Arial" w:cs="Arial"/>
        </w:rPr>
        <w:t>acts as corporate broker</w:t>
      </w:r>
      <w:r w:rsidR="003D45E9" w:rsidRPr="00AD143A">
        <w:rPr>
          <w:rFonts w:ascii="Arial" w:hAnsi="Arial" w:cs="Arial"/>
        </w:rPr>
        <w:t xml:space="preserve"> and financial intermediary</w:t>
      </w:r>
      <w:r w:rsidRPr="00AD143A">
        <w:rPr>
          <w:rFonts w:ascii="Arial" w:hAnsi="Arial" w:cs="Arial"/>
        </w:rPr>
        <w:t xml:space="preserve"> to Berkeley. In connection with </w:t>
      </w:r>
      <w:r w:rsidR="0086335E" w:rsidRPr="00AD143A">
        <w:rPr>
          <w:rFonts w:ascii="Arial" w:hAnsi="Arial" w:cs="Arial"/>
        </w:rPr>
        <w:t>its role as corporate broker</w:t>
      </w:r>
      <w:r w:rsidR="003D45E9" w:rsidRPr="00AD143A">
        <w:rPr>
          <w:rFonts w:ascii="Arial" w:hAnsi="Arial" w:cs="Arial"/>
        </w:rPr>
        <w:t xml:space="preserve"> and financial intermediary</w:t>
      </w:r>
      <w:r w:rsidRPr="00AD143A">
        <w:rPr>
          <w:rFonts w:ascii="Arial" w:hAnsi="Arial" w:cs="Arial"/>
        </w:rPr>
        <w:t xml:space="preserve">, UBS AG London Branch, its affiliates and </w:t>
      </w:r>
      <w:r w:rsidR="0086335E" w:rsidRPr="00AD143A">
        <w:rPr>
          <w:rFonts w:ascii="Arial" w:hAnsi="Arial" w:cs="Arial"/>
        </w:rPr>
        <w:t xml:space="preserve">its or </w:t>
      </w:r>
      <w:r w:rsidRPr="00AD143A">
        <w:rPr>
          <w:rFonts w:ascii="Arial" w:hAnsi="Arial" w:cs="Arial"/>
        </w:rPr>
        <w:t>their respective directors, officers, employees and agents will not regard any other person as their client, nor will they be responsible to any other person for providing the protections afforded to their clients or for providing advice in relation to the proposed B Share Scheme, the contents of this announcement or any other matter referred to herein.</w:t>
      </w:r>
    </w:p>
    <w:p w14:paraId="050BD5AC" w14:textId="77777777" w:rsidR="005468D2" w:rsidRPr="00AD143A" w:rsidRDefault="005468D2" w:rsidP="00F258B9">
      <w:pPr>
        <w:autoSpaceDE w:val="0"/>
        <w:autoSpaceDN w:val="0"/>
        <w:adjustRightInd w:val="0"/>
        <w:spacing w:after="0" w:line="240" w:lineRule="auto"/>
        <w:rPr>
          <w:rFonts w:ascii="Arial" w:hAnsi="Arial" w:cs="Arial"/>
        </w:rPr>
      </w:pPr>
    </w:p>
    <w:p w14:paraId="479CFD92" w14:textId="77777777" w:rsidR="00611641" w:rsidRPr="00AD143A" w:rsidRDefault="00611641" w:rsidP="00611641">
      <w:pPr>
        <w:autoSpaceDE w:val="0"/>
        <w:autoSpaceDN w:val="0"/>
        <w:adjustRightInd w:val="0"/>
        <w:spacing w:after="0" w:line="240" w:lineRule="auto"/>
        <w:rPr>
          <w:rFonts w:ascii="Arial" w:hAnsi="Arial" w:cs="Arial"/>
          <w:b/>
        </w:rPr>
      </w:pPr>
      <w:r w:rsidRPr="00AD143A">
        <w:rPr>
          <w:rFonts w:ascii="Arial" w:hAnsi="Arial" w:cs="Arial"/>
          <w:b/>
        </w:rPr>
        <w:t>Important Notices</w:t>
      </w:r>
    </w:p>
    <w:p w14:paraId="6CB8A30D" w14:textId="77777777" w:rsidR="00611641" w:rsidRPr="00AD143A" w:rsidRDefault="00611641" w:rsidP="00611641">
      <w:pPr>
        <w:autoSpaceDE w:val="0"/>
        <w:autoSpaceDN w:val="0"/>
        <w:adjustRightInd w:val="0"/>
        <w:spacing w:after="0" w:line="240" w:lineRule="auto"/>
        <w:rPr>
          <w:rFonts w:ascii="Arial" w:hAnsi="Arial" w:cs="Arial"/>
        </w:rPr>
      </w:pPr>
    </w:p>
    <w:p w14:paraId="025421D6" w14:textId="2F726B9B" w:rsidR="00611641" w:rsidRPr="00AD143A" w:rsidRDefault="00611641" w:rsidP="00AD143A">
      <w:pPr>
        <w:autoSpaceDE w:val="0"/>
        <w:autoSpaceDN w:val="0"/>
        <w:adjustRightInd w:val="0"/>
        <w:spacing w:after="0" w:line="240" w:lineRule="auto"/>
        <w:jc w:val="both"/>
        <w:rPr>
          <w:rFonts w:ascii="Arial" w:hAnsi="Arial" w:cs="Arial"/>
          <w:i/>
        </w:rPr>
      </w:pPr>
      <w:r w:rsidRPr="00AD143A">
        <w:rPr>
          <w:rFonts w:ascii="Arial" w:hAnsi="Arial" w:cs="Arial"/>
          <w:i/>
        </w:rPr>
        <w:t xml:space="preserve">Capitalised terms used in this announcement which are not otherwise defined in this announcement have the same meaning as in the Circular, which is available at </w:t>
      </w:r>
      <w:hyperlink r:id="rId10" w:anchor="/nsm/nationalstoragemechanism" w:history="1">
        <w:r w:rsidR="00F40A8E" w:rsidRPr="00432C5C">
          <w:rPr>
            <w:rStyle w:val="Hyperlink"/>
            <w:rFonts w:ascii="Arial" w:hAnsi="Arial" w:cs="Arial"/>
            <w:i/>
          </w:rPr>
          <w:t>https://data.fca.org.uk/#/nsm/nationalstoragemechanism</w:t>
        </w:r>
      </w:hyperlink>
      <w:r w:rsidR="00F40A8E">
        <w:rPr>
          <w:rFonts w:ascii="Arial" w:hAnsi="Arial" w:cs="Arial"/>
          <w:i/>
        </w:rPr>
        <w:t xml:space="preserve"> </w:t>
      </w:r>
      <w:r w:rsidRPr="00AD143A">
        <w:rPr>
          <w:rFonts w:ascii="Arial" w:hAnsi="Arial" w:cs="Arial"/>
          <w:i/>
        </w:rPr>
        <w:t xml:space="preserve">and on the </w:t>
      </w:r>
      <w:r w:rsidR="00BC2B55">
        <w:rPr>
          <w:rFonts w:ascii="Arial" w:hAnsi="Arial" w:cs="Arial"/>
          <w:i/>
        </w:rPr>
        <w:t>Company’s</w:t>
      </w:r>
      <w:r w:rsidR="00BC2B55" w:rsidRPr="00AD143A">
        <w:rPr>
          <w:rFonts w:ascii="Arial" w:hAnsi="Arial" w:cs="Arial"/>
          <w:i/>
        </w:rPr>
        <w:t xml:space="preserve"> </w:t>
      </w:r>
      <w:r w:rsidRPr="00AD143A">
        <w:rPr>
          <w:rFonts w:ascii="Arial" w:hAnsi="Arial" w:cs="Arial"/>
          <w:i/>
        </w:rPr>
        <w:t xml:space="preserve">website at </w:t>
      </w:r>
      <w:hyperlink r:id="rId11" w:history="1">
        <w:r w:rsidR="00F40A8E" w:rsidRPr="00AD143A">
          <w:rPr>
            <w:rStyle w:val="Hyperlink"/>
          </w:rPr>
          <w:t>www.berkeleygroup.co.uk/investor-information/corporate-governance</w:t>
        </w:r>
      </w:hyperlink>
      <w:r w:rsidRPr="00AD143A">
        <w:rPr>
          <w:rFonts w:ascii="Arial" w:hAnsi="Arial" w:cs="Arial"/>
          <w:i/>
        </w:rPr>
        <w:t>. All references to time in this announcement are to London time.</w:t>
      </w:r>
    </w:p>
    <w:p w14:paraId="70A2C8CF" w14:textId="77777777" w:rsidR="00611641" w:rsidRPr="00AD143A" w:rsidRDefault="00611641" w:rsidP="00611641">
      <w:pPr>
        <w:autoSpaceDE w:val="0"/>
        <w:autoSpaceDN w:val="0"/>
        <w:adjustRightInd w:val="0"/>
        <w:spacing w:after="0" w:line="240" w:lineRule="auto"/>
        <w:rPr>
          <w:rFonts w:ascii="Arial" w:hAnsi="Arial" w:cs="Arial"/>
          <w:i/>
        </w:rPr>
      </w:pPr>
    </w:p>
    <w:p w14:paraId="2FFEA4A3" w14:textId="77777777" w:rsidR="00611641" w:rsidRPr="00AD143A" w:rsidRDefault="00611641" w:rsidP="00AD143A">
      <w:pPr>
        <w:autoSpaceDE w:val="0"/>
        <w:autoSpaceDN w:val="0"/>
        <w:adjustRightInd w:val="0"/>
        <w:spacing w:after="0" w:line="240" w:lineRule="auto"/>
        <w:jc w:val="both"/>
        <w:rPr>
          <w:rFonts w:ascii="Arial" w:hAnsi="Arial" w:cs="Arial"/>
          <w:i/>
        </w:rPr>
      </w:pPr>
      <w:r w:rsidRPr="00AD143A">
        <w:rPr>
          <w:rFonts w:ascii="Arial" w:hAnsi="Arial" w:cs="Arial"/>
          <w:i/>
        </w:rPr>
        <w:t>The release, publication or distribution of this announcement into jurisdictions other than the United Kingdom may be restricted by law and therefore any persons who are subject to the law of any jurisdiction other than the United Kingdom should inform themselves about, and observe, any such restrictions.</w:t>
      </w:r>
    </w:p>
    <w:p w14:paraId="531BEAD7" w14:textId="77777777" w:rsidR="00611641" w:rsidRPr="00AD143A" w:rsidRDefault="00611641" w:rsidP="00611641">
      <w:pPr>
        <w:autoSpaceDE w:val="0"/>
        <w:autoSpaceDN w:val="0"/>
        <w:adjustRightInd w:val="0"/>
        <w:spacing w:after="0" w:line="240" w:lineRule="auto"/>
        <w:rPr>
          <w:rFonts w:ascii="Arial" w:hAnsi="Arial" w:cs="Arial"/>
          <w:i/>
        </w:rPr>
      </w:pPr>
    </w:p>
    <w:p w14:paraId="0AED16DE" w14:textId="56F09030" w:rsidR="00611641" w:rsidRPr="00AD143A" w:rsidRDefault="00611641" w:rsidP="00AD143A">
      <w:pPr>
        <w:autoSpaceDE w:val="0"/>
        <w:autoSpaceDN w:val="0"/>
        <w:adjustRightInd w:val="0"/>
        <w:spacing w:after="0" w:line="240" w:lineRule="auto"/>
        <w:jc w:val="both"/>
        <w:rPr>
          <w:rFonts w:ascii="Arial" w:hAnsi="Arial" w:cs="Arial"/>
          <w:i/>
        </w:rPr>
      </w:pPr>
      <w:r w:rsidRPr="00AD143A">
        <w:rPr>
          <w:rFonts w:ascii="Arial" w:hAnsi="Arial" w:cs="Arial"/>
          <w:i/>
        </w:rPr>
        <w:t>This announcement does not constitute or form part of any offer or invitation to purchase, otherwise acquire, subscribe for, sell, otherwise dispose of or issue, or any solicitation of any offer to sell, otherwise dispose of, issue, purchase, otherwise acquire or subscribe for, any security. This announcement does not constitute an invitation to participate in the B Share Scheme in or from any jurisdiction in or from which, or to or from whom, it is unlawful to make such offer under applicable securities laws or otherwise or where such offer would require</w:t>
      </w:r>
      <w:r w:rsidR="004F32A0" w:rsidRPr="00AD143A">
        <w:rPr>
          <w:rFonts w:ascii="Arial" w:hAnsi="Arial" w:cs="Arial"/>
          <w:i/>
        </w:rPr>
        <w:t xml:space="preserve"> </w:t>
      </w:r>
      <w:r w:rsidRPr="00AD143A">
        <w:rPr>
          <w:rFonts w:ascii="Arial" w:hAnsi="Arial" w:cs="Arial"/>
          <w:i/>
        </w:rPr>
        <w:t>a prospectus to be published.</w:t>
      </w:r>
      <w:r w:rsidR="00F40A8E">
        <w:rPr>
          <w:rFonts w:ascii="Arial" w:hAnsi="Arial" w:cs="Arial"/>
          <w:i/>
        </w:rPr>
        <w:t xml:space="preserve"> </w:t>
      </w:r>
      <w:r w:rsidRPr="00AD143A">
        <w:rPr>
          <w:rFonts w:ascii="Arial" w:hAnsi="Arial" w:cs="Arial"/>
          <w:i/>
        </w:rPr>
        <w:t xml:space="preserve"> Neither this announcement, nor any other document issued in connection with the proposed return of cash to Shareholders, may be issued or distributed to any person except under circumstances which do not constitute an offer to the public under applicable securities laws.</w:t>
      </w:r>
    </w:p>
    <w:sectPr w:rsidR="00611641" w:rsidRPr="00AD143A" w:rsidSect="00610E3E">
      <w:headerReference w:type="default" r:id="rId12"/>
      <w:footerReference w:type="even" r:id="rId13"/>
      <w:footerReference w:type="default" r:id="rId14"/>
      <w:footerReference w:type="first" r:id="rId15"/>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07760" w14:textId="77777777" w:rsidR="00417A01" w:rsidRDefault="00417A01" w:rsidP="001C0940">
      <w:pPr>
        <w:spacing w:after="0" w:line="240" w:lineRule="auto"/>
      </w:pPr>
      <w:r>
        <w:separator/>
      </w:r>
    </w:p>
  </w:endnote>
  <w:endnote w:type="continuationSeparator" w:id="0">
    <w:p w14:paraId="62449D7A" w14:textId="77777777" w:rsidR="00417A01" w:rsidRDefault="00417A01" w:rsidP="001C0940">
      <w:pPr>
        <w:spacing w:after="0" w:line="240" w:lineRule="auto"/>
      </w:pPr>
      <w:r>
        <w:continuationSeparator/>
      </w:r>
    </w:p>
  </w:endnote>
  <w:endnote w:type="continuationNotice" w:id="1">
    <w:p w14:paraId="07369592" w14:textId="77777777" w:rsidR="00417A01" w:rsidRDefault="00417A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78E96" w14:textId="5CBDCC32" w:rsidR="006B052B" w:rsidRPr="00B23825" w:rsidRDefault="00686AA5">
    <w:pPr>
      <w:pStyle w:val="Footer"/>
      <w:tabs>
        <w:tab w:val="clear" w:pos="4513"/>
        <w:tab w:val="clear" w:pos="9026"/>
        <w:tab w:val="right" w:pos="8787"/>
      </w:tabs>
    </w:pPr>
    <w:sdt>
      <w:sdtPr>
        <w:rPr>
          <w:szCs w:val="14"/>
        </w:rPr>
        <w:tag w:val="cciManRef"/>
        <w:id w:val="-1803603736"/>
        <w:lock w:val="sdtLocked"/>
        <w:text/>
      </w:sdtPr>
      <w:sdtEndPr/>
      <w:sdtContent>
        <w:r w:rsidR="006B052B">
          <w:rPr>
            <w:szCs w:val="14"/>
          </w:rPr>
          <w:t>11/60824984_1</w:t>
        </w:r>
      </w:sdtContent>
    </w:sdt>
    <w:r w:rsidR="006B052B" w:rsidRPr="000176B5">
      <w:rPr>
        <w:szCs w:val="14"/>
      </w:rPr>
      <w:ptab w:relativeTo="margin" w:alignment="right" w:leader="none"/>
    </w:r>
    <w:r w:rsidR="006B052B" w:rsidRPr="000176B5">
      <w:rPr>
        <w:szCs w:val="14"/>
      </w:rPr>
      <w:fldChar w:fldCharType="begin"/>
    </w:r>
    <w:r w:rsidR="006B052B" w:rsidRPr="000176B5">
      <w:rPr>
        <w:rStyle w:val="HeaderChar"/>
        <w:szCs w:val="14"/>
      </w:rPr>
      <w:instrText xml:space="preserve"> PAGE \* MERGEFORMAT </w:instrText>
    </w:r>
    <w:r w:rsidR="006B052B" w:rsidRPr="000176B5">
      <w:rPr>
        <w:szCs w:val="14"/>
      </w:rPr>
      <w:fldChar w:fldCharType="separate"/>
    </w:r>
    <w:r w:rsidR="006B052B">
      <w:rPr>
        <w:rStyle w:val="HeaderChar"/>
        <w:noProof/>
        <w:szCs w:val="14"/>
      </w:rPr>
      <w:t>1</w:t>
    </w:r>
    <w:r w:rsidR="006B052B" w:rsidRPr="000176B5">
      <w:rPr>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B2C0" w14:textId="0AE325B1" w:rsidR="006B052B" w:rsidRPr="00B23825" w:rsidRDefault="00686AA5" w:rsidP="009258A2">
    <w:pPr>
      <w:pStyle w:val="Footer"/>
      <w:tabs>
        <w:tab w:val="clear" w:pos="4513"/>
        <w:tab w:val="clear" w:pos="9026"/>
        <w:tab w:val="right" w:pos="8787"/>
      </w:tabs>
    </w:pPr>
    <w:sdt>
      <w:sdtPr>
        <w:rPr>
          <w:szCs w:val="14"/>
        </w:rPr>
        <w:tag w:val="cciManRef"/>
        <w:id w:val="207993068"/>
        <w:lock w:val="sdtLocked"/>
        <w:showingPlcHdr/>
        <w:text/>
      </w:sdtPr>
      <w:sdtEndPr/>
      <w:sdtContent>
        <w:r w:rsidR="009258A2">
          <w:rPr>
            <w:szCs w:val="14"/>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DC3AF" w14:textId="3EF29975" w:rsidR="006B052B" w:rsidRPr="00B23825" w:rsidRDefault="00686AA5">
    <w:pPr>
      <w:pStyle w:val="Footer"/>
      <w:tabs>
        <w:tab w:val="clear" w:pos="4513"/>
        <w:tab w:val="clear" w:pos="9026"/>
        <w:tab w:val="right" w:pos="8787"/>
      </w:tabs>
    </w:pPr>
    <w:sdt>
      <w:sdtPr>
        <w:rPr>
          <w:szCs w:val="14"/>
        </w:rPr>
        <w:tag w:val="cciManRef"/>
        <w:id w:val="-33969431"/>
        <w:lock w:val="sdtLocked"/>
        <w:text/>
      </w:sdtPr>
      <w:sdtEndPr/>
      <w:sdtContent>
        <w:r w:rsidR="006B052B">
          <w:rPr>
            <w:szCs w:val="14"/>
          </w:rPr>
          <w:t>11/60824984_1</w:t>
        </w:r>
      </w:sdtContent>
    </w:sdt>
    <w:r w:rsidR="006B052B" w:rsidRPr="000176B5">
      <w:rPr>
        <w:szCs w:val="14"/>
      </w:rPr>
      <w:ptab w:relativeTo="margin" w:alignment="right" w:leader="none"/>
    </w:r>
    <w:r w:rsidR="006B052B" w:rsidRPr="000176B5">
      <w:rPr>
        <w:szCs w:val="14"/>
      </w:rPr>
      <w:fldChar w:fldCharType="begin"/>
    </w:r>
    <w:r w:rsidR="006B052B" w:rsidRPr="000176B5">
      <w:rPr>
        <w:rStyle w:val="HeaderChar"/>
        <w:szCs w:val="14"/>
      </w:rPr>
      <w:instrText xml:space="preserve"> PAGE \* MERGEFORMAT </w:instrText>
    </w:r>
    <w:r w:rsidR="006B052B" w:rsidRPr="000176B5">
      <w:rPr>
        <w:szCs w:val="14"/>
      </w:rPr>
      <w:fldChar w:fldCharType="separate"/>
    </w:r>
    <w:r w:rsidR="006B052B">
      <w:rPr>
        <w:rStyle w:val="HeaderChar"/>
        <w:noProof/>
        <w:szCs w:val="14"/>
      </w:rPr>
      <w:t>1</w:t>
    </w:r>
    <w:r w:rsidR="006B052B" w:rsidRPr="000176B5">
      <w:rPr>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94CFC" w14:textId="77777777" w:rsidR="00417A01" w:rsidRDefault="00417A01" w:rsidP="001C0940">
      <w:pPr>
        <w:spacing w:after="0" w:line="240" w:lineRule="auto"/>
      </w:pPr>
      <w:r>
        <w:separator/>
      </w:r>
    </w:p>
  </w:footnote>
  <w:footnote w:type="continuationSeparator" w:id="0">
    <w:p w14:paraId="4E8C80F6" w14:textId="77777777" w:rsidR="00417A01" w:rsidRDefault="00417A01" w:rsidP="001C0940">
      <w:pPr>
        <w:spacing w:after="0" w:line="240" w:lineRule="auto"/>
      </w:pPr>
      <w:r>
        <w:continuationSeparator/>
      </w:r>
    </w:p>
  </w:footnote>
  <w:footnote w:type="continuationNotice" w:id="1">
    <w:p w14:paraId="441EBDED" w14:textId="77777777" w:rsidR="00417A01" w:rsidRDefault="00417A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FEE32" w14:textId="3EDD10AC" w:rsidR="00AA00ED" w:rsidRPr="00AD5FF3" w:rsidRDefault="00AA00ED" w:rsidP="00AD5FF3">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0267B"/>
    <w:multiLevelType w:val="hybridMultilevel"/>
    <w:tmpl w:val="EAF2E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BC4005"/>
    <w:multiLevelType w:val="hybridMultilevel"/>
    <w:tmpl w:val="62CC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40"/>
    <w:rsid w:val="000030AC"/>
    <w:rsid w:val="00017392"/>
    <w:rsid w:val="000176B5"/>
    <w:rsid w:val="00030ED0"/>
    <w:rsid w:val="000313AA"/>
    <w:rsid w:val="00032150"/>
    <w:rsid w:val="000328BB"/>
    <w:rsid w:val="00034995"/>
    <w:rsid w:val="000565F7"/>
    <w:rsid w:val="00071768"/>
    <w:rsid w:val="00072F06"/>
    <w:rsid w:val="00073D8B"/>
    <w:rsid w:val="00075684"/>
    <w:rsid w:val="00092D57"/>
    <w:rsid w:val="000A1FF8"/>
    <w:rsid w:val="000C586C"/>
    <w:rsid w:val="000D10A8"/>
    <w:rsid w:val="001351EA"/>
    <w:rsid w:val="001374AF"/>
    <w:rsid w:val="001517BE"/>
    <w:rsid w:val="00151951"/>
    <w:rsid w:val="00154F14"/>
    <w:rsid w:val="00161541"/>
    <w:rsid w:val="00180CB9"/>
    <w:rsid w:val="00182239"/>
    <w:rsid w:val="001A0A5B"/>
    <w:rsid w:val="001A18D5"/>
    <w:rsid w:val="001B0027"/>
    <w:rsid w:val="001C0940"/>
    <w:rsid w:val="001D7119"/>
    <w:rsid w:val="001E28A3"/>
    <w:rsid w:val="00236BF4"/>
    <w:rsid w:val="0025732D"/>
    <w:rsid w:val="002658AF"/>
    <w:rsid w:val="00295B0F"/>
    <w:rsid w:val="00295B57"/>
    <w:rsid w:val="002B0FF0"/>
    <w:rsid w:val="002C3B21"/>
    <w:rsid w:val="002C6F44"/>
    <w:rsid w:val="002D2995"/>
    <w:rsid w:val="002E1805"/>
    <w:rsid w:val="002E4112"/>
    <w:rsid w:val="00301AF3"/>
    <w:rsid w:val="003110B0"/>
    <w:rsid w:val="00312794"/>
    <w:rsid w:val="00327CAE"/>
    <w:rsid w:val="003419AF"/>
    <w:rsid w:val="00341B8A"/>
    <w:rsid w:val="00351FCB"/>
    <w:rsid w:val="003629DB"/>
    <w:rsid w:val="003713BC"/>
    <w:rsid w:val="003732A8"/>
    <w:rsid w:val="003915CD"/>
    <w:rsid w:val="003917AC"/>
    <w:rsid w:val="003C7374"/>
    <w:rsid w:val="003D43F2"/>
    <w:rsid w:val="003D45E9"/>
    <w:rsid w:val="00401AB7"/>
    <w:rsid w:val="004122B0"/>
    <w:rsid w:val="00414DAD"/>
    <w:rsid w:val="00415BD4"/>
    <w:rsid w:val="00417A01"/>
    <w:rsid w:val="00421506"/>
    <w:rsid w:val="004327C1"/>
    <w:rsid w:val="00446BAF"/>
    <w:rsid w:val="00460470"/>
    <w:rsid w:val="00461F8B"/>
    <w:rsid w:val="0046409D"/>
    <w:rsid w:val="00473BC9"/>
    <w:rsid w:val="004757BB"/>
    <w:rsid w:val="00486677"/>
    <w:rsid w:val="00490AC0"/>
    <w:rsid w:val="004913C5"/>
    <w:rsid w:val="00497F6A"/>
    <w:rsid w:val="004B11F1"/>
    <w:rsid w:val="004B7E70"/>
    <w:rsid w:val="004C3636"/>
    <w:rsid w:val="004E02DC"/>
    <w:rsid w:val="004F02C9"/>
    <w:rsid w:val="004F32A0"/>
    <w:rsid w:val="00511EC1"/>
    <w:rsid w:val="0051371E"/>
    <w:rsid w:val="005274E0"/>
    <w:rsid w:val="0053134D"/>
    <w:rsid w:val="005468D2"/>
    <w:rsid w:val="00551967"/>
    <w:rsid w:val="00553EB1"/>
    <w:rsid w:val="005607A9"/>
    <w:rsid w:val="00560F48"/>
    <w:rsid w:val="00564F08"/>
    <w:rsid w:val="005A3BDF"/>
    <w:rsid w:val="005B769D"/>
    <w:rsid w:val="005D2BD1"/>
    <w:rsid w:val="005D4453"/>
    <w:rsid w:val="005E47FE"/>
    <w:rsid w:val="005E7DC3"/>
    <w:rsid w:val="005F6689"/>
    <w:rsid w:val="00610E3E"/>
    <w:rsid w:val="006110AA"/>
    <w:rsid w:val="00611641"/>
    <w:rsid w:val="006320C9"/>
    <w:rsid w:val="0064584B"/>
    <w:rsid w:val="006542FB"/>
    <w:rsid w:val="00662244"/>
    <w:rsid w:val="00665C97"/>
    <w:rsid w:val="00684BE5"/>
    <w:rsid w:val="00686AA5"/>
    <w:rsid w:val="0069079A"/>
    <w:rsid w:val="00697A89"/>
    <w:rsid w:val="006A3D3E"/>
    <w:rsid w:val="006B052B"/>
    <w:rsid w:val="006D5199"/>
    <w:rsid w:val="006F74CF"/>
    <w:rsid w:val="007104C5"/>
    <w:rsid w:val="00715284"/>
    <w:rsid w:val="00725165"/>
    <w:rsid w:val="007331EE"/>
    <w:rsid w:val="00757903"/>
    <w:rsid w:val="00761647"/>
    <w:rsid w:val="00763DFB"/>
    <w:rsid w:val="0078240F"/>
    <w:rsid w:val="007A0A1B"/>
    <w:rsid w:val="007A3C08"/>
    <w:rsid w:val="007A66A4"/>
    <w:rsid w:val="007B60D4"/>
    <w:rsid w:val="007B669B"/>
    <w:rsid w:val="007E2AA8"/>
    <w:rsid w:val="0085238D"/>
    <w:rsid w:val="0086335E"/>
    <w:rsid w:val="00863F47"/>
    <w:rsid w:val="0087243E"/>
    <w:rsid w:val="00894F7D"/>
    <w:rsid w:val="008A7884"/>
    <w:rsid w:val="008C27DC"/>
    <w:rsid w:val="008D6625"/>
    <w:rsid w:val="009258A2"/>
    <w:rsid w:val="009275B5"/>
    <w:rsid w:val="00982D5F"/>
    <w:rsid w:val="009835CB"/>
    <w:rsid w:val="00992DC2"/>
    <w:rsid w:val="00996A11"/>
    <w:rsid w:val="009A39DB"/>
    <w:rsid w:val="009D2B21"/>
    <w:rsid w:val="009D7B83"/>
    <w:rsid w:val="009E512E"/>
    <w:rsid w:val="009F77A7"/>
    <w:rsid w:val="00A130C5"/>
    <w:rsid w:val="00A229D2"/>
    <w:rsid w:val="00A363C8"/>
    <w:rsid w:val="00A505AB"/>
    <w:rsid w:val="00A743B0"/>
    <w:rsid w:val="00A860D7"/>
    <w:rsid w:val="00A9389A"/>
    <w:rsid w:val="00A941DC"/>
    <w:rsid w:val="00AA00ED"/>
    <w:rsid w:val="00AA5B0D"/>
    <w:rsid w:val="00AC172D"/>
    <w:rsid w:val="00AD143A"/>
    <w:rsid w:val="00AD5FF3"/>
    <w:rsid w:val="00AE4885"/>
    <w:rsid w:val="00B13499"/>
    <w:rsid w:val="00B139AC"/>
    <w:rsid w:val="00B23825"/>
    <w:rsid w:val="00B74A05"/>
    <w:rsid w:val="00B7675A"/>
    <w:rsid w:val="00BA5EB5"/>
    <w:rsid w:val="00BA5FC1"/>
    <w:rsid w:val="00BC2B55"/>
    <w:rsid w:val="00BC5B22"/>
    <w:rsid w:val="00BD15C2"/>
    <w:rsid w:val="00BD79CD"/>
    <w:rsid w:val="00BE042A"/>
    <w:rsid w:val="00BE153E"/>
    <w:rsid w:val="00BE7FF8"/>
    <w:rsid w:val="00C02504"/>
    <w:rsid w:val="00C07301"/>
    <w:rsid w:val="00C1770F"/>
    <w:rsid w:val="00C21142"/>
    <w:rsid w:val="00C23525"/>
    <w:rsid w:val="00C27ACF"/>
    <w:rsid w:val="00C55D96"/>
    <w:rsid w:val="00C96660"/>
    <w:rsid w:val="00CC365C"/>
    <w:rsid w:val="00CD429A"/>
    <w:rsid w:val="00CE57A2"/>
    <w:rsid w:val="00CF5044"/>
    <w:rsid w:val="00D03DC7"/>
    <w:rsid w:val="00D10201"/>
    <w:rsid w:val="00D13080"/>
    <w:rsid w:val="00D30ED4"/>
    <w:rsid w:val="00D407A8"/>
    <w:rsid w:val="00D563A8"/>
    <w:rsid w:val="00D571D8"/>
    <w:rsid w:val="00D60048"/>
    <w:rsid w:val="00D65044"/>
    <w:rsid w:val="00D86ACD"/>
    <w:rsid w:val="00D9070B"/>
    <w:rsid w:val="00D94D69"/>
    <w:rsid w:val="00D97406"/>
    <w:rsid w:val="00DA2E2E"/>
    <w:rsid w:val="00DC39D7"/>
    <w:rsid w:val="00DD7C89"/>
    <w:rsid w:val="00DE2A92"/>
    <w:rsid w:val="00E0429C"/>
    <w:rsid w:val="00E06747"/>
    <w:rsid w:val="00E4172B"/>
    <w:rsid w:val="00E52013"/>
    <w:rsid w:val="00E56971"/>
    <w:rsid w:val="00E60629"/>
    <w:rsid w:val="00E874B6"/>
    <w:rsid w:val="00EC039D"/>
    <w:rsid w:val="00EC27DC"/>
    <w:rsid w:val="00ED27AC"/>
    <w:rsid w:val="00EF0795"/>
    <w:rsid w:val="00EF3CC8"/>
    <w:rsid w:val="00F258B9"/>
    <w:rsid w:val="00F40A8E"/>
    <w:rsid w:val="00F5174A"/>
    <w:rsid w:val="00F874F2"/>
    <w:rsid w:val="00F9538D"/>
    <w:rsid w:val="00F96476"/>
    <w:rsid w:val="00FA5A19"/>
    <w:rsid w:val="00FB3520"/>
    <w:rsid w:val="00FC15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C12032"/>
  <w15:docId w15:val="{C95FEC2E-6E61-4F19-9FFE-80B187D8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940"/>
    <w:rPr>
      <w:rFonts w:ascii="Tahoma" w:hAnsi="Tahoma" w:cs="Tahoma"/>
      <w:sz w:val="16"/>
      <w:szCs w:val="16"/>
    </w:rPr>
  </w:style>
  <w:style w:type="table" w:styleId="TableGrid">
    <w:name w:val="Table Grid"/>
    <w:basedOn w:val="TableNormal"/>
    <w:uiPriority w:val="59"/>
    <w:rsid w:val="001C09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39"/>
    <w:unhideWhenUsed/>
    <w:rsid w:val="001C0940"/>
    <w:pPr>
      <w:tabs>
        <w:tab w:val="center" w:pos="4513"/>
        <w:tab w:val="right" w:pos="9026"/>
      </w:tabs>
      <w:spacing w:after="0" w:line="240" w:lineRule="auto"/>
    </w:pPr>
  </w:style>
  <w:style w:type="character" w:customStyle="1" w:styleId="HeaderChar">
    <w:name w:val="Header Char"/>
    <w:basedOn w:val="DefaultParagraphFont"/>
    <w:link w:val="Header"/>
    <w:uiPriority w:val="39"/>
    <w:rsid w:val="001C0940"/>
  </w:style>
  <w:style w:type="paragraph" w:styleId="Footer">
    <w:name w:val="footer"/>
    <w:basedOn w:val="Normal"/>
    <w:link w:val="FooterChar"/>
    <w:uiPriority w:val="99"/>
    <w:unhideWhenUsed/>
    <w:rsid w:val="001C0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940"/>
  </w:style>
  <w:style w:type="paragraph" w:styleId="NoSpacing">
    <w:name w:val="No Spacing"/>
    <w:uiPriority w:val="1"/>
    <w:qFormat/>
    <w:rsid w:val="001C0940"/>
    <w:pPr>
      <w:spacing w:after="0" w:line="240" w:lineRule="auto"/>
    </w:pPr>
  </w:style>
  <w:style w:type="paragraph" w:customStyle="1" w:styleId="Default">
    <w:name w:val="Default"/>
    <w:rsid w:val="007331E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30ED4"/>
    <w:rPr>
      <w:sz w:val="16"/>
      <w:szCs w:val="16"/>
    </w:rPr>
  </w:style>
  <w:style w:type="paragraph" w:styleId="CommentText">
    <w:name w:val="annotation text"/>
    <w:basedOn w:val="Normal"/>
    <w:link w:val="CommentTextChar"/>
    <w:uiPriority w:val="99"/>
    <w:semiHidden/>
    <w:unhideWhenUsed/>
    <w:rsid w:val="00D30ED4"/>
    <w:pPr>
      <w:spacing w:line="240" w:lineRule="auto"/>
    </w:pPr>
    <w:rPr>
      <w:sz w:val="20"/>
      <w:szCs w:val="20"/>
    </w:rPr>
  </w:style>
  <w:style w:type="character" w:customStyle="1" w:styleId="CommentTextChar">
    <w:name w:val="Comment Text Char"/>
    <w:basedOn w:val="DefaultParagraphFont"/>
    <w:link w:val="CommentText"/>
    <w:uiPriority w:val="99"/>
    <w:semiHidden/>
    <w:rsid w:val="00D30ED4"/>
    <w:rPr>
      <w:sz w:val="20"/>
      <w:szCs w:val="20"/>
    </w:rPr>
  </w:style>
  <w:style w:type="paragraph" w:styleId="CommentSubject">
    <w:name w:val="annotation subject"/>
    <w:basedOn w:val="CommentText"/>
    <w:next w:val="CommentText"/>
    <w:link w:val="CommentSubjectChar"/>
    <w:uiPriority w:val="99"/>
    <w:semiHidden/>
    <w:unhideWhenUsed/>
    <w:rsid w:val="00D30ED4"/>
    <w:rPr>
      <w:b/>
      <w:bCs/>
    </w:rPr>
  </w:style>
  <w:style w:type="character" w:customStyle="1" w:styleId="CommentSubjectChar">
    <w:name w:val="Comment Subject Char"/>
    <w:basedOn w:val="CommentTextChar"/>
    <w:link w:val="CommentSubject"/>
    <w:uiPriority w:val="99"/>
    <w:semiHidden/>
    <w:rsid w:val="00D30ED4"/>
    <w:rPr>
      <w:b/>
      <w:bCs/>
      <w:sz w:val="20"/>
      <w:szCs w:val="20"/>
    </w:rPr>
  </w:style>
  <w:style w:type="paragraph" w:styleId="ListParagraph">
    <w:name w:val="List Paragraph"/>
    <w:basedOn w:val="Normal"/>
    <w:uiPriority w:val="34"/>
    <w:qFormat/>
    <w:rsid w:val="00A743B0"/>
    <w:pPr>
      <w:ind w:left="720"/>
      <w:contextualSpacing/>
    </w:pPr>
  </w:style>
  <w:style w:type="character" w:styleId="Hyperlink">
    <w:name w:val="Hyperlink"/>
    <w:basedOn w:val="DefaultParagraphFont"/>
    <w:uiPriority w:val="99"/>
    <w:unhideWhenUsed/>
    <w:rsid w:val="00996A11"/>
    <w:rPr>
      <w:color w:val="0000FF" w:themeColor="hyperlink"/>
      <w:u w:val="single"/>
    </w:rPr>
  </w:style>
  <w:style w:type="paragraph" w:styleId="Date">
    <w:name w:val="Date"/>
    <w:basedOn w:val="Normal"/>
    <w:next w:val="Normal"/>
    <w:link w:val="DateChar"/>
    <w:uiPriority w:val="99"/>
    <w:semiHidden/>
    <w:unhideWhenUsed/>
    <w:rsid w:val="006B052B"/>
  </w:style>
  <w:style w:type="character" w:customStyle="1" w:styleId="DateChar">
    <w:name w:val="Date Char"/>
    <w:basedOn w:val="DefaultParagraphFont"/>
    <w:link w:val="Date"/>
    <w:uiPriority w:val="99"/>
    <w:semiHidden/>
    <w:rsid w:val="006B052B"/>
  </w:style>
  <w:style w:type="paragraph" w:styleId="FootnoteText">
    <w:name w:val="footnote text"/>
    <w:basedOn w:val="Normal"/>
    <w:link w:val="FootnoteTextChar"/>
    <w:uiPriority w:val="99"/>
    <w:semiHidden/>
    <w:unhideWhenUsed/>
    <w:rsid w:val="001351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1EA"/>
    <w:rPr>
      <w:sz w:val="20"/>
      <w:szCs w:val="20"/>
    </w:rPr>
  </w:style>
  <w:style w:type="character" w:styleId="FootnoteReference">
    <w:name w:val="footnote reference"/>
    <w:basedOn w:val="DefaultParagraphFont"/>
    <w:uiPriority w:val="99"/>
    <w:semiHidden/>
    <w:unhideWhenUsed/>
    <w:rsid w:val="00135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65894">
      <w:bodyDiv w:val="1"/>
      <w:marLeft w:val="0"/>
      <w:marRight w:val="0"/>
      <w:marTop w:val="0"/>
      <w:marBottom w:val="0"/>
      <w:divBdr>
        <w:top w:val="none" w:sz="0" w:space="0" w:color="auto"/>
        <w:left w:val="none" w:sz="0" w:space="0" w:color="auto"/>
        <w:bottom w:val="none" w:sz="0" w:space="0" w:color="auto"/>
        <w:right w:val="none" w:sz="0" w:space="0" w:color="auto"/>
      </w:divBdr>
    </w:div>
    <w:div w:id="256522881">
      <w:bodyDiv w:val="1"/>
      <w:marLeft w:val="0"/>
      <w:marRight w:val="0"/>
      <w:marTop w:val="0"/>
      <w:marBottom w:val="0"/>
      <w:divBdr>
        <w:top w:val="none" w:sz="0" w:space="0" w:color="auto"/>
        <w:left w:val="none" w:sz="0" w:space="0" w:color="auto"/>
        <w:bottom w:val="none" w:sz="0" w:space="0" w:color="auto"/>
        <w:right w:val="none" w:sz="0" w:space="0" w:color="auto"/>
      </w:divBdr>
    </w:div>
    <w:div w:id="282271525">
      <w:bodyDiv w:val="1"/>
      <w:marLeft w:val="0"/>
      <w:marRight w:val="0"/>
      <w:marTop w:val="0"/>
      <w:marBottom w:val="0"/>
      <w:divBdr>
        <w:top w:val="none" w:sz="0" w:space="0" w:color="auto"/>
        <w:left w:val="none" w:sz="0" w:space="0" w:color="auto"/>
        <w:bottom w:val="none" w:sz="0" w:space="0" w:color="auto"/>
        <w:right w:val="none" w:sz="0" w:space="0" w:color="auto"/>
      </w:divBdr>
    </w:div>
    <w:div w:id="521631279">
      <w:bodyDiv w:val="1"/>
      <w:marLeft w:val="0"/>
      <w:marRight w:val="0"/>
      <w:marTop w:val="0"/>
      <w:marBottom w:val="0"/>
      <w:divBdr>
        <w:top w:val="none" w:sz="0" w:space="0" w:color="auto"/>
        <w:left w:val="none" w:sz="0" w:space="0" w:color="auto"/>
        <w:bottom w:val="none" w:sz="0" w:space="0" w:color="auto"/>
        <w:right w:val="none" w:sz="0" w:space="0" w:color="auto"/>
      </w:divBdr>
    </w:div>
    <w:div w:id="665598282">
      <w:bodyDiv w:val="1"/>
      <w:marLeft w:val="0"/>
      <w:marRight w:val="0"/>
      <w:marTop w:val="0"/>
      <w:marBottom w:val="0"/>
      <w:divBdr>
        <w:top w:val="none" w:sz="0" w:space="0" w:color="auto"/>
        <w:left w:val="none" w:sz="0" w:space="0" w:color="auto"/>
        <w:bottom w:val="none" w:sz="0" w:space="0" w:color="auto"/>
        <w:right w:val="none" w:sz="0" w:space="0" w:color="auto"/>
      </w:divBdr>
    </w:div>
    <w:div w:id="1100028657">
      <w:bodyDiv w:val="1"/>
      <w:marLeft w:val="0"/>
      <w:marRight w:val="0"/>
      <w:marTop w:val="0"/>
      <w:marBottom w:val="0"/>
      <w:divBdr>
        <w:top w:val="none" w:sz="0" w:space="0" w:color="auto"/>
        <w:left w:val="none" w:sz="0" w:space="0" w:color="auto"/>
        <w:bottom w:val="none" w:sz="0" w:space="0" w:color="auto"/>
        <w:right w:val="none" w:sz="0" w:space="0" w:color="auto"/>
      </w:divBdr>
    </w:div>
    <w:div w:id="1436172887">
      <w:bodyDiv w:val="1"/>
      <w:marLeft w:val="0"/>
      <w:marRight w:val="0"/>
      <w:marTop w:val="0"/>
      <w:marBottom w:val="0"/>
      <w:divBdr>
        <w:top w:val="none" w:sz="0" w:space="0" w:color="auto"/>
        <w:left w:val="none" w:sz="0" w:space="0" w:color="auto"/>
        <w:bottom w:val="none" w:sz="0" w:space="0" w:color="auto"/>
        <w:right w:val="none" w:sz="0" w:space="0" w:color="auto"/>
      </w:divBdr>
    </w:div>
    <w:div w:id="164445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fca.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keleygroup.co.uk/investor-information/corporate-governanc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data.fca.org.uk/" TargetMode="External"/><Relationship Id="rId4" Type="http://schemas.openxmlformats.org/officeDocument/2006/relationships/settings" Target="settings.xml"/><Relationship Id="rId9" Type="http://schemas.openxmlformats.org/officeDocument/2006/relationships/hyperlink" Target="http://www.berkeleygroup.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C9E63-47D0-4D9E-AA40-00106893F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6084</Characters>
  <Application>Microsoft Office Word</Application>
  <DocSecurity>4</DocSecurity>
  <PresentationFormat>3bb7a053-8079-42fc-88fd-73628703f9c0</PresentationFormat>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Sissons, David-GB+</dc:creator>
  <cp:lastModifiedBy>Ann Dibben</cp:lastModifiedBy>
  <cp:revision>2</cp:revision>
  <dcterms:created xsi:type="dcterms:W3CDTF">2021-09-03T11:57:00Z</dcterms:created>
  <dcterms:modified xsi:type="dcterms:W3CDTF">2021-09-03T11:57:00Z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0x010100D90557FF080F4CB4B7E7ECF37C5C350500337E2272AAD62F449CBE49038BC73A71</vt:lpwstr>
  </property>
</Properties>
</file>