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1C055" w14:textId="598F1ECE" w:rsidR="00486677" w:rsidRPr="00AD143A" w:rsidRDefault="00A9389A" w:rsidP="0059067E">
      <w:pPr>
        <w:pStyle w:val="NoSpacing"/>
        <w:rPr>
          <w:rFonts w:ascii="Arial" w:hAnsi="Arial" w:cs="Arial"/>
        </w:rPr>
      </w:pPr>
      <w:r w:rsidRPr="00AD143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0E873" wp14:editId="4DB249C3">
                <wp:simplePos x="0" y="0"/>
                <wp:positionH relativeFrom="column">
                  <wp:posOffset>-550281</wp:posOffset>
                </wp:positionH>
                <wp:positionV relativeFrom="paragraph">
                  <wp:posOffset>-551815</wp:posOffset>
                </wp:positionV>
                <wp:extent cx="1371600" cy="258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0F4B" w14:textId="7F0CDE50" w:rsidR="006B052B" w:rsidRPr="009D2B21" w:rsidRDefault="006B052B" w:rsidP="00A9389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0E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35pt;margin-top:-43.45pt;width:108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" stroked="f">
                <v:textbox>
                  <w:txbxContent>
                    <w:p w14:paraId="0D950F4B" w14:textId="7F0CDE50" w:rsidR="006B052B" w:rsidRPr="009D2B21" w:rsidRDefault="006B052B" w:rsidP="00A9389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09D" w:rsidRPr="00AD143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8A57" wp14:editId="4DFC16E7">
                <wp:simplePos x="0" y="0"/>
                <wp:positionH relativeFrom="column">
                  <wp:posOffset>4666615</wp:posOffset>
                </wp:positionH>
                <wp:positionV relativeFrom="paragraph">
                  <wp:posOffset>-551815</wp:posOffset>
                </wp:positionV>
                <wp:extent cx="1371600" cy="25844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15978" w14:textId="2BB9903C" w:rsidR="006B052B" w:rsidRPr="009D2B21" w:rsidRDefault="006B05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8A57" id="_x0000_s1027" type="#_x0000_t202" style="position:absolute;margin-left:367.45pt;margin-top:-43.45pt;width:108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" stroked="f">
                <v:textbox>
                  <w:txbxContent>
                    <w:p w14:paraId="68515978" w14:textId="2BB9903C" w:rsidR="006B052B" w:rsidRPr="009D2B21" w:rsidRDefault="006B052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67E">
        <w:rPr>
          <w:rFonts w:ascii="Arial" w:hAnsi="Arial" w:cs="Arial"/>
        </w:rPr>
        <w:t>6 September 2022</w:t>
      </w:r>
    </w:p>
    <w:p w14:paraId="7F4E5AC6" w14:textId="77777777" w:rsidR="009835CB" w:rsidRPr="00AD143A" w:rsidRDefault="009835CB" w:rsidP="001C0940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26E2E7B7" w14:textId="77777777" w:rsidR="007677C4" w:rsidRDefault="003732A8" w:rsidP="007677C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Berkeley Group Holdings plc</w:t>
      </w:r>
      <w:r w:rsidR="007677C4">
        <w:rPr>
          <w:rFonts w:ascii="Arial" w:hAnsi="Arial" w:cs="Arial"/>
          <w:b/>
        </w:rPr>
        <w:t xml:space="preserve"> </w:t>
      </w:r>
    </w:p>
    <w:p w14:paraId="5793B254" w14:textId="4A1BC860" w:rsidR="003732A8" w:rsidRPr="00AD143A" w:rsidRDefault="003732A8" w:rsidP="007677C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the</w:t>
      </w:r>
      <w:proofErr w:type="gramEnd"/>
      <w:r>
        <w:rPr>
          <w:rFonts w:ascii="Arial" w:hAnsi="Arial" w:cs="Arial"/>
          <w:b/>
        </w:rPr>
        <w:t xml:space="preserve"> “Company”)</w:t>
      </w:r>
    </w:p>
    <w:p w14:paraId="4244CDC5" w14:textId="48BBE80A" w:rsidR="001C0940" w:rsidRDefault="001C0940" w:rsidP="001C0940">
      <w:pPr>
        <w:pStyle w:val="NoSpacing"/>
        <w:jc w:val="center"/>
        <w:rPr>
          <w:rFonts w:ascii="Arial" w:hAnsi="Arial" w:cs="Arial"/>
          <w:b/>
        </w:rPr>
      </w:pPr>
    </w:p>
    <w:p w14:paraId="6BC1B0FB" w14:textId="1E2DD4A1" w:rsidR="003732A8" w:rsidRPr="00AD143A" w:rsidRDefault="0059067E" w:rsidP="001C0940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  <w:r w:rsidR="003732A8">
        <w:rPr>
          <w:rFonts w:ascii="Arial" w:hAnsi="Arial" w:cs="Arial"/>
          <w:b/>
        </w:rPr>
        <w:t xml:space="preserve"> Annual General Meeting (“AGM”)</w:t>
      </w:r>
    </w:p>
    <w:p w14:paraId="0B578FAE" w14:textId="259FCF4B" w:rsidR="00486677" w:rsidRPr="00AD143A" w:rsidRDefault="00996A11" w:rsidP="009258A2">
      <w:pPr>
        <w:pStyle w:val="NoSpacing"/>
        <w:jc w:val="center"/>
        <w:rPr>
          <w:rFonts w:ascii="Arial" w:hAnsi="Arial" w:cs="Arial"/>
          <w:b/>
        </w:rPr>
      </w:pPr>
      <w:r w:rsidRPr="00AD143A">
        <w:rPr>
          <w:rFonts w:ascii="Arial" w:hAnsi="Arial" w:cs="Arial"/>
          <w:b/>
        </w:rPr>
        <w:t xml:space="preserve">Results of </w:t>
      </w:r>
      <w:r w:rsidR="003732A8">
        <w:rPr>
          <w:rFonts w:ascii="Arial" w:hAnsi="Arial" w:cs="Arial"/>
          <w:b/>
        </w:rPr>
        <w:t>AGM</w:t>
      </w:r>
      <w:r w:rsidRPr="00AD143A">
        <w:rPr>
          <w:rFonts w:ascii="Arial" w:hAnsi="Arial" w:cs="Arial"/>
          <w:b/>
        </w:rPr>
        <w:t xml:space="preserve">, </w:t>
      </w:r>
      <w:r w:rsidR="007A0A1B" w:rsidRPr="00AD143A">
        <w:rPr>
          <w:rFonts w:ascii="Arial" w:hAnsi="Arial" w:cs="Arial"/>
          <w:b/>
        </w:rPr>
        <w:t>Return of Cash</w:t>
      </w:r>
      <w:r w:rsidR="00684BE5" w:rsidRPr="00AD143A">
        <w:rPr>
          <w:rFonts w:ascii="Arial" w:hAnsi="Arial" w:cs="Arial"/>
          <w:b/>
        </w:rPr>
        <w:t xml:space="preserve"> and </w:t>
      </w:r>
      <w:r w:rsidRPr="00AD143A">
        <w:rPr>
          <w:rFonts w:ascii="Arial" w:hAnsi="Arial" w:cs="Arial"/>
          <w:b/>
        </w:rPr>
        <w:t>Share Consolidation</w:t>
      </w:r>
    </w:p>
    <w:p w14:paraId="115041B8" w14:textId="77777777" w:rsidR="006B052B" w:rsidRPr="00AD143A" w:rsidRDefault="006B052B" w:rsidP="00EF0795">
      <w:pPr>
        <w:pStyle w:val="NoSpacing"/>
        <w:jc w:val="both"/>
        <w:rPr>
          <w:rFonts w:ascii="Arial" w:hAnsi="Arial" w:cs="Arial"/>
          <w:bCs/>
        </w:rPr>
      </w:pPr>
    </w:p>
    <w:p w14:paraId="75E343C1" w14:textId="17F4D400" w:rsidR="003732A8" w:rsidRDefault="003732A8" w:rsidP="0059067E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Shareholders are informed that </w:t>
      </w:r>
      <w:r w:rsidR="00C96660" w:rsidRPr="00AD143A">
        <w:rPr>
          <w:rFonts w:ascii="Arial" w:hAnsi="Arial" w:cs="Arial"/>
          <w:bCs/>
        </w:rPr>
        <w:t xml:space="preserve">the results of </w:t>
      </w:r>
      <w:r>
        <w:rPr>
          <w:rFonts w:ascii="Arial" w:hAnsi="Arial" w:cs="Arial"/>
          <w:bCs/>
        </w:rPr>
        <w:t xml:space="preserve">the poll on the resolutions put before the AGM of the Company </w:t>
      </w:r>
      <w:r w:rsidR="00C96660" w:rsidRPr="00AD143A">
        <w:rPr>
          <w:rFonts w:ascii="Arial" w:hAnsi="Arial" w:cs="Arial"/>
          <w:bCs/>
        </w:rPr>
        <w:t xml:space="preserve">held </w:t>
      </w:r>
      <w:r>
        <w:rPr>
          <w:rFonts w:ascii="Arial" w:hAnsi="Arial" w:cs="Arial"/>
          <w:bCs/>
        </w:rPr>
        <w:t xml:space="preserve">on </w:t>
      </w:r>
      <w:r w:rsidR="0059067E">
        <w:rPr>
          <w:rFonts w:ascii="Arial" w:hAnsi="Arial" w:cs="Arial"/>
          <w:bCs/>
        </w:rPr>
        <w:t>6</w:t>
      </w:r>
      <w:r w:rsidR="002C3B21" w:rsidRPr="00AD143A">
        <w:rPr>
          <w:rFonts w:ascii="Arial" w:hAnsi="Arial" w:cs="Arial"/>
          <w:bCs/>
        </w:rPr>
        <w:t xml:space="preserve"> September 202</w:t>
      </w:r>
      <w:r w:rsidR="0059067E">
        <w:rPr>
          <w:rFonts w:ascii="Arial" w:hAnsi="Arial" w:cs="Arial"/>
          <w:bCs/>
        </w:rPr>
        <w:t>2</w:t>
      </w:r>
      <w:r w:rsidR="000C586C" w:rsidRPr="00AD14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are:</w:t>
      </w:r>
    </w:p>
    <w:p w14:paraId="229A9CF8" w14:textId="208495EF" w:rsidR="00D94D69" w:rsidRDefault="00D94D69" w:rsidP="009258A2">
      <w:pPr>
        <w:pStyle w:val="NoSpacing"/>
        <w:jc w:val="both"/>
        <w:rPr>
          <w:rFonts w:ascii="Arial" w:hAnsi="Arial" w:cs="Arial"/>
          <w:bCs/>
        </w:rPr>
      </w:pPr>
    </w:p>
    <w:tbl>
      <w:tblPr>
        <w:tblW w:w="9718" w:type="dxa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276"/>
        <w:gridCol w:w="1132"/>
        <w:gridCol w:w="1419"/>
        <w:gridCol w:w="1134"/>
        <w:gridCol w:w="1218"/>
      </w:tblGrid>
      <w:tr w:rsidR="00D94D69" w:rsidRPr="00D94D69" w14:paraId="6AE92487" w14:textId="77777777" w:rsidTr="00C43158">
        <w:trPr>
          <w:trHeight w:val="8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3E07" w14:textId="5A5D023A" w:rsidR="00D94D69" w:rsidRPr="00D94D69" w:rsidRDefault="00D94D69" w:rsidP="00D9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Resolution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251" w14:textId="77777777" w:rsidR="00D94D69" w:rsidRPr="00D94D69" w:rsidRDefault="00D94D69" w:rsidP="00D94D69">
            <w:pPr>
              <w:pStyle w:val="NoSpacing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4D69">
              <w:rPr>
                <w:rFonts w:ascii="Arial" w:hAnsi="Arial" w:cs="Arial"/>
                <w:bCs/>
                <w:sz w:val="20"/>
                <w:szCs w:val="20"/>
              </w:rPr>
              <w:t xml:space="preserve">Votes </w:t>
            </w:r>
          </w:p>
          <w:p w14:paraId="089A80EB" w14:textId="7846F30F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Pr="00D94D6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59EA" w14:textId="77777777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35BB" w14:textId="3231C5BD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Votes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AGAINST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AF7" w14:textId="77777777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C03" w14:textId="31DB9C0E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Total Votes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Validly </w:t>
            </w: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Cast (excluding withheld)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B777" w14:textId="67EF81E2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%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ISC Voted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B0B" w14:textId="5D7E7F94" w:rsidR="00D94D69" w:rsidRPr="00D94D69" w:rsidRDefault="00D94D69" w:rsidP="00D9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Withheld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Votes</w:t>
            </w:r>
            <w:r w:rsidR="006542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</w:p>
        </w:tc>
      </w:tr>
      <w:tr w:rsidR="00C43158" w:rsidRPr="00D94D69" w14:paraId="27F4588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3F97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30BD" w14:textId="49F8BDC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77,696,032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94EE" w14:textId="6695A08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100.00%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593B" w14:textId="153B88E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267E" w14:textId="28009C9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0.00%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857E" w14:textId="3A83A13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77,696,499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04D3" w14:textId="66CDD2AA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71.19%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C228" w14:textId="0117A95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1,771,935</w:t>
            </w:r>
          </w:p>
        </w:tc>
      </w:tr>
      <w:tr w:rsidR="00C43158" w:rsidRPr="00D94D69" w14:paraId="360F7FA9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8D94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4780" w14:textId="03C913F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73,246,762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C015" w14:textId="540F2FD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92.25%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C384" w14:textId="65AB12E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6,156,568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6949" w14:textId="6F01AAB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7.75%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D031" w14:textId="2DFF3D8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79,403,330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A3E4" w14:textId="33E7E7B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72.75%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5598" w14:textId="62B12D7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65,103</w:t>
            </w:r>
          </w:p>
        </w:tc>
      </w:tr>
      <w:tr w:rsidR="00C43158" w:rsidRPr="00D94D69" w14:paraId="2982D9F0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F43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8126" w14:textId="422B4F0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41,541,682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7767" w14:textId="1284B7D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60.26%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9A22" w14:textId="088D47D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27,398,989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03F5" w14:textId="2F0AA8D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39.74%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C6A4" w14:textId="46FB81B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68,940,671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4624" w14:textId="39AB316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63.17%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8E47" w14:textId="7792140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10,552,281</w:t>
            </w:r>
          </w:p>
        </w:tc>
      </w:tr>
      <w:tr w:rsidR="00C43158" w:rsidRPr="00D94D69" w14:paraId="0F2014B7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31B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1142" w14:textId="3A18314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56,470,986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F1A2" w14:textId="4D285D7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71.33%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B9D4" w14:textId="2096A02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22,697,068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DC06" w14:textId="4D8AF70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28.67%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9C22" w14:textId="6733688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79,168,054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A8E8" w14:textId="3A3D406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72.54%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9CFB" w14:textId="5ADDA9C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324,898</w:t>
            </w:r>
          </w:p>
        </w:tc>
      </w:tr>
      <w:tr w:rsidR="00C43158" w:rsidRPr="00D94D69" w14:paraId="005F6FCE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678D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7977" w14:textId="04C8289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43,245,003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C3FD" w14:textId="0DCAF4A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61.41%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A11E" w14:textId="3E17F6B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27,174,538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DE6E" w14:textId="3861B59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38.59%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F654" w14:textId="177FF7D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70,419,541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E295" w14:textId="2352A28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64.52%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67D0" w14:textId="343114B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9,073,411</w:t>
            </w:r>
          </w:p>
        </w:tc>
      </w:tr>
      <w:tr w:rsidR="00C43158" w:rsidRPr="00D94D69" w14:paraId="48D418D2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F21F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89A0" w14:textId="59F39E5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79,381,242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7260" w14:textId="720F74B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99.86%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B002" w14:textId="55FD278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109,667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FC1E" w14:textId="6BE370B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0.14%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D800" w14:textId="0F6704A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79,490,909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4E52" w14:textId="7E2B3AA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5CDB" w14:textId="5B77439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2,044</w:t>
            </w:r>
          </w:p>
        </w:tc>
      </w:tr>
      <w:tr w:rsidR="00C43158" w:rsidRPr="00D94D69" w14:paraId="18C47E8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346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15E2" w14:textId="0969913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78,615,111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5472" w14:textId="31F4A0C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98.90%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6EFC" w14:textId="10C8DC2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875,798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7DA8" w14:textId="04B32A5A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1.10%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7425" w14:textId="686C722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79,490,909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684F" w14:textId="2364D3A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99BA" w14:textId="6E18AD6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2,044</w:t>
            </w:r>
          </w:p>
        </w:tc>
      </w:tr>
      <w:tr w:rsidR="00C43158" w:rsidRPr="00D94D69" w14:paraId="77CA1ABB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0DD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90FFE" w14:textId="43C1D67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79,347,230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57B7" w14:textId="7E4D389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99.82%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FC85" w14:textId="7381F7B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143,801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49AB" w14:textId="5C09EEB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0.18%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E64E" w14:textId="0416DED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79,491,031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3F98" w14:textId="7C6F65B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5276" w14:textId="589F3E7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1,922</w:t>
            </w:r>
          </w:p>
        </w:tc>
      </w:tr>
      <w:tr w:rsidR="00C43158" w:rsidRPr="00D94D69" w14:paraId="583D34D8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C09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21BD" w14:textId="702BE1E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78,691,729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198A" w14:textId="5E8614C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98.99%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A0B9" w14:textId="58D75F5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799,302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487AA" w14:textId="597293E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1.01%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4FE9" w14:textId="1BA00CC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79,491,031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7E9A" w14:textId="6618348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B570" w14:textId="49A3AB8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1,922</w:t>
            </w:r>
          </w:p>
        </w:tc>
      </w:tr>
      <w:tr w:rsidR="00C43158" w:rsidRPr="00D94D69" w14:paraId="36BCBC52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449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AAFC" w14:textId="26F94D3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79,003,053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76E9" w14:textId="4514F12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99.42%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C21B" w14:textId="4F7456C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463,199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4A24" w14:textId="3D31386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0.58%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A17" w14:textId="244D9EC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79,466,252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7D97" w14:textId="50D156EA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DFA5" w14:textId="0A003D4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2,182</w:t>
            </w:r>
          </w:p>
        </w:tc>
      </w:tr>
      <w:tr w:rsidR="00C43158" w:rsidRPr="00D94D69" w14:paraId="5ADE4516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78A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D321" w14:textId="463C9B3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77,942,735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6318" w14:textId="1E1AC06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98.08%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6750" w14:textId="0354173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1,523,517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287F" w14:textId="4C0AA29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1.92%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986F" w14:textId="4F0C7B5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79,466,252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9D62" w14:textId="2CE5569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A83F" w14:textId="75385E8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2,182</w:t>
            </w:r>
          </w:p>
        </w:tc>
      </w:tr>
      <w:tr w:rsidR="00C43158" w:rsidRPr="00D94D69" w14:paraId="1305CAF9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52C8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8AD0" w14:textId="0E8E982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76,399,138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2454" w14:textId="0F6F5AB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96.14%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9165" w14:textId="3DF917A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3,066,722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923A" w14:textId="180DE38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3.86%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A04C" w14:textId="67DD59F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79,465,860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6CA9" w14:textId="31D09ED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85C33" w14:textId="2B695BB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2,574</w:t>
            </w:r>
          </w:p>
        </w:tc>
      </w:tr>
      <w:tr w:rsidR="00C43158" w:rsidRPr="00D94D69" w14:paraId="73BE818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002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A67D" w14:textId="03F15B1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79,456,682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FA7B" w14:textId="5D41789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F7D4" w14:textId="33BC523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9,570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743A" w14:textId="5AAB9AA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E1B7" w14:textId="045967E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79,466,252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DAB6" w14:textId="74F4550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388F" w14:textId="5C6E98E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2,044</w:t>
            </w:r>
          </w:p>
        </w:tc>
      </w:tr>
      <w:tr w:rsidR="00C43158" w:rsidRPr="00D94D69" w14:paraId="17D762FC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E4D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08CD" w14:textId="19ED9C8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78,344,946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5871" w14:textId="4B9ADE7A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98.59%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DB32" w14:textId="0F55DCB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1,121,443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F42" w14:textId="6C003B2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1.41%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4341" w14:textId="5FE9501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79,466,389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EB01" w14:textId="14B3040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6FC2" w14:textId="32AE9A2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2,045</w:t>
            </w:r>
          </w:p>
        </w:tc>
      </w:tr>
      <w:tr w:rsidR="00C43158" w:rsidRPr="00D94D69" w14:paraId="0ABB899A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1A8A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6D" w14:textId="6F5C653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79,453,154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E0B4" w14:textId="46A3DEC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0A78" w14:textId="17A62C1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12,798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7676" w14:textId="5CF575B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450AE" w14:textId="4FB2031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79,465,952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E572" w14:textId="7B2E3F4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3622" w14:textId="383DAB0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2,482</w:t>
            </w:r>
          </w:p>
        </w:tc>
      </w:tr>
      <w:tr w:rsidR="00C43158" w:rsidRPr="00D94D69" w14:paraId="359D8AC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4DA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89F7" w14:textId="30D6321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79,453,098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C2B7" w14:textId="244C3EF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B53B" w14:textId="1C18AD2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13,154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6E9B" w14:textId="79B76AB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DF70" w14:textId="0C85B52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79,466,252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AF31" w14:textId="0082E4A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CD09" w14:textId="388A5B1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2,182</w:t>
            </w:r>
          </w:p>
        </w:tc>
      </w:tr>
      <w:tr w:rsidR="00C43158" w:rsidRPr="00D94D69" w14:paraId="53996C95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5964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4984" w14:textId="2ED66B3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79,456,070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0DEC" w14:textId="72DAD4D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B65C" w14:textId="50245C7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10,320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8D91" w14:textId="1DFB9CE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A09F" w14:textId="58BEACF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79,466,390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CD1C" w14:textId="25FF882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0AF7F" w14:textId="57163D7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2,044</w:t>
            </w:r>
          </w:p>
        </w:tc>
      </w:tr>
      <w:tr w:rsidR="00C43158" w:rsidRPr="00D94D69" w14:paraId="59956D80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AFA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A369" w14:textId="6FE8716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79,313,416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BDC7" w14:textId="43529E3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99.81%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2B79" w14:textId="538D315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152,444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92EE" w14:textId="6AAAFD1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0.19%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8835D" w14:textId="3CBC72C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79,465,860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4487" w14:textId="248C668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BC4B" w14:textId="39463D4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2,574</w:t>
            </w:r>
          </w:p>
        </w:tc>
      </w:tr>
      <w:tr w:rsidR="00C43158" w:rsidRPr="00D94D69" w14:paraId="12FB1CB5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2B0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15F3" w14:textId="56A8DC4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79,269,807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E737" w14:textId="271663D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FDF2" w14:textId="2100C16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196,583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2C5E" w14:textId="3507D91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0.25%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EAF1" w14:textId="0920374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79,466,390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DC65" w14:textId="33F646B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D50D" w14:textId="0A028CE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2,044</w:t>
            </w:r>
          </w:p>
        </w:tc>
      </w:tr>
      <w:tr w:rsidR="00C43158" w:rsidRPr="00D94D69" w14:paraId="42D25D05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FC15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918A" w14:textId="1EE35D6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79,295,112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21CA" w14:textId="1382B46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273C" w14:textId="184E81B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195,797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155E" w14:textId="16D253B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0.25%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988E" w14:textId="1DE198D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79,490,909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5E85" w14:textId="72B0A33A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F37A" w14:textId="7D72DA5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2,044</w:t>
            </w:r>
          </w:p>
        </w:tc>
      </w:tr>
      <w:tr w:rsidR="00C43158" w:rsidRPr="00D94D69" w14:paraId="10B7A0AF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085" w14:textId="3BA1DF28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60C8" w14:textId="3A2EEF3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79,326,924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908E" w14:textId="359C8A1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5E65" w14:textId="516B790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164,721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151E" w14:textId="230E594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0.21%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043B" w14:textId="7884F0C8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79,491,645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0739" w14:textId="1F1614A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13F7" w14:textId="2D22349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1,308</w:t>
            </w:r>
          </w:p>
        </w:tc>
      </w:tr>
      <w:tr w:rsidR="00C43158" w:rsidRPr="00D94D69" w14:paraId="417D974A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04A8" w14:textId="734E2B34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8BE1" w14:textId="14483F0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79,468,984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1179" w14:textId="32A5BB0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54DE2" w14:textId="1B0558E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20,835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CBEA" w14:textId="372F9F4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B0AA" w14:textId="38FF5EE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79,489,819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4FBD" w14:textId="37E9CA5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C14F" w14:textId="1F05664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3,134</w:t>
            </w:r>
          </w:p>
        </w:tc>
      </w:tr>
      <w:tr w:rsidR="00C43158" w:rsidRPr="00D94D69" w14:paraId="2E09101A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D671" w14:textId="5B3248A4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5762" w14:textId="2D322589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72,390,893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3C7D" w14:textId="77D6CDE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91.07%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8B35" w14:textId="06A5647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7,100,540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5D93" w14:textId="120D065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8.93%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1AAC3" w14:textId="18B85BB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79,491,433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FD4B" w14:textId="73A46DB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E2DE" w14:textId="0611588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1,520</w:t>
            </w:r>
          </w:p>
        </w:tc>
      </w:tr>
      <w:tr w:rsidR="00C43158" w:rsidRPr="00D94D69" w14:paraId="3416376E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8ACA" w14:textId="3319908C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3CF4" w14:textId="627DE71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79,026,588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20C0" w14:textId="13184CF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99.86%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43DB" w14:textId="264D0B6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107,149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2E27" w14:textId="74BC25D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0.14%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8946" w14:textId="7103BF3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79,133,737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2D0E" w14:textId="37CC217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72.51%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37D9" w14:textId="2D2C7C6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359,216</w:t>
            </w:r>
          </w:p>
        </w:tc>
      </w:tr>
      <w:tr w:rsidR="00C43158" w:rsidRPr="00D94D69" w14:paraId="4996889A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842" w14:textId="3DD5869C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E8E4" w14:textId="1EADD27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74,966,547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2F4B" w14:textId="0D6FDE8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94.73%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407C" w14:textId="17B966FF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4,167,011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D8FE" w14:textId="3EB0F8B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8387" w14:textId="2642412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79,133,558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CA87" w14:textId="56CB13C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72.51%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79E0" w14:textId="47C23DCA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359,395</w:t>
            </w:r>
          </w:p>
        </w:tc>
      </w:tr>
      <w:tr w:rsidR="00C43158" w:rsidRPr="00D94D69" w14:paraId="2416979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4A19" w14:textId="4399EB35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65DE" w14:textId="01C94454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79,387,844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C5BE" w14:textId="214F0B1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99.93%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10E4" w14:textId="7069D45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52,227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DF93B" w14:textId="2702F92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0.07%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F36C3" w14:textId="381DED6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79,440,071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80A7" w14:textId="6F29F2F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72.79%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47C9" w14:textId="3759F5EC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52,882</w:t>
            </w:r>
          </w:p>
        </w:tc>
      </w:tr>
      <w:tr w:rsidR="00C43158" w:rsidRPr="00D94D69" w14:paraId="5EFAC0E4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D08" w14:textId="77777777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623A" w14:textId="113C27A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75,215,445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3F5B" w14:textId="4BC98E4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94.62%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82AA" w14:textId="0E65040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4,276,495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904B" w14:textId="545760A5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5.38%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739A" w14:textId="3723825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79,491,940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9310" w14:textId="684B383D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CEE3" w14:textId="28B95BB2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1,013</w:t>
            </w:r>
          </w:p>
        </w:tc>
      </w:tr>
      <w:tr w:rsidR="00C43158" w:rsidRPr="00D94D69" w14:paraId="620BC46D" w14:textId="77777777" w:rsidTr="00C4315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D05B" w14:textId="76CB23F2" w:rsidR="00C43158" w:rsidRPr="00D94D69" w:rsidRDefault="00C43158" w:rsidP="00C43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94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119E" w14:textId="69FF85D7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70,902,784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BD14" w14:textId="0ABE8291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89.20%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8A92" w14:textId="49A3B903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8,588,955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E8DE" w14:textId="28FD74BE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10.80%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60B9" w14:textId="1E746FE6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79,491,739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450A" w14:textId="73F579FB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72.84%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7471" w14:textId="2B559190" w:rsidR="00C43158" w:rsidRPr="00D94D69" w:rsidRDefault="00C43158" w:rsidP="00C431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1,214</w:t>
            </w:r>
          </w:p>
        </w:tc>
      </w:tr>
    </w:tbl>
    <w:p w14:paraId="43851674" w14:textId="69E00CFA" w:rsidR="00684BE5" w:rsidRPr="00AD143A" w:rsidRDefault="00CC365C" w:rsidP="00EF0795">
      <w:pPr>
        <w:pStyle w:val="NoSpacing"/>
        <w:jc w:val="both"/>
        <w:rPr>
          <w:rFonts w:ascii="Arial" w:hAnsi="Arial" w:cs="Arial"/>
          <w:bCs/>
        </w:rPr>
      </w:pPr>
      <w:r w:rsidRPr="00AD143A">
        <w:rPr>
          <w:rFonts w:ascii="Arial" w:hAnsi="Arial" w:cs="Arial"/>
          <w:bCs/>
        </w:rPr>
        <w:t>Notes:</w:t>
      </w:r>
    </w:p>
    <w:p w14:paraId="3D146D9A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446A12A7" w14:textId="77777777" w:rsidR="00C96660" w:rsidRPr="007677C4" w:rsidRDefault="00C96660" w:rsidP="00C96660">
      <w:pPr>
        <w:pStyle w:val="NoSpacing"/>
        <w:jc w:val="both"/>
        <w:rPr>
          <w:rFonts w:ascii="Arial" w:hAnsi="Arial" w:cs="Arial"/>
          <w:bCs/>
          <w:sz w:val="18"/>
          <w:szCs w:val="18"/>
        </w:rPr>
      </w:pPr>
      <w:r w:rsidRPr="007677C4">
        <w:rPr>
          <w:rFonts w:ascii="Arial" w:hAnsi="Arial" w:cs="Arial"/>
          <w:bCs/>
          <w:sz w:val="18"/>
          <w:szCs w:val="18"/>
        </w:rPr>
        <w:t>*Special resolution</w:t>
      </w:r>
    </w:p>
    <w:p w14:paraId="4ED3BF9B" w14:textId="08DF1A4D" w:rsidR="009258A2" w:rsidRDefault="009258A2" w:rsidP="009258A2">
      <w:pPr>
        <w:pStyle w:val="NoSpacing"/>
        <w:jc w:val="both"/>
        <w:rPr>
          <w:rFonts w:ascii="Arial" w:hAnsi="Arial" w:cs="Arial"/>
          <w:bCs/>
        </w:rPr>
      </w:pPr>
    </w:p>
    <w:p w14:paraId="77933F0F" w14:textId="72898E53" w:rsidR="00026196" w:rsidRDefault="00D94D69" w:rsidP="00FA4C37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1</w:t>
      </w:r>
      <w:r w:rsidR="009258A2">
        <w:rPr>
          <w:rFonts w:ascii="Arial" w:hAnsi="Arial" w:cs="Arial"/>
          <w:bCs/>
        </w:rPr>
        <w:t>.</w:t>
      </w:r>
      <w:r w:rsidR="009258A2">
        <w:rPr>
          <w:rFonts w:ascii="Arial" w:hAnsi="Arial" w:cs="Arial"/>
          <w:bCs/>
        </w:rPr>
        <w:tab/>
      </w:r>
      <w:r w:rsidR="00026196" w:rsidRPr="00BE04E3">
        <w:rPr>
          <w:rFonts w:ascii="Arial" w:hAnsi="Arial" w:cs="Arial"/>
          <w:sz w:val="22"/>
          <w:szCs w:val="22"/>
        </w:rPr>
        <w:t xml:space="preserve">The Company has considered the reasons for the results of today's meeting, reflected in the voting outcomes for the resolutions regarding the </w:t>
      </w:r>
      <w:r w:rsidR="00FA4C37">
        <w:rPr>
          <w:rFonts w:ascii="Arial" w:hAnsi="Arial" w:cs="Arial"/>
          <w:sz w:val="22"/>
          <w:szCs w:val="22"/>
        </w:rPr>
        <w:t xml:space="preserve">new </w:t>
      </w:r>
      <w:r w:rsidR="00026196">
        <w:rPr>
          <w:rFonts w:ascii="Arial" w:hAnsi="Arial" w:cs="Arial"/>
          <w:sz w:val="22"/>
          <w:szCs w:val="22"/>
        </w:rPr>
        <w:t>R</w:t>
      </w:r>
      <w:r w:rsidR="00026196" w:rsidRPr="00BE04E3">
        <w:rPr>
          <w:rFonts w:ascii="Arial" w:hAnsi="Arial" w:cs="Arial"/>
          <w:sz w:val="22"/>
          <w:szCs w:val="22"/>
        </w:rPr>
        <w:t xml:space="preserve">emuneration </w:t>
      </w:r>
      <w:bookmarkStart w:id="0" w:name="_GoBack"/>
      <w:bookmarkEnd w:id="0"/>
      <w:r w:rsidR="00026196">
        <w:rPr>
          <w:rFonts w:ascii="Arial" w:hAnsi="Arial" w:cs="Arial"/>
          <w:sz w:val="22"/>
          <w:szCs w:val="22"/>
        </w:rPr>
        <w:t>P</w:t>
      </w:r>
      <w:r w:rsidR="00026196" w:rsidRPr="00BE04E3">
        <w:rPr>
          <w:rFonts w:ascii="Arial" w:hAnsi="Arial" w:cs="Arial"/>
          <w:sz w:val="22"/>
          <w:szCs w:val="22"/>
        </w:rPr>
        <w:t xml:space="preserve">olicy (resolution </w:t>
      </w:r>
      <w:r w:rsidR="00026196">
        <w:rPr>
          <w:rFonts w:ascii="Arial" w:hAnsi="Arial" w:cs="Arial"/>
          <w:sz w:val="22"/>
          <w:szCs w:val="22"/>
        </w:rPr>
        <w:t>3</w:t>
      </w:r>
      <w:r w:rsidR="00026196" w:rsidRPr="00BE04E3">
        <w:rPr>
          <w:rFonts w:ascii="Arial" w:hAnsi="Arial" w:cs="Arial"/>
          <w:sz w:val="22"/>
          <w:szCs w:val="22"/>
        </w:rPr>
        <w:t xml:space="preserve">), </w:t>
      </w:r>
      <w:r w:rsidR="00026196">
        <w:rPr>
          <w:rFonts w:ascii="Arial" w:hAnsi="Arial" w:cs="Arial"/>
          <w:sz w:val="22"/>
          <w:szCs w:val="22"/>
        </w:rPr>
        <w:t xml:space="preserve">the </w:t>
      </w:r>
      <w:r w:rsidR="00026196" w:rsidRPr="00BE04E3">
        <w:rPr>
          <w:rFonts w:ascii="Arial" w:hAnsi="Arial" w:cs="Arial"/>
          <w:sz w:val="22"/>
          <w:szCs w:val="22"/>
        </w:rPr>
        <w:t>Restricted Share Plan (</w:t>
      </w:r>
      <w:r w:rsidR="00026196">
        <w:rPr>
          <w:rFonts w:ascii="Arial" w:hAnsi="Arial" w:cs="Arial"/>
          <w:sz w:val="22"/>
          <w:szCs w:val="22"/>
        </w:rPr>
        <w:t>resolution 4</w:t>
      </w:r>
      <w:r w:rsidR="00026196" w:rsidRPr="00BE04E3">
        <w:rPr>
          <w:rFonts w:ascii="Arial" w:hAnsi="Arial" w:cs="Arial"/>
          <w:sz w:val="22"/>
          <w:szCs w:val="22"/>
        </w:rPr>
        <w:t>)</w:t>
      </w:r>
      <w:r w:rsidR="00026196">
        <w:rPr>
          <w:rFonts w:ascii="Arial" w:hAnsi="Arial" w:cs="Arial"/>
          <w:sz w:val="22"/>
          <w:szCs w:val="22"/>
        </w:rPr>
        <w:t xml:space="preserve"> and t</w:t>
      </w:r>
      <w:r w:rsidR="00026196" w:rsidRPr="00BE04E3">
        <w:rPr>
          <w:rFonts w:ascii="Arial" w:hAnsi="Arial" w:cs="Arial"/>
          <w:sz w:val="22"/>
          <w:szCs w:val="22"/>
        </w:rPr>
        <w:t>he Lon</w:t>
      </w:r>
      <w:r w:rsidR="00026196">
        <w:rPr>
          <w:rFonts w:ascii="Arial" w:hAnsi="Arial" w:cs="Arial"/>
          <w:sz w:val="22"/>
          <w:szCs w:val="22"/>
        </w:rPr>
        <w:t>g-Term Option Plan (resolution 5</w:t>
      </w:r>
      <w:r w:rsidR="00026196" w:rsidRPr="00BE04E3">
        <w:rPr>
          <w:rFonts w:ascii="Arial" w:hAnsi="Arial" w:cs="Arial"/>
          <w:sz w:val="22"/>
          <w:szCs w:val="22"/>
        </w:rPr>
        <w:t>).</w:t>
      </w:r>
    </w:p>
    <w:p w14:paraId="66E7177C" w14:textId="77777777" w:rsidR="00026196" w:rsidRPr="00BE04E3" w:rsidRDefault="00026196" w:rsidP="0002619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A7CE5C2" w14:textId="2606FEE5" w:rsidR="00026196" w:rsidRDefault="00FA4C37" w:rsidP="00FA4C37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026196" w:rsidRPr="00BE04E3">
        <w:rPr>
          <w:rFonts w:ascii="Arial" w:hAnsi="Arial" w:cs="Arial"/>
          <w:sz w:val="22"/>
          <w:szCs w:val="22"/>
        </w:rPr>
        <w:t xml:space="preserve">In formulating the </w:t>
      </w:r>
      <w:r>
        <w:rPr>
          <w:rFonts w:ascii="Arial" w:hAnsi="Arial" w:cs="Arial"/>
          <w:sz w:val="22"/>
          <w:szCs w:val="22"/>
        </w:rPr>
        <w:t>new R</w:t>
      </w:r>
      <w:r w:rsidR="00026196" w:rsidRPr="00BE04E3">
        <w:rPr>
          <w:rFonts w:ascii="Arial" w:hAnsi="Arial" w:cs="Arial"/>
          <w:sz w:val="22"/>
          <w:szCs w:val="22"/>
        </w:rPr>
        <w:t xml:space="preserve">emuneration </w:t>
      </w:r>
      <w:r>
        <w:rPr>
          <w:rFonts w:ascii="Arial" w:hAnsi="Arial" w:cs="Arial"/>
          <w:sz w:val="22"/>
          <w:szCs w:val="22"/>
        </w:rPr>
        <w:t>P</w:t>
      </w:r>
      <w:r w:rsidR="00026196" w:rsidRPr="00BE04E3">
        <w:rPr>
          <w:rFonts w:ascii="Arial" w:hAnsi="Arial" w:cs="Arial"/>
          <w:sz w:val="22"/>
          <w:szCs w:val="22"/>
        </w:rPr>
        <w:t>olicy, the Remuneration Committee has sought to develop a remuneration structure that aligns with the unique operating model and inher</w:t>
      </w:r>
      <w:r w:rsidR="00026196">
        <w:rPr>
          <w:rFonts w:ascii="Arial" w:hAnsi="Arial" w:cs="Arial"/>
          <w:sz w:val="22"/>
          <w:szCs w:val="22"/>
        </w:rPr>
        <w:t>en</w:t>
      </w:r>
      <w:r w:rsidR="00026196" w:rsidRPr="00BE04E3">
        <w:rPr>
          <w:rFonts w:ascii="Arial" w:hAnsi="Arial" w:cs="Arial"/>
          <w:sz w:val="22"/>
          <w:szCs w:val="22"/>
        </w:rPr>
        <w:t>t long</w:t>
      </w:r>
      <w:r>
        <w:rPr>
          <w:rFonts w:ascii="Arial" w:hAnsi="Arial" w:cs="Arial"/>
          <w:sz w:val="22"/>
          <w:szCs w:val="22"/>
        </w:rPr>
        <w:t>-</w:t>
      </w:r>
      <w:r w:rsidR="00026196" w:rsidRPr="00BE04E3">
        <w:rPr>
          <w:rFonts w:ascii="Arial" w:hAnsi="Arial" w:cs="Arial"/>
          <w:sz w:val="22"/>
          <w:szCs w:val="22"/>
        </w:rPr>
        <w:t xml:space="preserve">term focus of the business. </w:t>
      </w:r>
      <w:r>
        <w:rPr>
          <w:rFonts w:ascii="Arial" w:hAnsi="Arial" w:cs="Arial"/>
          <w:sz w:val="22"/>
          <w:szCs w:val="22"/>
        </w:rPr>
        <w:t xml:space="preserve"> </w:t>
      </w:r>
      <w:r w:rsidR="00026196" w:rsidRPr="00BE04E3">
        <w:rPr>
          <w:rFonts w:ascii="Arial" w:hAnsi="Arial" w:cs="Arial"/>
          <w:sz w:val="22"/>
          <w:szCs w:val="22"/>
        </w:rPr>
        <w:t xml:space="preserve">Prior to the AGM, </w:t>
      </w:r>
      <w:r>
        <w:rPr>
          <w:rFonts w:ascii="Arial" w:hAnsi="Arial" w:cs="Arial"/>
          <w:sz w:val="22"/>
          <w:szCs w:val="22"/>
        </w:rPr>
        <w:t xml:space="preserve">the Remuneration Committee of the Company </w:t>
      </w:r>
      <w:r w:rsidR="00026196" w:rsidRPr="00BE04E3">
        <w:rPr>
          <w:rFonts w:ascii="Arial" w:hAnsi="Arial" w:cs="Arial"/>
          <w:sz w:val="22"/>
          <w:szCs w:val="22"/>
        </w:rPr>
        <w:t xml:space="preserve">undertook a detailed and extensive consultation with shareholders regarding remuneration for FY23 onwards to gain an understanding of their views. </w:t>
      </w:r>
      <w:r>
        <w:rPr>
          <w:rFonts w:ascii="Arial" w:hAnsi="Arial" w:cs="Arial"/>
          <w:sz w:val="22"/>
          <w:szCs w:val="22"/>
        </w:rPr>
        <w:t xml:space="preserve"> The Company </w:t>
      </w:r>
      <w:r w:rsidR="00026196" w:rsidRPr="00BE04E3">
        <w:rPr>
          <w:rFonts w:ascii="Arial" w:hAnsi="Arial" w:cs="Arial"/>
          <w:sz w:val="22"/>
          <w:szCs w:val="22"/>
        </w:rPr>
        <w:t xml:space="preserve">gained positive feedback and support during the consultation from a range of shareholders, both UK and overseas, and we appreciate their ongoing engagement and support. </w:t>
      </w:r>
      <w:r>
        <w:rPr>
          <w:rFonts w:ascii="Arial" w:hAnsi="Arial" w:cs="Arial"/>
          <w:sz w:val="22"/>
          <w:szCs w:val="22"/>
        </w:rPr>
        <w:t xml:space="preserve"> </w:t>
      </w:r>
      <w:r w:rsidR="00026196" w:rsidRPr="00BE04E3">
        <w:rPr>
          <w:rFonts w:ascii="Arial" w:hAnsi="Arial" w:cs="Arial"/>
          <w:sz w:val="22"/>
          <w:szCs w:val="22"/>
        </w:rPr>
        <w:t xml:space="preserve">The Remuneration Committee recognises that developing a new remuneration approach that meets the needs of all shareholders is difficult, but is of the view that the new </w:t>
      </w:r>
      <w:r>
        <w:rPr>
          <w:rFonts w:ascii="Arial" w:hAnsi="Arial" w:cs="Arial"/>
          <w:sz w:val="22"/>
          <w:szCs w:val="22"/>
        </w:rPr>
        <w:t>R</w:t>
      </w:r>
      <w:r w:rsidR="00026196" w:rsidRPr="00BE04E3">
        <w:rPr>
          <w:rFonts w:ascii="Arial" w:hAnsi="Arial" w:cs="Arial"/>
          <w:sz w:val="22"/>
          <w:szCs w:val="22"/>
        </w:rPr>
        <w:t xml:space="preserve">emuneration </w:t>
      </w:r>
      <w:r>
        <w:rPr>
          <w:rFonts w:ascii="Arial" w:hAnsi="Arial" w:cs="Arial"/>
          <w:sz w:val="22"/>
          <w:szCs w:val="22"/>
        </w:rPr>
        <w:t>P</w:t>
      </w:r>
      <w:r w:rsidR="00026196" w:rsidRPr="00BE04E3">
        <w:rPr>
          <w:rFonts w:ascii="Arial" w:hAnsi="Arial" w:cs="Arial"/>
          <w:sz w:val="22"/>
          <w:szCs w:val="22"/>
        </w:rPr>
        <w:t>olicy, which includes introduction of ESG priorities into the incentive framework, normalisation of pension contributions and increased shareholding requirements represents further alignment with shareholders. </w:t>
      </w:r>
    </w:p>
    <w:p w14:paraId="34872B07" w14:textId="77777777" w:rsidR="00026196" w:rsidRPr="00BE04E3" w:rsidRDefault="00026196" w:rsidP="0002619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08A866E" w14:textId="502446D3" w:rsidR="00026196" w:rsidRPr="00BE04E3" w:rsidRDefault="00FA4C37" w:rsidP="00BF1678">
      <w:pPr>
        <w:pStyle w:val="NormalWeb"/>
        <w:spacing w:before="0" w:beforeAutospacing="0" w:after="0" w:afterAutospacing="0"/>
        <w:ind w:left="720" w:hanging="7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026196" w:rsidRPr="00BE04E3">
        <w:rPr>
          <w:rFonts w:ascii="Arial" w:hAnsi="Arial" w:cs="Arial"/>
          <w:sz w:val="22"/>
          <w:szCs w:val="22"/>
        </w:rPr>
        <w:t xml:space="preserve">Following our extensive pre-AGM shareholder discussions, it was evident that some shareholders expressed particular reservations about certain areas of the policy, including the Change of Control provisions. </w:t>
      </w:r>
      <w:r>
        <w:rPr>
          <w:rFonts w:ascii="Arial" w:hAnsi="Arial" w:cs="Arial"/>
          <w:sz w:val="22"/>
          <w:szCs w:val="22"/>
        </w:rPr>
        <w:t xml:space="preserve"> </w:t>
      </w:r>
      <w:r w:rsidR="00026196" w:rsidRPr="00BE04E3">
        <w:rPr>
          <w:rFonts w:ascii="Arial" w:hAnsi="Arial" w:cs="Arial"/>
          <w:sz w:val="22"/>
          <w:szCs w:val="22"/>
        </w:rPr>
        <w:t xml:space="preserve">In light of this, the Remuneration Committee determined that the Change of Control provisions would be amended reflecting this shareholder feedback. </w:t>
      </w:r>
      <w:r>
        <w:rPr>
          <w:rFonts w:ascii="Arial" w:hAnsi="Arial" w:cs="Arial"/>
          <w:sz w:val="22"/>
          <w:szCs w:val="22"/>
        </w:rPr>
        <w:t xml:space="preserve"> </w:t>
      </w:r>
      <w:r w:rsidR="00026196" w:rsidRPr="00BE04E3">
        <w:rPr>
          <w:rFonts w:ascii="Arial" w:hAnsi="Arial" w:cs="Arial"/>
          <w:sz w:val="22"/>
          <w:szCs w:val="22"/>
        </w:rPr>
        <w:t xml:space="preserve">The Remuneration Committee is grateful for this engagement and we will continue to consult with shareholders and </w:t>
      </w:r>
      <w:r w:rsidR="00BF1678">
        <w:rPr>
          <w:rFonts w:ascii="Arial" w:hAnsi="Arial" w:cs="Arial"/>
          <w:sz w:val="22"/>
          <w:szCs w:val="22"/>
        </w:rPr>
        <w:t>proxy advisers</w:t>
      </w:r>
      <w:r w:rsidR="00026196" w:rsidRPr="00BE04E3">
        <w:rPr>
          <w:rFonts w:ascii="Arial" w:hAnsi="Arial" w:cs="Arial"/>
          <w:sz w:val="22"/>
          <w:szCs w:val="22"/>
        </w:rPr>
        <w:t xml:space="preserve"> and will consider the full range of feedback as we implement </w:t>
      </w:r>
      <w:r>
        <w:rPr>
          <w:rFonts w:ascii="Arial" w:hAnsi="Arial" w:cs="Arial"/>
          <w:sz w:val="22"/>
          <w:szCs w:val="22"/>
        </w:rPr>
        <w:t xml:space="preserve">the Company’s </w:t>
      </w:r>
      <w:r w:rsidR="00026196" w:rsidRPr="00BE04E3">
        <w:rPr>
          <w:rFonts w:ascii="Arial" w:hAnsi="Arial" w:cs="Arial"/>
          <w:sz w:val="22"/>
          <w:szCs w:val="22"/>
        </w:rPr>
        <w:t xml:space="preserve">new </w:t>
      </w:r>
      <w:r>
        <w:rPr>
          <w:rFonts w:ascii="Arial" w:hAnsi="Arial" w:cs="Arial"/>
          <w:sz w:val="22"/>
          <w:szCs w:val="22"/>
        </w:rPr>
        <w:t>R</w:t>
      </w:r>
      <w:r w:rsidR="00026196" w:rsidRPr="00BE04E3">
        <w:rPr>
          <w:rFonts w:ascii="Arial" w:hAnsi="Arial" w:cs="Arial"/>
          <w:sz w:val="22"/>
          <w:szCs w:val="22"/>
        </w:rPr>
        <w:t xml:space="preserve">emuneration </w:t>
      </w:r>
      <w:r>
        <w:rPr>
          <w:rFonts w:ascii="Arial" w:hAnsi="Arial" w:cs="Arial"/>
          <w:sz w:val="22"/>
          <w:szCs w:val="22"/>
        </w:rPr>
        <w:t>P</w:t>
      </w:r>
      <w:r w:rsidR="00026196" w:rsidRPr="00BE04E3">
        <w:rPr>
          <w:rFonts w:ascii="Arial" w:hAnsi="Arial" w:cs="Arial"/>
          <w:sz w:val="22"/>
          <w:szCs w:val="22"/>
        </w:rPr>
        <w:t>olicy.</w:t>
      </w:r>
    </w:p>
    <w:p w14:paraId="7A4163A4" w14:textId="77777777" w:rsidR="0059067E" w:rsidRDefault="0059067E" w:rsidP="009258A2">
      <w:pPr>
        <w:pStyle w:val="NoSpacing"/>
        <w:jc w:val="both"/>
        <w:rPr>
          <w:rFonts w:ascii="Arial" w:hAnsi="Arial" w:cs="Arial"/>
          <w:bCs/>
        </w:rPr>
      </w:pPr>
    </w:p>
    <w:p w14:paraId="345A60D8" w14:textId="68EDAC71" w:rsidR="00C96660" w:rsidRPr="00AD143A" w:rsidRDefault="007677C4" w:rsidP="007677C4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59067E">
        <w:rPr>
          <w:rFonts w:ascii="Arial" w:hAnsi="Arial" w:cs="Arial"/>
          <w:bCs/>
        </w:rPr>
        <w:t>.</w:t>
      </w:r>
      <w:r w:rsidR="0059067E">
        <w:rPr>
          <w:rFonts w:ascii="Arial" w:hAnsi="Arial" w:cs="Arial"/>
          <w:bCs/>
        </w:rPr>
        <w:tab/>
      </w:r>
      <w:r w:rsidR="00C96660" w:rsidRPr="00AD143A">
        <w:rPr>
          <w:rFonts w:ascii="Arial" w:hAnsi="Arial" w:cs="Arial"/>
          <w:bCs/>
        </w:rPr>
        <w:t xml:space="preserve">The votes "for" include those </w:t>
      </w:r>
      <w:r w:rsidR="003732A8">
        <w:rPr>
          <w:rFonts w:ascii="Arial" w:hAnsi="Arial" w:cs="Arial"/>
          <w:bCs/>
        </w:rPr>
        <w:t>votes giving discretion to</w:t>
      </w:r>
      <w:r w:rsidR="00C96660" w:rsidRPr="00AD143A">
        <w:rPr>
          <w:rFonts w:ascii="Arial" w:hAnsi="Arial" w:cs="Arial"/>
          <w:bCs/>
        </w:rPr>
        <w:t xml:space="preserve"> the Chairman. </w:t>
      </w:r>
    </w:p>
    <w:p w14:paraId="0E63E9C1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54E6C710" w14:textId="060A37DB" w:rsidR="005E47FE" w:rsidRPr="00AD143A" w:rsidRDefault="007677C4" w:rsidP="0059067E">
      <w:pPr>
        <w:pStyle w:val="NoSpacing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CC365C" w:rsidRPr="00AD143A">
        <w:rPr>
          <w:rFonts w:ascii="Arial" w:hAnsi="Arial" w:cs="Arial"/>
          <w:bCs/>
        </w:rPr>
        <w:t>.</w:t>
      </w:r>
      <w:r w:rsidR="009258A2">
        <w:rPr>
          <w:rFonts w:ascii="Arial" w:hAnsi="Arial" w:cs="Arial"/>
          <w:bCs/>
        </w:rPr>
        <w:tab/>
      </w:r>
      <w:r w:rsidR="00C96660" w:rsidRPr="00AD143A">
        <w:rPr>
          <w:rFonts w:ascii="Arial" w:hAnsi="Arial" w:cs="Arial"/>
          <w:bCs/>
        </w:rPr>
        <w:t>A vote withheld is not a vote in law and is not counted in the calculation of the votes for or against a resolution.</w:t>
      </w:r>
    </w:p>
    <w:p w14:paraId="7407BE02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273CEA61" w14:textId="4685C9D3" w:rsidR="00CC365C" w:rsidRPr="00AD143A" w:rsidRDefault="007677C4" w:rsidP="0059067E">
      <w:pPr>
        <w:pStyle w:val="NoSpacing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CC365C" w:rsidRPr="00AD143A">
        <w:rPr>
          <w:rFonts w:ascii="Arial" w:hAnsi="Arial" w:cs="Arial"/>
          <w:bCs/>
        </w:rPr>
        <w:t>.</w:t>
      </w:r>
      <w:r w:rsidR="009258A2">
        <w:rPr>
          <w:rFonts w:ascii="Arial" w:hAnsi="Arial" w:cs="Arial"/>
          <w:bCs/>
        </w:rPr>
        <w:tab/>
      </w:r>
      <w:r w:rsidR="006542FB" w:rsidRPr="006542FB">
        <w:rPr>
          <w:rFonts w:ascii="Arial" w:hAnsi="Arial" w:cs="Arial"/>
          <w:bCs/>
        </w:rPr>
        <w:t xml:space="preserve">The number of Existing Ordinary Shares in issue </w:t>
      </w:r>
      <w:r w:rsidR="0059067E">
        <w:rPr>
          <w:rFonts w:ascii="Arial" w:hAnsi="Arial" w:cs="Arial"/>
          <w:bCs/>
        </w:rPr>
        <w:t>at close of business on 2 September 2022 was</w:t>
      </w:r>
      <w:r w:rsidR="006542FB" w:rsidRPr="006542FB">
        <w:rPr>
          <w:rFonts w:ascii="Arial" w:hAnsi="Arial" w:cs="Arial"/>
          <w:bCs/>
        </w:rPr>
        <w:t xml:space="preserve"> </w:t>
      </w:r>
      <w:r w:rsidR="0059067E" w:rsidRPr="0059067E">
        <w:rPr>
          <w:rFonts w:ascii="Arial" w:hAnsi="Arial" w:cs="Arial"/>
          <w:bCs/>
        </w:rPr>
        <w:t>118,373,503</w:t>
      </w:r>
      <w:r w:rsidR="0059067E">
        <w:rPr>
          <w:rFonts w:ascii="Arial" w:hAnsi="Arial" w:cs="Arial"/>
          <w:bCs/>
        </w:rPr>
        <w:t xml:space="preserve"> </w:t>
      </w:r>
      <w:r w:rsidR="006542FB" w:rsidRPr="006542FB">
        <w:rPr>
          <w:rFonts w:ascii="Arial" w:hAnsi="Arial" w:cs="Arial"/>
          <w:bCs/>
        </w:rPr>
        <w:t xml:space="preserve">(excluding shares held in Treasury).   </w:t>
      </w:r>
    </w:p>
    <w:p w14:paraId="0551EB15" w14:textId="77777777" w:rsidR="00CC365C" w:rsidRPr="00AD143A" w:rsidRDefault="00CC365C" w:rsidP="00C96660">
      <w:pPr>
        <w:pStyle w:val="NoSpacing"/>
        <w:jc w:val="both"/>
        <w:rPr>
          <w:rFonts w:ascii="Arial" w:hAnsi="Arial" w:cs="Arial"/>
          <w:bCs/>
        </w:rPr>
      </w:pPr>
    </w:p>
    <w:p w14:paraId="13D747C3" w14:textId="2A428A7F" w:rsidR="00CC365C" w:rsidRPr="00AD143A" w:rsidRDefault="007677C4" w:rsidP="00AD143A">
      <w:pPr>
        <w:pStyle w:val="NoSpacing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CC365C" w:rsidRPr="00AD143A">
        <w:rPr>
          <w:rFonts w:ascii="Arial" w:hAnsi="Arial" w:cs="Arial"/>
          <w:bCs/>
        </w:rPr>
        <w:t>.</w:t>
      </w:r>
      <w:r w:rsidR="009258A2">
        <w:rPr>
          <w:rFonts w:ascii="Arial" w:hAnsi="Arial" w:cs="Arial"/>
          <w:bCs/>
        </w:rPr>
        <w:tab/>
      </w:r>
      <w:r w:rsidR="00CC365C" w:rsidRPr="00AD143A">
        <w:rPr>
          <w:rFonts w:ascii="Arial" w:hAnsi="Arial" w:cs="Arial"/>
          <w:bCs/>
        </w:rPr>
        <w:t>Copies of the resolutions passed will shortly be available for inspection on the National Storage Mechanism at:</w:t>
      </w:r>
      <w:r w:rsidR="001351EA" w:rsidRPr="00AD143A">
        <w:rPr>
          <w:rFonts w:ascii="Arial" w:hAnsi="Arial" w:cs="Arial"/>
          <w:bCs/>
        </w:rPr>
        <w:t xml:space="preserve"> </w:t>
      </w:r>
      <w:hyperlink r:id="rId8" w:anchor="/nsm/nationalstoragemechanism" w:history="1">
        <w:r w:rsidR="001351EA" w:rsidRPr="00AD143A">
          <w:rPr>
            <w:rStyle w:val="Hyperlink"/>
            <w:rFonts w:ascii="Arial" w:hAnsi="Arial" w:cs="Arial"/>
            <w:bCs/>
          </w:rPr>
          <w:t>https://data.fca.org.uk/#/nsm/nationalstoragemechanism</w:t>
        </w:r>
      </w:hyperlink>
      <w:r w:rsidR="00CC365C" w:rsidRPr="00AD143A">
        <w:rPr>
          <w:rFonts w:ascii="Arial" w:hAnsi="Arial" w:cs="Arial"/>
          <w:bCs/>
        </w:rPr>
        <w:t xml:space="preserve">.  The full text of the resolutions can be found in the 2021 AGM Notice which can be located in the Investor Information section of the Company's website </w:t>
      </w:r>
      <w:r w:rsidR="009258A2">
        <w:rPr>
          <w:rFonts w:ascii="Arial" w:hAnsi="Arial" w:cs="Arial"/>
          <w:bCs/>
        </w:rPr>
        <w:t xml:space="preserve">at the following location: </w:t>
      </w:r>
      <w:hyperlink r:id="rId9" w:history="1">
        <w:r w:rsidR="00CC365C" w:rsidRPr="00AD143A">
          <w:rPr>
            <w:rStyle w:val="Hyperlink"/>
            <w:rFonts w:ascii="Arial" w:hAnsi="Arial" w:cs="Arial"/>
            <w:bCs/>
          </w:rPr>
          <w:t>www.berkeleygroup.co.uk</w:t>
        </w:r>
      </w:hyperlink>
      <w:r w:rsidR="009258A2">
        <w:rPr>
          <w:rStyle w:val="Hyperlink"/>
          <w:rFonts w:ascii="Arial" w:hAnsi="Arial" w:cs="Arial"/>
          <w:bCs/>
        </w:rPr>
        <w:t>/investor-information</w:t>
      </w:r>
      <w:r w:rsidR="00CC365C" w:rsidRPr="00AD143A">
        <w:rPr>
          <w:rFonts w:ascii="Arial" w:hAnsi="Arial" w:cs="Arial"/>
          <w:bCs/>
        </w:rPr>
        <w:t>.</w:t>
      </w:r>
    </w:p>
    <w:p w14:paraId="34A30291" w14:textId="77777777" w:rsidR="00CC365C" w:rsidRPr="00AD143A" w:rsidRDefault="00CC365C">
      <w:pPr>
        <w:pStyle w:val="NoSpacing"/>
        <w:jc w:val="both"/>
        <w:rPr>
          <w:rFonts w:ascii="Arial" w:hAnsi="Arial" w:cs="Arial"/>
          <w:bCs/>
        </w:rPr>
      </w:pPr>
    </w:p>
    <w:p w14:paraId="52D295A6" w14:textId="77777777" w:rsidR="007677C4" w:rsidRPr="002556DD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 w:rsidRPr="002556DD">
        <w:rPr>
          <w:rFonts w:ascii="Arial" w:hAnsi="Arial" w:cs="Arial"/>
        </w:rPr>
        <w:t>For further information please contact:</w:t>
      </w:r>
    </w:p>
    <w:p w14:paraId="73C3F477" w14:textId="77777777" w:rsidR="007677C4" w:rsidRPr="002556DD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3F868067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Ann Dibben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Tel: </w:t>
      </w:r>
      <w:r w:rsidRPr="00FD5B60">
        <w:rPr>
          <w:rFonts w:ascii="Arial" w:hAnsi="Arial" w:cs="Arial"/>
          <w:lang w:val="en-US"/>
        </w:rPr>
        <w:t>01932 868</w:t>
      </w:r>
      <w:r>
        <w:rPr>
          <w:rFonts w:ascii="Arial" w:hAnsi="Arial" w:cs="Arial"/>
          <w:lang w:val="en-US"/>
        </w:rPr>
        <w:t xml:space="preserve"> </w:t>
      </w:r>
      <w:r w:rsidRPr="00FD5B60">
        <w:rPr>
          <w:rFonts w:ascii="Arial" w:hAnsi="Arial" w:cs="Arial"/>
          <w:lang w:val="en-US"/>
        </w:rPr>
        <w:t>555</w:t>
      </w:r>
    </w:p>
    <w:p w14:paraId="25F8BCF8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Company Secretary</w:t>
      </w:r>
    </w:p>
    <w:p w14:paraId="52764FDB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Berkeley Group Holdings plc</w:t>
      </w:r>
    </w:p>
    <w:p w14:paraId="1FE275A1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4DC758A3" w14:textId="77777777" w:rsidR="007677C4" w:rsidRPr="00BD4757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Novella Communications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4757">
        <w:rPr>
          <w:rFonts w:ascii="Arial" w:hAnsi="Arial" w:cs="Arial"/>
        </w:rPr>
        <w:t xml:space="preserve">Tel: </w:t>
      </w:r>
      <w:r w:rsidRPr="00BD4757">
        <w:rPr>
          <w:rStyle w:val="rb"/>
          <w:sz w:val="22"/>
          <w:szCs w:val="22"/>
        </w:rPr>
        <w:t>020 3151 7008</w:t>
      </w:r>
    </w:p>
    <w:p w14:paraId="73A03310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 w:rsidRPr="002556DD">
        <w:rPr>
          <w:rFonts w:ascii="Arial" w:hAnsi="Arial" w:cs="Arial"/>
        </w:rPr>
        <w:t>Tim Robertson</w:t>
      </w:r>
      <w:r w:rsidRPr="002556DD">
        <w:rPr>
          <w:rFonts w:ascii="Arial" w:hAnsi="Arial" w:cs="Arial"/>
        </w:rPr>
        <w:tab/>
      </w:r>
      <w:r w:rsidRPr="002556DD">
        <w:rPr>
          <w:rFonts w:ascii="Arial" w:hAnsi="Arial" w:cs="Arial"/>
        </w:rPr>
        <w:tab/>
      </w:r>
    </w:p>
    <w:p w14:paraId="63D3E273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52A33682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5A6F062C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</w:p>
    <w:p w14:paraId="704CA3DE" w14:textId="77777777" w:rsidR="007677C4" w:rsidRDefault="007677C4" w:rsidP="007677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LEI:</w:t>
      </w:r>
      <w:r>
        <w:rPr>
          <w:rFonts w:ascii="Arial" w:hAnsi="Arial" w:cs="Arial"/>
        </w:rPr>
        <w:tab/>
      </w:r>
      <w:r w:rsidRPr="00D84A76">
        <w:rPr>
          <w:rFonts w:ascii="Arial" w:hAnsi="Arial" w:cs="Arial"/>
        </w:rPr>
        <w:t>2138009OQSSLVVHQAL78</w:t>
      </w:r>
    </w:p>
    <w:p w14:paraId="6CB8A30D" w14:textId="1364878C" w:rsidR="00611641" w:rsidRPr="00AD143A" w:rsidRDefault="00611641" w:rsidP="007677C4">
      <w:pPr>
        <w:pStyle w:val="NoSpacing"/>
        <w:jc w:val="both"/>
        <w:rPr>
          <w:rFonts w:ascii="Arial" w:hAnsi="Arial" w:cs="Arial"/>
        </w:rPr>
      </w:pPr>
    </w:p>
    <w:sectPr w:rsidR="00611641" w:rsidRPr="00AD143A" w:rsidSect="00610E3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07760" w14:textId="77777777" w:rsidR="00417A01" w:rsidRDefault="00417A01" w:rsidP="001C0940">
      <w:pPr>
        <w:spacing w:after="0" w:line="240" w:lineRule="auto"/>
      </w:pPr>
      <w:r>
        <w:separator/>
      </w:r>
    </w:p>
  </w:endnote>
  <w:endnote w:type="continuationSeparator" w:id="0">
    <w:p w14:paraId="62449D7A" w14:textId="77777777" w:rsidR="00417A01" w:rsidRDefault="00417A01" w:rsidP="001C0940">
      <w:pPr>
        <w:spacing w:after="0" w:line="240" w:lineRule="auto"/>
      </w:pPr>
      <w:r>
        <w:continuationSeparator/>
      </w:r>
    </w:p>
  </w:endnote>
  <w:endnote w:type="continuationNotice" w:id="1">
    <w:p w14:paraId="07369592" w14:textId="77777777" w:rsidR="00417A01" w:rsidRDefault="00417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78E96" w14:textId="5CBDCC32" w:rsidR="006B052B" w:rsidRPr="00B23825" w:rsidRDefault="00C43158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-1803603736"/>
        <w:lock w:val="sdtLocked"/>
        <w:text/>
      </w:sdtPr>
      <w:sdtEndPr/>
      <w:sdtContent>
        <w:r w:rsidR="006B052B">
          <w:rPr>
            <w:szCs w:val="14"/>
          </w:rPr>
          <w:t>11/60824984_1</w:t>
        </w:r>
      </w:sdtContent>
    </w:sdt>
    <w:r w:rsidR="006B052B" w:rsidRPr="000176B5">
      <w:rPr>
        <w:szCs w:val="14"/>
      </w:rPr>
      <w:ptab w:relativeTo="margin" w:alignment="right" w:leader="none"/>
    </w:r>
    <w:r w:rsidR="006B052B" w:rsidRPr="000176B5">
      <w:rPr>
        <w:szCs w:val="14"/>
      </w:rPr>
      <w:fldChar w:fldCharType="begin"/>
    </w:r>
    <w:r w:rsidR="006B052B" w:rsidRPr="000176B5">
      <w:rPr>
        <w:rStyle w:val="HeaderChar"/>
        <w:szCs w:val="14"/>
      </w:rPr>
      <w:instrText xml:space="preserve"> PAGE \* MERGEFORMAT </w:instrText>
    </w:r>
    <w:r w:rsidR="006B052B" w:rsidRPr="000176B5">
      <w:rPr>
        <w:szCs w:val="14"/>
      </w:rPr>
      <w:fldChar w:fldCharType="separate"/>
    </w:r>
    <w:r w:rsidR="006B052B">
      <w:rPr>
        <w:rStyle w:val="HeaderChar"/>
        <w:noProof/>
        <w:szCs w:val="14"/>
      </w:rPr>
      <w:t>1</w:t>
    </w:r>
    <w:r w:rsidR="006B052B" w:rsidRPr="000176B5">
      <w:rPr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B2C0" w14:textId="0AE325B1" w:rsidR="006B052B" w:rsidRPr="00B23825" w:rsidRDefault="00C43158" w:rsidP="009258A2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207993068"/>
        <w:lock w:val="sdtLocked"/>
        <w:showingPlcHdr/>
        <w:text/>
      </w:sdtPr>
      <w:sdtEndPr/>
      <w:sdtContent>
        <w:r w:rsidR="009258A2">
          <w:rPr>
            <w:szCs w:val="14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C3AF" w14:textId="3EF29975" w:rsidR="006B052B" w:rsidRPr="00B23825" w:rsidRDefault="00C43158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-33969431"/>
        <w:lock w:val="sdtLocked"/>
        <w:text/>
      </w:sdtPr>
      <w:sdtEndPr/>
      <w:sdtContent>
        <w:r w:rsidR="006B052B">
          <w:rPr>
            <w:szCs w:val="14"/>
          </w:rPr>
          <w:t>11/60824984_1</w:t>
        </w:r>
      </w:sdtContent>
    </w:sdt>
    <w:r w:rsidR="006B052B" w:rsidRPr="000176B5">
      <w:rPr>
        <w:szCs w:val="14"/>
      </w:rPr>
      <w:ptab w:relativeTo="margin" w:alignment="right" w:leader="none"/>
    </w:r>
    <w:r w:rsidR="006B052B" w:rsidRPr="000176B5">
      <w:rPr>
        <w:szCs w:val="14"/>
      </w:rPr>
      <w:fldChar w:fldCharType="begin"/>
    </w:r>
    <w:r w:rsidR="006B052B" w:rsidRPr="000176B5">
      <w:rPr>
        <w:rStyle w:val="HeaderChar"/>
        <w:szCs w:val="14"/>
      </w:rPr>
      <w:instrText xml:space="preserve"> PAGE \* MERGEFORMAT </w:instrText>
    </w:r>
    <w:r w:rsidR="006B052B" w:rsidRPr="000176B5">
      <w:rPr>
        <w:szCs w:val="14"/>
      </w:rPr>
      <w:fldChar w:fldCharType="separate"/>
    </w:r>
    <w:r w:rsidR="006B052B">
      <w:rPr>
        <w:rStyle w:val="HeaderChar"/>
        <w:noProof/>
        <w:szCs w:val="14"/>
      </w:rPr>
      <w:t>1</w:t>
    </w:r>
    <w:r w:rsidR="006B052B" w:rsidRPr="000176B5"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94CFC" w14:textId="77777777" w:rsidR="00417A01" w:rsidRDefault="00417A01" w:rsidP="001C0940">
      <w:pPr>
        <w:spacing w:after="0" w:line="240" w:lineRule="auto"/>
      </w:pPr>
      <w:r>
        <w:separator/>
      </w:r>
    </w:p>
  </w:footnote>
  <w:footnote w:type="continuationSeparator" w:id="0">
    <w:p w14:paraId="4E8C80F6" w14:textId="77777777" w:rsidR="00417A01" w:rsidRDefault="00417A01" w:rsidP="001C0940">
      <w:pPr>
        <w:spacing w:after="0" w:line="240" w:lineRule="auto"/>
      </w:pPr>
      <w:r>
        <w:continuationSeparator/>
      </w:r>
    </w:p>
  </w:footnote>
  <w:footnote w:type="continuationNotice" w:id="1">
    <w:p w14:paraId="441EBDED" w14:textId="77777777" w:rsidR="00417A01" w:rsidRDefault="00417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EE32" w14:textId="3EDD10AC" w:rsidR="00AA00ED" w:rsidRPr="00AD5FF3" w:rsidRDefault="00AA00ED" w:rsidP="00AD5FF3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67B"/>
    <w:multiLevelType w:val="hybridMultilevel"/>
    <w:tmpl w:val="EAF2E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C4005"/>
    <w:multiLevelType w:val="hybridMultilevel"/>
    <w:tmpl w:val="62CC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40"/>
    <w:rsid w:val="000030AC"/>
    <w:rsid w:val="00017392"/>
    <w:rsid w:val="000176B5"/>
    <w:rsid w:val="00026196"/>
    <w:rsid w:val="00030ED0"/>
    <w:rsid w:val="000313AA"/>
    <w:rsid w:val="00032150"/>
    <w:rsid w:val="000328BB"/>
    <w:rsid w:val="00034995"/>
    <w:rsid w:val="000565F7"/>
    <w:rsid w:val="00071768"/>
    <w:rsid w:val="00072F06"/>
    <w:rsid w:val="00073D8B"/>
    <w:rsid w:val="00075684"/>
    <w:rsid w:val="00092D57"/>
    <w:rsid w:val="000A1FF8"/>
    <w:rsid w:val="000C586C"/>
    <w:rsid w:val="000D10A8"/>
    <w:rsid w:val="001351EA"/>
    <w:rsid w:val="001374AF"/>
    <w:rsid w:val="001517BE"/>
    <w:rsid w:val="00151951"/>
    <w:rsid w:val="00154F14"/>
    <w:rsid w:val="00161541"/>
    <w:rsid w:val="00180CB9"/>
    <w:rsid w:val="00182239"/>
    <w:rsid w:val="001A0A5B"/>
    <w:rsid w:val="001A18D5"/>
    <w:rsid w:val="001B0027"/>
    <w:rsid w:val="001C0940"/>
    <w:rsid w:val="001D7119"/>
    <w:rsid w:val="001E28A3"/>
    <w:rsid w:val="00236BF4"/>
    <w:rsid w:val="0025732D"/>
    <w:rsid w:val="002658AF"/>
    <w:rsid w:val="00295B0F"/>
    <w:rsid w:val="00295B57"/>
    <w:rsid w:val="002B0FF0"/>
    <w:rsid w:val="002C3B21"/>
    <w:rsid w:val="002C6F44"/>
    <w:rsid w:val="002D2995"/>
    <w:rsid w:val="002E1805"/>
    <w:rsid w:val="002E4112"/>
    <w:rsid w:val="00301AF3"/>
    <w:rsid w:val="003110B0"/>
    <w:rsid w:val="00312794"/>
    <w:rsid w:val="00327CAE"/>
    <w:rsid w:val="003419AF"/>
    <w:rsid w:val="00341B8A"/>
    <w:rsid w:val="00351FCB"/>
    <w:rsid w:val="003629DB"/>
    <w:rsid w:val="003713BC"/>
    <w:rsid w:val="003732A8"/>
    <w:rsid w:val="003915CD"/>
    <w:rsid w:val="003917AC"/>
    <w:rsid w:val="003C7374"/>
    <w:rsid w:val="003D43F2"/>
    <w:rsid w:val="003D45E9"/>
    <w:rsid w:val="00401AB7"/>
    <w:rsid w:val="004122B0"/>
    <w:rsid w:val="00414DAD"/>
    <w:rsid w:val="00415BD4"/>
    <w:rsid w:val="00417A01"/>
    <w:rsid w:val="00421506"/>
    <w:rsid w:val="004327C1"/>
    <w:rsid w:val="00446BAF"/>
    <w:rsid w:val="00460470"/>
    <w:rsid w:val="00461F8B"/>
    <w:rsid w:val="0046409D"/>
    <w:rsid w:val="00473BC9"/>
    <w:rsid w:val="004757BB"/>
    <w:rsid w:val="00486677"/>
    <w:rsid w:val="00490AC0"/>
    <w:rsid w:val="004913C5"/>
    <w:rsid w:val="00497F6A"/>
    <w:rsid w:val="004B11F1"/>
    <w:rsid w:val="004B7E70"/>
    <w:rsid w:val="004C3636"/>
    <w:rsid w:val="004E02DC"/>
    <w:rsid w:val="004F02C9"/>
    <w:rsid w:val="004F32A0"/>
    <w:rsid w:val="00511EC1"/>
    <w:rsid w:val="0051371E"/>
    <w:rsid w:val="005274E0"/>
    <w:rsid w:val="0053134D"/>
    <w:rsid w:val="005468D2"/>
    <w:rsid w:val="00551967"/>
    <w:rsid w:val="00553EB1"/>
    <w:rsid w:val="005607A9"/>
    <w:rsid w:val="00560F48"/>
    <w:rsid w:val="00564F08"/>
    <w:rsid w:val="0059067E"/>
    <w:rsid w:val="005A3BDF"/>
    <w:rsid w:val="005B769D"/>
    <w:rsid w:val="005D2BD1"/>
    <w:rsid w:val="005D4453"/>
    <w:rsid w:val="005E47FE"/>
    <w:rsid w:val="005E7DC3"/>
    <w:rsid w:val="005F6689"/>
    <w:rsid w:val="00610E3E"/>
    <w:rsid w:val="006110AA"/>
    <w:rsid w:val="00611641"/>
    <w:rsid w:val="006320C9"/>
    <w:rsid w:val="0064584B"/>
    <w:rsid w:val="006542FB"/>
    <w:rsid w:val="00662244"/>
    <w:rsid w:val="00665C97"/>
    <w:rsid w:val="00684BE5"/>
    <w:rsid w:val="00686AA5"/>
    <w:rsid w:val="0069079A"/>
    <w:rsid w:val="00697A89"/>
    <w:rsid w:val="006A3D3E"/>
    <w:rsid w:val="006B052B"/>
    <w:rsid w:val="006D5199"/>
    <w:rsid w:val="006F74CF"/>
    <w:rsid w:val="007104C5"/>
    <w:rsid w:val="00715284"/>
    <w:rsid w:val="00725165"/>
    <w:rsid w:val="007331EE"/>
    <w:rsid w:val="00757903"/>
    <w:rsid w:val="00761647"/>
    <w:rsid w:val="00763DFB"/>
    <w:rsid w:val="007677C4"/>
    <w:rsid w:val="0078240F"/>
    <w:rsid w:val="007A0A1B"/>
    <w:rsid w:val="007A3C08"/>
    <w:rsid w:val="007A66A4"/>
    <w:rsid w:val="007B60D4"/>
    <w:rsid w:val="007B669B"/>
    <w:rsid w:val="007E2AA8"/>
    <w:rsid w:val="0085238D"/>
    <w:rsid w:val="0086335E"/>
    <w:rsid w:val="00863F47"/>
    <w:rsid w:val="0087243E"/>
    <w:rsid w:val="00894F7D"/>
    <w:rsid w:val="008A7884"/>
    <w:rsid w:val="008C27DC"/>
    <w:rsid w:val="008D6625"/>
    <w:rsid w:val="009258A2"/>
    <w:rsid w:val="009275B5"/>
    <w:rsid w:val="00982D5F"/>
    <w:rsid w:val="009835CB"/>
    <w:rsid w:val="00992DC2"/>
    <w:rsid w:val="00996A11"/>
    <w:rsid w:val="009A39DB"/>
    <w:rsid w:val="009D2B21"/>
    <w:rsid w:val="009D7B83"/>
    <w:rsid w:val="009E512E"/>
    <w:rsid w:val="009F77A7"/>
    <w:rsid w:val="00A130C5"/>
    <w:rsid w:val="00A229D2"/>
    <w:rsid w:val="00A363C8"/>
    <w:rsid w:val="00A505AB"/>
    <w:rsid w:val="00A743B0"/>
    <w:rsid w:val="00A860D7"/>
    <w:rsid w:val="00A9389A"/>
    <w:rsid w:val="00A941DC"/>
    <w:rsid w:val="00AA00ED"/>
    <w:rsid w:val="00AA5B0D"/>
    <w:rsid w:val="00AC172D"/>
    <w:rsid w:val="00AD143A"/>
    <w:rsid w:val="00AD5FF3"/>
    <w:rsid w:val="00AE4885"/>
    <w:rsid w:val="00B13499"/>
    <w:rsid w:val="00B139AC"/>
    <w:rsid w:val="00B23825"/>
    <w:rsid w:val="00B74A05"/>
    <w:rsid w:val="00B7675A"/>
    <w:rsid w:val="00BA5EB5"/>
    <w:rsid w:val="00BA5FC1"/>
    <w:rsid w:val="00BC2B55"/>
    <w:rsid w:val="00BC5B22"/>
    <w:rsid w:val="00BD15C2"/>
    <w:rsid w:val="00BD79CD"/>
    <w:rsid w:val="00BE042A"/>
    <w:rsid w:val="00BE153E"/>
    <w:rsid w:val="00BE7FF8"/>
    <w:rsid w:val="00BF1678"/>
    <w:rsid w:val="00C02504"/>
    <w:rsid w:val="00C07301"/>
    <w:rsid w:val="00C1770F"/>
    <w:rsid w:val="00C21142"/>
    <w:rsid w:val="00C23525"/>
    <w:rsid w:val="00C27ACF"/>
    <w:rsid w:val="00C43158"/>
    <w:rsid w:val="00C55D96"/>
    <w:rsid w:val="00C96660"/>
    <w:rsid w:val="00CC365C"/>
    <w:rsid w:val="00CD429A"/>
    <w:rsid w:val="00CE57A2"/>
    <w:rsid w:val="00CF5044"/>
    <w:rsid w:val="00D03DC7"/>
    <w:rsid w:val="00D10201"/>
    <w:rsid w:val="00D13080"/>
    <w:rsid w:val="00D30ED4"/>
    <w:rsid w:val="00D407A8"/>
    <w:rsid w:val="00D563A8"/>
    <w:rsid w:val="00D571D8"/>
    <w:rsid w:val="00D60048"/>
    <w:rsid w:val="00D65044"/>
    <w:rsid w:val="00D86ACD"/>
    <w:rsid w:val="00D9070B"/>
    <w:rsid w:val="00D94D69"/>
    <w:rsid w:val="00D97406"/>
    <w:rsid w:val="00DA2E2E"/>
    <w:rsid w:val="00DC39D7"/>
    <w:rsid w:val="00DD7C89"/>
    <w:rsid w:val="00DE2A92"/>
    <w:rsid w:val="00E0429C"/>
    <w:rsid w:val="00E06747"/>
    <w:rsid w:val="00E4172B"/>
    <w:rsid w:val="00E52013"/>
    <w:rsid w:val="00E56971"/>
    <w:rsid w:val="00E60629"/>
    <w:rsid w:val="00E874B6"/>
    <w:rsid w:val="00EC039D"/>
    <w:rsid w:val="00EC27DC"/>
    <w:rsid w:val="00ED27AC"/>
    <w:rsid w:val="00EF0795"/>
    <w:rsid w:val="00EF3CC8"/>
    <w:rsid w:val="00F258B9"/>
    <w:rsid w:val="00F40A8E"/>
    <w:rsid w:val="00F5174A"/>
    <w:rsid w:val="00F874F2"/>
    <w:rsid w:val="00F9538D"/>
    <w:rsid w:val="00F96476"/>
    <w:rsid w:val="00FA4C37"/>
    <w:rsid w:val="00FA5A19"/>
    <w:rsid w:val="00FB3520"/>
    <w:rsid w:val="00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C12032"/>
  <w15:docId w15:val="{C95FEC2E-6E61-4F19-9FFE-80B187D8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9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39"/>
    <w:unhideWhenUsed/>
    <w:rsid w:val="001C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1C0940"/>
  </w:style>
  <w:style w:type="paragraph" w:styleId="Footer">
    <w:name w:val="footer"/>
    <w:basedOn w:val="Normal"/>
    <w:link w:val="FooterChar"/>
    <w:uiPriority w:val="99"/>
    <w:unhideWhenUsed/>
    <w:rsid w:val="001C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40"/>
  </w:style>
  <w:style w:type="paragraph" w:styleId="NoSpacing">
    <w:name w:val="No Spacing"/>
    <w:uiPriority w:val="1"/>
    <w:qFormat/>
    <w:rsid w:val="001C0940"/>
    <w:pPr>
      <w:spacing w:after="0" w:line="240" w:lineRule="auto"/>
    </w:pPr>
  </w:style>
  <w:style w:type="paragraph" w:customStyle="1" w:styleId="Default">
    <w:name w:val="Default"/>
    <w:rsid w:val="007331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ED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4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A11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052B"/>
  </w:style>
  <w:style w:type="character" w:customStyle="1" w:styleId="DateChar">
    <w:name w:val="Date Char"/>
    <w:basedOn w:val="DefaultParagraphFont"/>
    <w:link w:val="Date"/>
    <w:uiPriority w:val="99"/>
    <w:semiHidden/>
    <w:rsid w:val="006B052B"/>
  </w:style>
  <w:style w:type="paragraph" w:styleId="FootnoteText">
    <w:name w:val="footnote text"/>
    <w:basedOn w:val="Normal"/>
    <w:link w:val="FootnoteTextChar"/>
    <w:uiPriority w:val="99"/>
    <w:semiHidden/>
    <w:unhideWhenUsed/>
    <w:rsid w:val="001351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1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51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261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rb">
    <w:name w:val="rb"/>
    <w:rsid w:val="007677C4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rkeleygroup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9DA38-B925-4F3E-9A0F-AEDED0F9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PresentationFormat>3bb7a053-8079-42fc-88fd-73628703f9c0</PresentationFormat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Sissons, David-GB+</dc:creator>
  <cp:lastModifiedBy>Ann Dibben</cp:lastModifiedBy>
  <cp:revision>2</cp:revision>
  <dcterms:created xsi:type="dcterms:W3CDTF">2022-09-06T11:49:00Z</dcterms:created>
  <dcterms:modified xsi:type="dcterms:W3CDTF">2022-09-06T11:49:00Z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0x010100D90557FF080F4CB4B7E7ECF37C5C350500337E2272AAD62F449CBE49038BC73A71</vt:lpwstr>
  </property>
</Properties>
</file>