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9E3" w:rsidRDefault="003359E3">
      <w:pPr>
        <w:tabs>
          <w:tab w:val="right" w:pos="9540"/>
        </w:tabs>
        <w:rPr>
          <w:rFonts w:cs="Arial"/>
          <w:b/>
        </w:rPr>
      </w:pPr>
      <w:bookmarkStart w:id="0" w:name="_GoBack"/>
      <w:bookmarkEnd w:id="0"/>
    </w:p>
    <w:p w:rsidR="00F6141E" w:rsidRDefault="00F03EF3">
      <w:pPr>
        <w:tabs>
          <w:tab w:val="right" w:pos="9540"/>
        </w:tabs>
        <w:rPr>
          <w:rFonts w:cs="Arial"/>
        </w:rPr>
      </w:pPr>
      <w:r>
        <w:rPr>
          <w:rFonts w:cs="Arial"/>
          <w:b/>
        </w:rPr>
        <w:t>FOR IMMEDIATE RELEASE</w:t>
      </w:r>
      <w:r w:rsidR="00F6141E">
        <w:rPr>
          <w:rFonts w:cs="Arial"/>
          <w:b/>
        </w:rPr>
        <w:tab/>
      </w:r>
      <w:r w:rsidR="00E03362">
        <w:rPr>
          <w:rFonts w:cs="Arial"/>
          <w:b/>
        </w:rPr>
        <w:t>28 July</w:t>
      </w:r>
      <w:r w:rsidR="00335EBE">
        <w:rPr>
          <w:rFonts w:cs="Arial"/>
          <w:b/>
        </w:rPr>
        <w:t xml:space="preserve"> </w:t>
      </w:r>
      <w:r w:rsidR="00F6141E">
        <w:rPr>
          <w:rFonts w:cs="Arial"/>
          <w:b/>
        </w:rPr>
        <w:t>20</w:t>
      </w:r>
      <w:r w:rsidR="00716550">
        <w:rPr>
          <w:rFonts w:cs="Arial"/>
          <w:b/>
        </w:rPr>
        <w:t>20</w:t>
      </w:r>
    </w:p>
    <w:p w:rsidR="008A76EB" w:rsidRDefault="008A76EB">
      <w:pPr>
        <w:jc w:val="center"/>
        <w:rPr>
          <w:rFonts w:cs="Arial"/>
          <w:b/>
          <w:bCs/>
        </w:rPr>
      </w:pPr>
    </w:p>
    <w:p w:rsidR="003359E3" w:rsidRDefault="003359E3">
      <w:pPr>
        <w:jc w:val="center"/>
        <w:rPr>
          <w:rFonts w:cs="Arial"/>
          <w:b/>
          <w:bCs/>
        </w:rPr>
      </w:pPr>
    </w:p>
    <w:p w:rsidR="003359E3" w:rsidRDefault="003359E3">
      <w:pPr>
        <w:jc w:val="center"/>
        <w:rPr>
          <w:rFonts w:cs="Arial"/>
          <w:b/>
          <w:bCs/>
        </w:rPr>
      </w:pPr>
    </w:p>
    <w:p w:rsidR="00F6141E" w:rsidRDefault="00F6141E">
      <w:pPr>
        <w:jc w:val="center"/>
        <w:rPr>
          <w:rFonts w:cs="Arial"/>
          <w:b/>
          <w:bCs/>
        </w:rPr>
      </w:pPr>
      <w:r>
        <w:rPr>
          <w:rFonts w:cs="Arial"/>
          <w:b/>
          <w:bCs/>
        </w:rPr>
        <w:t>CAIRN ENERGY PLC (</w:t>
      </w:r>
      <w:r w:rsidR="00224720">
        <w:rPr>
          <w:rFonts w:cs="Arial"/>
          <w:b/>
          <w:bCs/>
        </w:rPr>
        <w:t>“</w:t>
      </w:r>
      <w:r>
        <w:rPr>
          <w:rFonts w:cs="Arial"/>
          <w:b/>
          <w:bCs/>
        </w:rPr>
        <w:t>Cairn</w:t>
      </w:r>
      <w:r w:rsidR="00224720">
        <w:rPr>
          <w:rFonts w:cs="Arial"/>
          <w:b/>
          <w:bCs/>
        </w:rPr>
        <w:t>”</w:t>
      </w:r>
      <w:r>
        <w:rPr>
          <w:rFonts w:cs="Arial"/>
          <w:b/>
          <w:bCs/>
        </w:rPr>
        <w:t xml:space="preserve"> or the </w:t>
      </w:r>
      <w:r w:rsidR="00224720">
        <w:rPr>
          <w:rFonts w:cs="Arial"/>
          <w:b/>
          <w:bCs/>
        </w:rPr>
        <w:t>“</w:t>
      </w:r>
      <w:r>
        <w:rPr>
          <w:rFonts w:cs="Arial"/>
          <w:b/>
          <w:bCs/>
        </w:rPr>
        <w:t>Company</w:t>
      </w:r>
      <w:r w:rsidR="00224720">
        <w:rPr>
          <w:rFonts w:cs="Arial"/>
          <w:b/>
          <w:bCs/>
        </w:rPr>
        <w:t>”</w:t>
      </w:r>
      <w:r>
        <w:rPr>
          <w:rFonts w:cs="Arial"/>
          <w:b/>
          <w:bCs/>
        </w:rPr>
        <w:t>)</w:t>
      </w:r>
    </w:p>
    <w:p w:rsidR="00F6141E" w:rsidRDefault="00F6141E">
      <w:pPr>
        <w:jc w:val="center"/>
        <w:rPr>
          <w:rFonts w:cs="Arial"/>
          <w:b/>
          <w:bCs/>
          <w:lang w:eastAsia="en-US"/>
        </w:rPr>
      </w:pPr>
    </w:p>
    <w:p w:rsidR="00F6141E" w:rsidRDefault="00CE51FC">
      <w:pPr>
        <w:jc w:val="center"/>
        <w:rPr>
          <w:rFonts w:cs="Arial"/>
          <w:b/>
        </w:rPr>
      </w:pPr>
      <w:r>
        <w:rPr>
          <w:rFonts w:cs="Arial"/>
          <w:b/>
        </w:rPr>
        <w:t xml:space="preserve">Interests of </w:t>
      </w:r>
      <w:r w:rsidR="00F6141E">
        <w:rPr>
          <w:rFonts w:cs="Arial"/>
          <w:b/>
        </w:rPr>
        <w:t>Directors / Persons Discharging Managerial Responsibility (</w:t>
      </w:r>
      <w:r w:rsidR="00224720">
        <w:rPr>
          <w:rFonts w:cs="Arial"/>
          <w:b/>
        </w:rPr>
        <w:t>“</w:t>
      </w:r>
      <w:r w:rsidR="00F6141E">
        <w:rPr>
          <w:rFonts w:cs="Arial"/>
          <w:b/>
        </w:rPr>
        <w:t>PDMRs</w:t>
      </w:r>
      <w:r w:rsidR="00224720">
        <w:rPr>
          <w:rFonts w:cs="Arial"/>
          <w:b/>
        </w:rPr>
        <w:t>”</w:t>
      </w:r>
      <w:r w:rsidR="00F6141E">
        <w:rPr>
          <w:rFonts w:cs="Arial"/>
          <w:b/>
        </w:rPr>
        <w:t xml:space="preserve">) </w:t>
      </w:r>
    </w:p>
    <w:p w:rsidR="00F6141E" w:rsidRDefault="00F6141E">
      <w:pPr>
        <w:jc w:val="center"/>
        <w:rPr>
          <w:rFonts w:cs="Arial"/>
          <w:b/>
        </w:rPr>
      </w:pPr>
      <w:r>
        <w:rPr>
          <w:rFonts w:cs="Arial"/>
          <w:b/>
        </w:rPr>
        <w:t>in the Company</w:t>
      </w:r>
      <w:r w:rsidR="00224720">
        <w:rPr>
          <w:rFonts w:cs="Arial"/>
          <w:b/>
        </w:rPr>
        <w:t>’</w:t>
      </w:r>
      <w:r>
        <w:rPr>
          <w:rFonts w:cs="Arial"/>
          <w:b/>
        </w:rPr>
        <w:t>s Shares</w:t>
      </w:r>
    </w:p>
    <w:p w:rsidR="00F6141E" w:rsidRDefault="00F6141E">
      <w:pPr>
        <w:pStyle w:val="BodyText2"/>
        <w:rPr>
          <w:rFonts w:ascii="Arial" w:hAnsi="Arial" w:cs="Arial"/>
          <w:sz w:val="20"/>
          <w:lang w:val="en-GB"/>
        </w:rPr>
      </w:pPr>
    </w:p>
    <w:p w:rsidR="00FD628E" w:rsidRDefault="002C261F" w:rsidP="00FD628E">
      <w:pPr>
        <w:pStyle w:val="BodyText2"/>
        <w:ind w:left="709" w:hanging="709"/>
        <w:rPr>
          <w:rFonts w:ascii="Arial" w:hAnsi="Arial" w:cs="Arial"/>
          <w:b/>
          <w:bCs/>
          <w:sz w:val="20"/>
        </w:rPr>
      </w:pPr>
      <w:r>
        <w:rPr>
          <w:rFonts w:ascii="Arial" w:hAnsi="Arial" w:cs="Arial"/>
          <w:b/>
          <w:bCs/>
          <w:sz w:val="20"/>
        </w:rPr>
        <w:t xml:space="preserve">1. </w:t>
      </w:r>
      <w:r>
        <w:rPr>
          <w:rFonts w:ascii="Arial" w:hAnsi="Arial" w:cs="Arial"/>
          <w:b/>
          <w:bCs/>
          <w:sz w:val="20"/>
        </w:rPr>
        <w:tab/>
      </w:r>
      <w:r w:rsidR="00D42515">
        <w:rPr>
          <w:rFonts w:ascii="Arial" w:hAnsi="Arial" w:cs="Arial"/>
          <w:b/>
          <w:bCs/>
          <w:sz w:val="20"/>
        </w:rPr>
        <w:t>Grant of 20</w:t>
      </w:r>
      <w:r w:rsidR="00716550">
        <w:rPr>
          <w:rFonts w:ascii="Arial" w:hAnsi="Arial" w:cs="Arial"/>
          <w:b/>
          <w:bCs/>
          <w:sz w:val="20"/>
        </w:rPr>
        <w:t>20</w:t>
      </w:r>
      <w:r w:rsidR="00D42515">
        <w:rPr>
          <w:rFonts w:ascii="Arial" w:hAnsi="Arial" w:cs="Arial"/>
          <w:b/>
          <w:bCs/>
          <w:sz w:val="20"/>
        </w:rPr>
        <w:t xml:space="preserve"> </w:t>
      </w:r>
      <w:r w:rsidR="00FD628E">
        <w:rPr>
          <w:rFonts w:ascii="Arial" w:hAnsi="Arial" w:cs="Arial"/>
          <w:b/>
          <w:bCs/>
          <w:sz w:val="20"/>
        </w:rPr>
        <w:t xml:space="preserve">Awards </w:t>
      </w:r>
      <w:r w:rsidR="0003762F">
        <w:rPr>
          <w:rFonts w:ascii="Arial" w:hAnsi="Arial" w:cs="Arial"/>
          <w:b/>
          <w:bCs/>
          <w:sz w:val="20"/>
        </w:rPr>
        <w:t xml:space="preserve">at a reduced level </w:t>
      </w:r>
      <w:r w:rsidR="00FD628E">
        <w:rPr>
          <w:rFonts w:ascii="Arial" w:hAnsi="Arial" w:cs="Arial"/>
          <w:b/>
          <w:bCs/>
          <w:sz w:val="20"/>
        </w:rPr>
        <w:t>under the Company</w:t>
      </w:r>
      <w:r w:rsidR="00224720">
        <w:rPr>
          <w:rFonts w:ascii="Arial" w:hAnsi="Arial" w:cs="Arial"/>
          <w:b/>
          <w:bCs/>
          <w:sz w:val="20"/>
        </w:rPr>
        <w:t>’</w:t>
      </w:r>
      <w:r w:rsidR="00FD628E">
        <w:rPr>
          <w:rFonts w:ascii="Arial" w:hAnsi="Arial" w:cs="Arial"/>
          <w:b/>
          <w:bCs/>
          <w:sz w:val="20"/>
        </w:rPr>
        <w:t xml:space="preserve">s Long Term Incentive Plan </w:t>
      </w:r>
      <w:r w:rsidR="00D42515">
        <w:rPr>
          <w:rFonts w:ascii="Arial" w:hAnsi="Arial" w:cs="Arial"/>
          <w:b/>
          <w:bCs/>
          <w:sz w:val="20"/>
        </w:rPr>
        <w:t xml:space="preserve">(2017) </w:t>
      </w:r>
    </w:p>
    <w:p w:rsidR="00FD628E" w:rsidRDefault="00FD628E" w:rsidP="00FD628E">
      <w:pPr>
        <w:pStyle w:val="BodyText2"/>
        <w:rPr>
          <w:rFonts w:ascii="Arial" w:hAnsi="Arial" w:cs="Arial"/>
          <w:sz w:val="20"/>
        </w:rPr>
      </w:pPr>
    </w:p>
    <w:p w:rsidR="009A72B4" w:rsidRDefault="00C825C6" w:rsidP="00FD628E">
      <w:pPr>
        <w:pStyle w:val="BodyText2"/>
        <w:rPr>
          <w:rFonts w:ascii="Arial" w:hAnsi="Arial" w:cs="Arial"/>
          <w:bCs/>
          <w:sz w:val="20"/>
        </w:rPr>
      </w:pPr>
      <w:r>
        <w:rPr>
          <w:rFonts w:ascii="Arial" w:hAnsi="Arial" w:cs="Arial"/>
          <w:sz w:val="20"/>
        </w:rPr>
        <w:t xml:space="preserve">Cairn announces that, </w:t>
      </w:r>
      <w:r w:rsidR="00110956">
        <w:rPr>
          <w:rFonts w:ascii="Arial" w:hAnsi="Arial" w:cs="Arial"/>
          <w:sz w:val="20"/>
        </w:rPr>
        <w:t xml:space="preserve">following the approval by shareholders of the Company’s new directors’ remuneration policy at its </w:t>
      </w:r>
      <w:r w:rsidR="00D33A48">
        <w:rPr>
          <w:rFonts w:ascii="Arial" w:hAnsi="Arial" w:cs="Arial"/>
          <w:sz w:val="20"/>
        </w:rPr>
        <w:t xml:space="preserve">14 May 2020 </w:t>
      </w:r>
      <w:r w:rsidR="00110956">
        <w:rPr>
          <w:rFonts w:ascii="Arial" w:hAnsi="Arial" w:cs="Arial"/>
          <w:sz w:val="20"/>
        </w:rPr>
        <w:t xml:space="preserve">AGM </w:t>
      </w:r>
      <w:r w:rsidR="00E47B1F">
        <w:rPr>
          <w:rFonts w:ascii="Arial" w:hAnsi="Arial" w:cs="Arial"/>
          <w:sz w:val="20"/>
        </w:rPr>
        <w:t>(the “</w:t>
      </w:r>
      <w:r w:rsidR="00E47B1F" w:rsidRPr="00E47B1F">
        <w:rPr>
          <w:rFonts w:ascii="Arial" w:hAnsi="Arial" w:cs="Arial"/>
          <w:b/>
          <w:sz w:val="20"/>
        </w:rPr>
        <w:t>New Remuneration Policy</w:t>
      </w:r>
      <w:r w:rsidR="00E47B1F">
        <w:rPr>
          <w:rFonts w:ascii="Arial" w:hAnsi="Arial" w:cs="Arial"/>
          <w:sz w:val="20"/>
        </w:rPr>
        <w:t>”)</w:t>
      </w:r>
      <w:r w:rsidR="00110956">
        <w:rPr>
          <w:rFonts w:ascii="Arial" w:hAnsi="Arial" w:cs="Arial"/>
          <w:sz w:val="20"/>
        </w:rPr>
        <w:t>,</w:t>
      </w:r>
      <w:r w:rsidR="00FD628E">
        <w:rPr>
          <w:rFonts w:ascii="Arial" w:hAnsi="Arial" w:cs="Arial"/>
          <w:sz w:val="20"/>
        </w:rPr>
        <w:t xml:space="preserve"> </w:t>
      </w:r>
      <w:r w:rsidR="00D33A48">
        <w:rPr>
          <w:rFonts w:ascii="Arial" w:hAnsi="Arial" w:cs="Arial"/>
          <w:sz w:val="20"/>
        </w:rPr>
        <w:t>it has</w:t>
      </w:r>
      <w:r w:rsidR="009A72B4">
        <w:rPr>
          <w:rFonts w:ascii="Arial" w:hAnsi="Arial" w:cs="Arial"/>
          <w:sz w:val="20"/>
        </w:rPr>
        <w:t xml:space="preserve"> today, </w:t>
      </w:r>
      <w:r w:rsidR="00E03362">
        <w:rPr>
          <w:rFonts w:ascii="Arial" w:hAnsi="Arial" w:cs="Arial"/>
          <w:sz w:val="20"/>
        </w:rPr>
        <w:t>28 July</w:t>
      </w:r>
      <w:r w:rsidR="00335EBE">
        <w:rPr>
          <w:rFonts w:ascii="Arial" w:hAnsi="Arial" w:cs="Arial"/>
          <w:sz w:val="20"/>
        </w:rPr>
        <w:t xml:space="preserve"> </w:t>
      </w:r>
      <w:r w:rsidR="009A72B4">
        <w:rPr>
          <w:rFonts w:ascii="Arial" w:hAnsi="Arial" w:cs="Arial"/>
          <w:sz w:val="20"/>
        </w:rPr>
        <w:t>2020,</w:t>
      </w:r>
      <w:r w:rsidR="00D33A48">
        <w:rPr>
          <w:rFonts w:ascii="Arial" w:hAnsi="Arial" w:cs="Arial"/>
          <w:sz w:val="20"/>
        </w:rPr>
        <w:t xml:space="preserve"> granted </w:t>
      </w:r>
      <w:r w:rsidR="004C30C7" w:rsidRPr="004C30C7">
        <w:rPr>
          <w:rFonts w:ascii="Arial" w:hAnsi="Arial" w:cs="Arial"/>
          <w:sz w:val="20"/>
        </w:rPr>
        <w:t xml:space="preserve">Awards (in the form of </w:t>
      </w:r>
      <w:r w:rsidR="00224720">
        <w:rPr>
          <w:rFonts w:ascii="Arial" w:hAnsi="Arial" w:cs="Arial"/>
          <w:sz w:val="20"/>
        </w:rPr>
        <w:t>“</w:t>
      </w:r>
      <w:r w:rsidR="004C30C7" w:rsidRPr="004C30C7">
        <w:rPr>
          <w:rFonts w:ascii="Arial" w:hAnsi="Arial" w:cs="Arial"/>
          <w:sz w:val="20"/>
        </w:rPr>
        <w:t>nil-cost</w:t>
      </w:r>
      <w:r w:rsidR="00224720">
        <w:rPr>
          <w:rFonts w:ascii="Arial" w:hAnsi="Arial" w:cs="Arial"/>
          <w:sz w:val="20"/>
        </w:rPr>
        <w:t>”</w:t>
      </w:r>
      <w:r w:rsidR="004C30C7" w:rsidRPr="004C30C7">
        <w:rPr>
          <w:rFonts w:ascii="Arial" w:hAnsi="Arial" w:cs="Arial"/>
          <w:sz w:val="20"/>
        </w:rPr>
        <w:t xml:space="preserve"> options) </w:t>
      </w:r>
      <w:r w:rsidR="004C30C7">
        <w:rPr>
          <w:rFonts w:ascii="Arial" w:hAnsi="Arial" w:cs="Arial"/>
          <w:sz w:val="20"/>
        </w:rPr>
        <w:t>over its ordinary s</w:t>
      </w:r>
      <w:r w:rsidR="004C30C7" w:rsidRPr="002135D3">
        <w:rPr>
          <w:rFonts w:ascii="Arial" w:hAnsi="Arial" w:cs="Arial"/>
          <w:sz w:val="20"/>
        </w:rPr>
        <w:t xml:space="preserve">hares of </w:t>
      </w:r>
      <w:r w:rsidR="004C30C7">
        <w:rPr>
          <w:rFonts w:ascii="Arial" w:hAnsi="Arial" w:cs="Arial"/>
          <w:sz w:val="20"/>
        </w:rPr>
        <w:t xml:space="preserve">231/169 </w:t>
      </w:r>
      <w:r w:rsidR="004C30C7" w:rsidRPr="002135D3">
        <w:rPr>
          <w:rFonts w:ascii="Arial" w:hAnsi="Arial" w:cs="Arial"/>
          <w:sz w:val="20"/>
        </w:rPr>
        <w:t xml:space="preserve">pence each </w:t>
      </w:r>
      <w:r w:rsidR="004C30C7">
        <w:rPr>
          <w:rFonts w:ascii="Arial" w:hAnsi="Arial" w:cs="Arial"/>
          <w:sz w:val="20"/>
        </w:rPr>
        <w:t>(</w:t>
      </w:r>
      <w:r w:rsidR="00224720">
        <w:rPr>
          <w:rFonts w:ascii="Arial" w:hAnsi="Arial" w:cs="Arial"/>
          <w:sz w:val="20"/>
        </w:rPr>
        <w:t>“</w:t>
      </w:r>
      <w:r w:rsidR="004C30C7" w:rsidRPr="00C73BDB">
        <w:rPr>
          <w:rFonts w:ascii="Arial" w:hAnsi="Arial" w:cs="Arial"/>
          <w:b/>
          <w:sz w:val="20"/>
        </w:rPr>
        <w:t>Shares</w:t>
      </w:r>
      <w:r w:rsidR="00224720">
        <w:rPr>
          <w:rFonts w:ascii="Arial" w:hAnsi="Arial" w:cs="Arial"/>
          <w:sz w:val="20"/>
        </w:rPr>
        <w:t>”</w:t>
      </w:r>
      <w:r w:rsidR="004C30C7">
        <w:rPr>
          <w:rFonts w:ascii="Arial" w:hAnsi="Arial" w:cs="Arial"/>
          <w:sz w:val="20"/>
        </w:rPr>
        <w:t>)</w:t>
      </w:r>
      <w:r w:rsidR="00C73BDB">
        <w:rPr>
          <w:rFonts w:ascii="Arial" w:hAnsi="Arial" w:cs="Arial"/>
          <w:sz w:val="20"/>
        </w:rPr>
        <w:t xml:space="preserve"> </w:t>
      </w:r>
      <w:r w:rsidR="004C30C7" w:rsidRPr="004C30C7">
        <w:rPr>
          <w:rFonts w:ascii="Arial" w:hAnsi="Arial" w:cs="Arial"/>
          <w:sz w:val="20"/>
        </w:rPr>
        <w:fldChar w:fldCharType="begin"/>
      </w:r>
      <w:r w:rsidR="004C30C7" w:rsidRPr="004C30C7">
        <w:rPr>
          <w:rFonts w:ascii="Arial" w:hAnsi="Arial" w:cs="Arial"/>
          <w:sz w:val="20"/>
        </w:rPr>
        <w:instrText xml:space="preserve"> QUOTE </w:instrText>
      </w:r>
      <m:oMath>
        <m:f>
          <m:fPr>
            <m:type m:val="skw"/>
            <m:ctrlPr>
              <w:rPr>
                <w:rFonts w:ascii="Cambria Math" w:hAnsi="Cambria Math" w:cs="Arial"/>
                <w:sz w:val="20"/>
              </w:rPr>
            </m:ctrlPr>
          </m:fPr>
          <m:num>
            <m:r>
              <m:rPr>
                <m:sty m:val="p"/>
              </m:rPr>
              <w:rPr>
                <w:rFonts w:ascii="Cambria Math" w:hAnsi="Cambria Math" w:cs="Arial"/>
                <w:sz w:val="20"/>
              </w:rPr>
              <m:t>231</m:t>
            </m:r>
          </m:num>
          <m:den>
            <m:r>
              <m:rPr>
                <m:sty m:val="p"/>
              </m:rPr>
              <w:rPr>
                <w:rFonts w:ascii="Cambria Math" w:hAnsi="Cambria Math" w:cs="Arial"/>
                <w:sz w:val="20"/>
              </w:rPr>
              <m:t>169</m:t>
            </m:r>
          </m:den>
        </m:f>
        <m:r>
          <m:rPr>
            <m:sty m:val="p"/>
          </m:rPr>
          <w:rPr>
            <w:rFonts w:ascii="Cambria Math" w:hAnsi="Cambria Math" w:cs="Arial"/>
            <w:sz w:val="20"/>
          </w:rPr>
          <m:t xml:space="preserve">  </m:t>
        </m:r>
      </m:oMath>
      <w:r w:rsidR="004C30C7" w:rsidRPr="004C30C7">
        <w:rPr>
          <w:rFonts w:ascii="Arial" w:hAnsi="Arial" w:cs="Arial"/>
          <w:sz w:val="20"/>
        </w:rPr>
        <w:instrText xml:space="preserve"> </w:instrText>
      </w:r>
      <w:r w:rsidR="004C30C7" w:rsidRPr="004C30C7">
        <w:rPr>
          <w:rFonts w:ascii="Arial" w:hAnsi="Arial" w:cs="Arial"/>
          <w:sz w:val="20"/>
        </w:rPr>
        <w:fldChar w:fldCharType="end"/>
      </w:r>
      <w:r w:rsidR="004C30C7" w:rsidRPr="006F298E">
        <w:rPr>
          <w:rFonts w:ascii="Arial" w:hAnsi="Arial" w:cs="Arial"/>
          <w:sz w:val="20"/>
        </w:rPr>
        <w:t>to Executive</w:t>
      </w:r>
      <w:r w:rsidR="004C30C7" w:rsidRPr="004C30C7">
        <w:rPr>
          <w:rFonts w:ascii="Arial" w:hAnsi="Arial" w:cs="Arial"/>
          <w:sz w:val="20"/>
        </w:rPr>
        <w:t xml:space="preserve"> Directors and PDMRs of the Company</w:t>
      </w:r>
      <w:r w:rsidR="006C5DBF">
        <w:rPr>
          <w:rFonts w:ascii="Arial" w:hAnsi="Arial" w:cs="Arial"/>
          <w:sz w:val="20"/>
        </w:rPr>
        <w:t xml:space="preserve"> under its 2017 Long Term Incentive Plan </w:t>
      </w:r>
      <w:r w:rsidR="006C5DBF" w:rsidRPr="006F298E">
        <w:rPr>
          <w:rFonts w:ascii="Arial" w:hAnsi="Arial" w:cs="Arial"/>
          <w:bCs/>
          <w:sz w:val="20"/>
        </w:rPr>
        <w:t>(the “</w:t>
      </w:r>
      <w:r w:rsidR="006C5DBF" w:rsidRPr="00B400D9">
        <w:rPr>
          <w:rFonts w:ascii="Arial" w:hAnsi="Arial" w:cs="Arial"/>
          <w:b/>
          <w:bCs/>
          <w:sz w:val="20"/>
        </w:rPr>
        <w:t>2017 LTIP</w:t>
      </w:r>
      <w:r w:rsidR="006C5DBF" w:rsidRPr="006F298E">
        <w:rPr>
          <w:rFonts w:ascii="Arial" w:hAnsi="Arial" w:cs="Arial"/>
          <w:bCs/>
          <w:sz w:val="20"/>
        </w:rPr>
        <w:t>”)</w:t>
      </w:r>
      <w:r w:rsidR="009A72B4">
        <w:rPr>
          <w:rFonts w:ascii="Arial" w:hAnsi="Arial" w:cs="Arial"/>
          <w:bCs/>
          <w:sz w:val="20"/>
        </w:rPr>
        <w:t>.</w:t>
      </w:r>
    </w:p>
    <w:p w:rsidR="009A72B4" w:rsidRDefault="009A72B4" w:rsidP="00FD628E">
      <w:pPr>
        <w:pStyle w:val="BodyText2"/>
        <w:rPr>
          <w:rFonts w:ascii="Arial" w:hAnsi="Arial" w:cs="Arial"/>
          <w:bCs/>
          <w:sz w:val="20"/>
        </w:rPr>
      </w:pPr>
    </w:p>
    <w:p w:rsidR="009A72B4" w:rsidRPr="00087EA0" w:rsidRDefault="009A72B4" w:rsidP="009A72B4">
      <w:pPr>
        <w:jc w:val="both"/>
        <w:rPr>
          <w:rFonts w:cs="Arial"/>
          <w:bCs/>
          <w:lang w:val="en-US"/>
        </w:rPr>
      </w:pPr>
      <w:r w:rsidRPr="00087EA0">
        <w:rPr>
          <w:rFonts w:cs="Arial"/>
          <w:bCs/>
          <w:lang w:val="en-US"/>
        </w:rPr>
        <w:t>Cairn’s remuneration committee (the “</w:t>
      </w:r>
      <w:r w:rsidRPr="00087EA0">
        <w:rPr>
          <w:rFonts w:cs="Arial"/>
          <w:b/>
          <w:bCs/>
          <w:lang w:val="en-US"/>
        </w:rPr>
        <w:t>Committee</w:t>
      </w:r>
      <w:r w:rsidRPr="00087EA0">
        <w:rPr>
          <w:rFonts w:cs="Arial"/>
          <w:bCs/>
          <w:lang w:val="en-US"/>
        </w:rPr>
        <w:t xml:space="preserve">”) </w:t>
      </w:r>
      <w:proofErr w:type="spellStart"/>
      <w:r w:rsidRPr="00087EA0">
        <w:rPr>
          <w:rFonts w:cs="Arial"/>
          <w:bCs/>
          <w:lang w:val="en-US"/>
        </w:rPr>
        <w:t>recognises</w:t>
      </w:r>
      <w:proofErr w:type="spellEnd"/>
      <w:r w:rsidRPr="00087EA0">
        <w:rPr>
          <w:rFonts w:cs="Arial"/>
          <w:bCs/>
          <w:lang w:val="en-US"/>
        </w:rPr>
        <w:t xml:space="preserve"> that the</w:t>
      </w:r>
      <w:r>
        <w:rPr>
          <w:rFonts w:cs="Arial"/>
          <w:bCs/>
          <w:lang w:val="en-US"/>
        </w:rPr>
        <w:t>se</w:t>
      </w:r>
      <w:r w:rsidRPr="00087EA0">
        <w:rPr>
          <w:rFonts w:cs="Arial"/>
          <w:bCs/>
          <w:lang w:val="en-US"/>
        </w:rPr>
        <w:t xml:space="preserve"> Awards have been made during a period of significant market uncertainty due to the COVID-19 crisis and at a time when, along with many other listed companies, Cairn has experienced a material fall in its share price</w:t>
      </w:r>
      <w:r w:rsidR="00E03362">
        <w:rPr>
          <w:rFonts w:cs="Arial"/>
          <w:bCs/>
          <w:lang w:val="en-US"/>
        </w:rPr>
        <w:t xml:space="preserve"> </w:t>
      </w:r>
      <w:r w:rsidR="00E03362" w:rsidRPr="00E03362">
        <w:rPr>
          <w:rFonts w:cs="Arial"/>
          <w:bCs/>
          <w:lang w:val="en-US"/>
        </w:rPr>
        <w:t>(when compared to the “pre-COVID” level)</w:t>
      </w:r>
      <w:r w:rsidRPr="00087EA0">
        <w:rPr>
          <w:rFonts w:cs="Arial"/>
          <w:bCs/>
          <w:lang w:val="en-US"/>
        </w:rPr>
        <w:t xml:space="preserve">.  The New Remuneration Policy makes it clear that any such share price movement should be considered by the Committee at the time any grants under the 2017 LTIP are being formulated, principally to mitigate against the risk of participants </w:t>
      </w:r>
      <w:proofErr w:type="spellStart"/>
      <w:r w:rsidRPr="00087EA0">
        <w:rPr>
          <w:rFonts w:cs="Arial"/>
          <w:bCs/>
          <w:lang w:val="en-US"/>
        </w:rPr>
        <w:t>realising</w:t>
      </w:r>
      <w:proofErr w:type="spellEnd"/>
      <w:r w:rsidRPr="00087EA0">
        <w:rPr>
          <w:rFonts w:cs="Arial"/>
          <w:bCs/>
          <w:lang w:val="en-US"/>
        </w:rPr>
        <w:t xml:space="preserve"> a “windfall” gain on their subsequent vesting.</w:t>
      </w:r>
    </w:p>
    <w:p w:rsidR="009A72B4" w:rsidRPr="00087EA0" w:rsidRDefault="009A72B4" w:rsidP="009A72B4">
      <w:pPr>
        <w:jc w:val="both"/>
        <w:rPr>
          <w:rFonts w:cs="Arial"/>
          <w:bCs/>
          <w:lang w:val="en-US"/>
        </w:rPr>
      </w:pPr>
    </w:p>
    <w:p w:rsidR="009A72B4" w:rsidRDefault="009A72B4" w:rsidP="009A72B4">
      <w:pPr>
        <w:jc w:val="both"/>
        <w:rPr>
          <w:rFonts w:cs="Arial"/>
          <w:bCs/>
          <w:lang w:val="en-US"/>
        </w:rPr>
      </w:pPr>
      <w:r w:rsidRPr="00087EA0">
        <w:rPr>
          <w:rFonts w:cs="Arial"/>
          <w:bCs/>
          <w:lang w:val="en-US"/>
        </w:rPr>
        <w:t xml:space="preserve">In light of the above, the Committee can confirm that a </w:t>
      </w:r>
      <w:r w:rsidR="00335EBE">
        <w:rPr>
          <w:rFonts w:cs="Arial"/>
          <w:bCs/>
          <w:lang w:val="en-US"/>
        </w:rPr>
        <w:t>20</w:t>
      </w:r>
      <w:r w:rsidRPr="00087EA0">
        <w:rPr>
          <w:rFonts w:cs="Arial"/>
          <w:bCs/>
          <w:lang w:val="en-US"/>
        </w:rPr>
        <w:t xml:space="preserve">% reduction was applied to the </w:t>
      </w:r>
      <w:r>
        <w:rPr>
          <w:rFonts w:cs="Arial"/>
          <w:bCs/>
          <w:lang w:val="en-US"/>
        </w:rPr>
        <w:t xml:space="preserve">number </w:t>
      </w:r>
      <w:r w:rsidRPr="00087EA0">
        <w:rPr>
          <w:rFonts w:cs="Arial"/>
          <w:bCs/>
          <w:lang w:val="en-US"/>
        </w:rPr>
        <w:t xml:space="preserve">of Shares over which each </w:t>
      </w:r>
      <w:r w:rsidR="00EF3256">
        <w:rPr>
          <w:rFonts w:cs="Arial"/>
          <w:bCs/>
          <w:lang w:val="en-US"/>
        </w:rPr>
        <w:t>individual’s Award</w:t>
      </w:r>
      <w:r w:rsidRPr="00087EA0">
        <w:rPr>
          <w:rFonts w:cs="Arial"/>
          <w:bCs/>
          <w:lang w:val="en-US"/>
        </w:rPr>
        <w:t xml:space="preserve"> would otherwise have been granted if Cairn’s standard approach had been adopted on this occasion.  </w:t>
      </w:r>
      <w:r>
        <w:rPr>
          <w:rFonts w:cs="Arial"/>
          <w:bCs/>
          <w:lang w:val="en-US"/>
        </w:rPr>
        <w:t xml:space="preserve">This decision, which has been applied </w:t>
      </w:r>
      <w:r w:rsidR="00EF3256">
        <w:rPr>
          <w:rFonts w:cs="Arial"/>
          <w:bCs/>
          <w:lang w:val="en-US"/>
        </w:rPr>
        <w:t xml:space="preserve">consistently to all participants in the 2017 LTIP (and also to </w:t>
      </w:r>
      <w:r w:rsidR="00566FD4">
        <w:rPr>
          <w:rFonts w:cs="Arial"/>
          <w:bCs/>
          <w:lang w:val="en-US"/>
        </w:rPr>
        <w:t xml:space="preserve">recipients of grants under the Company’s discretionary share plan for its wider employee population), </w:t>
      </w:r>
      <w:r>
        <w:rPr>
          <w:rFonts w:cs="Arial"/>
          <w:bCs/>
          <w:lang w:val="en-US"/>
        </w:rPr>
        <w:t xml:space="preserve">was reached by the Committee after taking appropriate advice from its independent advisors. </w:t>
      </w:r>
    </w:p>
    <w:p w:rsidR="009A72B4" w:rsidRDefault="009A72B4" w:rsidP="009A72B4">
      <w:pPr>
        <w:jc w:val="both"/>
        <w:rPr>
          <w:rFonts w:cs="Arial"/>
          <w:bCs/>
          <w:lang w:val="en-US"/>
        </w:rPr>
      </w:pPr>
    </w:p>
    <w:p w:rsidR="004C30C7" w:rsidRDefault="009A72B4" w:rsidP="00EF3256">
      <w:pPr>
        <w:jc w:val="both"/>
        <w:rPr>
          <w:rFonts w:cs="Arial"/>
        </w:rPr>
      </w:pPr>
      <w:r>
        <w:rPr>
          <w:rFonts w:cs="Arial"/>
          <w:bCs/>
          <w:lang w:val="en-US"/>
        </w:rPr>
        <w:t xml:space="preserve">Details of the </w:t>
      </w:r>
      <w:r w:rsidR="00EF3256">
        <w:rPr>
          <w:rFonts w:cs="Arial"/>
          <w:bCs/>
          <w:lang w:val="en-US"/>
        </w:rPr>
        <w:t>Awards granted to the Executive Directors and PDMRs are as follows:</w:t>
      </w:r>
    </w:p>
    <w:p w:rsidR="004C30C7" w:rsidRPr="005B6D89" w:rsidRDefault="004C30C7" w:rsidP="004C30C7">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1"/>
        <w:gridCol w:w="3539"/>
      </w:tblGrid>
      <w:tr w:rsidR="004C30C7" w:rsidRPr="005B6D89" w:rsidTr="004C30C7">
        <w:tc>
          <w:tcPr>
            <w:tcW w:w="5971" w:type="dxa"/>
          </w:tcPr>
          <w:p w:rsidR="004C30C7" w:rsidRPr="005B6D89" w:rsidRDefault="004C30C7" w:rsidP="00224720">
            <w:pPr>
              <w:spacing w:before="120" w:after="120"/>
              <w:jc w:val="center"/>
              <w:rPr>
                <w:rFonts w:cs="Arial"/>
                <w:b/>
                <w:lang w:eastAsia="en-US"/>
              </w:rPr>
            </w:pPr>
            <w:r w:rsidRPr="005B6D89">
              <w:rPr>
                <w:rFonts w:cs="Arial"/>
                <w:b/>
                <w:lang w:eastAsia="en-US"/>
              </w:rPr>
              <w:t>Executive Director / PDMR</w:t>
            </w:r>
          </w:p>
        </w:tc>
        <w:tc>
          <w:tcPr>
            <w:tcW w:w="3539" w:type="dxa"/>
          </w:tcPr>
          <w:p w:rsidR="004C30C7" w:rsidRPr="005B6D89" w:rsidRDefault="004C30C7" w:rsidP="00224720">
            <w:pPr>
              <w:spacing w:before="120" w:after="120"/>
              <w:jc w:val="center"/>
              <w:rPr>
                <w:rFonts w:cs="Arial"/>
                <w:b/>
                <w:lang w:eastAsia="en-US"/>
              </w:rPr>
            </w:pPr>
            <w:r w:rsidRPr="005B6D89">
              <w:rPr>
                <w:rFonts w:cs="Arial"/>
                <w:b/>
                <w:lang w:eastAsia="en-US"/>
              </w:rPr>
              <w:t>Number of Shares</w:t>
            </w:r>
          </w:p>
        </w:tc>
      </w:tr>
      <w:tr w:rsidR="007A4D06" w:rsidRPr="005B6D89" w:rsidTr="007A4D06">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Simon Thomson, Chief Executive</w:t>
            </w:r>
          </w:p>
        </w:tc>
        <w:tc>
          <w:tcPr>
            <w:tcW w:w="3539" w:type="dxa"/>
            <w:shd w:val="clear" w:color="auto" w:fill="auto"/>
            <w:vAlign w:val="center"/>
          </w:tcPr>
          <w:p w:rsidR="007A4D06" w:rsidRPr="00B97132" w:rsidRDefault="00E03362" w:rsidP="006646C7">
            <w:pPr>
              <w:jc w:val="center"/>
              <w:rPr>
                <w:rFonts w:cs="Arial"/>
              </w:rPr>
            </w:pPr>
            <w:r w:rsidRPr="00B97132">
              <w:rPr>
                <w:rFonts w:cs="Arial"/>
              </w:rPr>
              <w:t xml:space="preserve">886,847 </w:t>
            </w:r>
          </w:p>
        </w:tc>
      </w:tr>
      <w:tr w:rsidR="007A4D06" w:rsidRPr="005B6D89" w:rsidTr="007A4D06">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James Smith, Chief Financial Officer</w:t>
            </w:r>
          </w:p>
        </w:tc>
        <w:tc>
          <w:tcPr>
            <w:tcW w:w="3539" w:type="dxa"/>
            <w:shd w:val="clear" w:color="auto" w:fill="auto"/>
            <w:vAlign w:val="center"/>
          </w:tcPr>
          <w:p w:rsidR="007A4D06" w:rsidRPr="00B97132" w:rsidRDefault="00E03362" w:rsidP="00E03362">
            <w:pPr>
              <w:jc w:val="center"/>
              <w:rPr>
                <w:rFonts w:cs="Arial"/>
              </w:rPr>
            </w:pPr>
            <w:r w:rsidRPr="00B97132">
              <w:rPr>
                <w:rFonts w:cs="Arial"/>
              </w:rPr>
              <w:t xml:space="preserve">576,811 </w:t>
            </w:r>
          </w:p>
        </w:tc>
      </w:tr>
      <w:tr w:rsidR="007A4D06" w:rsidRPr="005B6D89" w:rsidTr="007A4D06">
        <w:trPr>
          <w:trHeight w:val="203"/>
        </w:trPr>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Eric Hathon, Director of Exploration</w:t>
            </w:r>
          </w:p>
        </w:tc>
        <w:tc>
          <w:tcPr>
            <w:tcW w:w="3539" w:type="dxa"/>
            <w:shd w:val="clear" w:color="auto" w:fill="auto"/>
            <w:vAlign w:val="center"/>
          </w:tcPr>
          <w:p w:rsidR="007A4D06" w:rsidRPr="00B97132" w:rsidRDefault="00E03362" w:rsidP="00E03362">
            <w:pPr>
              <w:jc w:val="center"/>
              <w:rPr>
                <w:rFonts w:cs="Arial"/>
              </w:rPr>
            </w:pPr>
            <w:r w:rsidRPr="00B97132">
              <w:rPr>
                <w:rFonts w:cs="Arial"/>
              </w:rPr>
              <w:t xml:space="preserve">475,152 </w:t>
            </w:r>
          </w:p>
        </w:tc>
      </w:tr>
      <w:tr w:rsidR="007A4D06" w:rsidRPr="005B6D89" w:rsidTr="007A4D06">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Paul Mayland, Chief Operating Officer</w:t>
            </w:r>
          </w:p>
        </w:tc>
        <w:tc>
          <w:tcPr>
            <w:tcW w:w="3539" w:type="dxa"/>
            <w:shd w:val="clear" w:color="auto" w:fill="auto"/>
            <w:vAlign w:val="center"/>
          </w:tcPr>
          <w:p w:rsidR="007A4D06" w:rsidRPr="00B97132" w:rsidRDefault="00E03362" w:rsidP="00E03362">
            <w:pPr>
              <w:jc w:val="center"/>
              <w:rPr>
                <w:rFonts w:cs="Arial"/>
              </w:rPr>
            </w:pPr>
            <w:r w:rsidRPr="00B97132">
              <w:rPr>
                <w:rFonts w:cs="Arial"/>
              </w:rPr>
              <w:t xml:space="preserve">495,901 </w:t>
            </w:r>
          </w:p>
        </w:tc>
      </w:tr>
      <w:tr w:rsidR="007A4D06" w:rsidRPr="005B6D89" w:rsidTr="007A4D06">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Richard Ember, Regional Director, International</w:t>
            </w:r>
          </w:p>
        </w:tc>
        <w:tc>
          <w:tcPr>
            <w:tcW w:w="3539" w:type="dxa"/>
            <w:shd w:val="clear" w:color="auto" w:fill="auto"/>
            <w:vAlign w:val="center"/>
          </w:tcPr>
          <w:p w:rsidR="007A4D06" w:rsidRPr="00B97132" w:rsidRDefault="00E03362" w:rsidP="006646C7">
            <w:pPr>
              <w:jc w:val="center"/>
              <w:rPr>
                <w:rFonts w:cs="Arial"/>
              </w:rPr>
            </w:pPr>
            <w:r w:rsidRPr="00B97132">
              <w:rPr>
                <w:rFonts w:cs="Arial"/>
              </w:rPr>
              <w:t xml:space="preserve">204,257 </w:t>
            </w:r>
          </w:p>
        </w:tc>
      </w:tr>
      <w:tr w:rsidR="007A4D06" w:rsidRPr="005B6D89" w:rsidTr="007A4D06">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 xml:space="preserve">Miles Warner, </w:t>
            </w:r>
            <w:r w:rsidR="00F633F2" w:rsidRPr="00E03362">
              <w:rPr>
                <w:rFonts w:cs="Arial"/>
                <w:lang w:eastAsia="en-US"/>
              </w:rPr>
              <w:t>Director of Government Relations</w:t>
            </w:r>
          </w:p>
        </w:tc>
        <w:tc>
          <w:tcPr>
            <w:tcW w:w="3539" w:type="dxa"/>
            <w:shd w:val="clear" w:color="auto" w:fill="auto"/>
            <w:vAlign w:val="center"/>
          </w:tcPr>
          <w:p w:rsidR="007A4D06" w:rsidRPr="00B97132" w:rsidRDefault="00E03362" w:rsidP="00E03362">
            <w:pPr>
              <w:jc w:val="center"/>
              <w:rPr>
                <w:rFonts w:cs="Arial"/>
              </w:rPr>
            </w:pPr>
            <w:r w:rsidRPr="00B97132">
              <w:rPr>
                <w:rFonts w:cs="Arial"/>
              </w:rPr>
              <w:t xml:space="preserve">217,556 </w:t>
            </w:r>
          </w:p>
        </w:tc>
      </w:tr>
      <w:tr w:rsidR="007A4D06" w:rsidRPr="005B6D89" w:rsidTr="007A4D06">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Douglas Taylor, Deputy Finance Director</w:t>
            </w:r>
          </w:p>
        </w:tc>
        <w:tc>
          <w:tcPr>
            <w:tcW w:w="3539" w:type="dxa"/>
            <w:shd w:val="clear" w:color="auto" w:fill="auto"/>
            <w:vAlign w:val="center"/>
          </w:tcPr>
          <w:p w:rsidR="007A4D06" w:rsidRPr="00B97132" w:rsidRDefault="00E03362" w:rsidP="00E03362">
            <w:pPr>
              <w:jc w:val="center"/>
              <w:rPr>
                <w:rFonts w:cs="Arial"/>
              </w:rPr>
            </w:pPr>
            <w:r w:rsidRPr="00B97132">
              <w:rPr>
                <w:rFonts w:cs="Arial"/>
              </w:rPr>
              <w:t xml:space="preserve">190,995 </w:t>
            </w:r>
          </w:p>
        </w:tc>
      </w:tr>
      <w:tr w:rsidR="007A4D06" w:rsidRPr="005B6D89" w:rsidTr="007A4D06">
        <w:tc>
          <w:tcPr>
            <w:tcW w:w="5971" w:type="dxa"/>
            <w:vAlign w:val="center"/>
          </w:tcPr>
          <w:p w:rsidR="007A4D06" w:rsidRPr="00E03362" w:rsidRDefault="007A4D06" w:rsidP="007A4D06">
            <w:pPr>
              <w:spacing w:before="120" w:after="120"/>
              <w:rPr>
                <w:rFonts w:cs="Arial"/>
                <w:lang w:eastAsia="en-US"/>
              </w:rPr>
            </w:pPr>
            <w:r w:rsidRPr="00E03362">
              <w:rPr>
                <w:rFonts w:cs="Arial"/>
                <w:lang w:eastAsia="en-US"/>
              </w:rPr>
              <w:t>David Nisbet, Director, Corporate Affairs</w:t>
            </w:r>
          </w:p>
        </w:tc>
        <w:tc>
          <w:tcPr>
            <w:tcW w:w="3539" w:type="dxa"/>
            <w:shd w:val="clear" w:color="auto" w:fill="auto"/>
            <w:vAlign w:val="center"/>
          </w:tcPr>
          <w:p w:rsidR="007A4D06" w:rsidRPr="00B97132" w:rsidRDefault="00E03362" w:rsidP="00E03362">
            <w:pPr>
              <w:jc w:val="center"/>
              <w:rPr>
                <w:rFonts w:cs="Arial"/>
              </w:rPr>
            </w:pPr>
            <w:r w:rsidRPr="00B97132">
              <w:rPr>
                <w:rFonts w:cs="Arial"/>
              </w:rPr>
              <w:t xml:space="preserve">238,924 </w:t>
            </w:r>
          </w:p>
        </w:tc>
      </w:tr>
    </w:tbl>
    <w:p w:rsidR="004C30C7" w:rsidRPr="005B6D89" w:rsidRDefault="004C30C7" w:rsidP="004C30C7">
      <w:pPr>
        <w:jc w:val="both"/>
        <w:rPr>
          <w:rFonts w:cs="Arial"/>
        </w:rPr>
      </w:pPr>
    </w:p>
    <w:p w:rsidR="00CC2F3B" w:rsidRDefault="00EF3256" w:rsidP="00CC2F3B">
      <w:pPr>
        <w:jc w:val="both"/>
        <w:rPr>
          <w:rFonts w:cs="Arial"/>
          <w:bCs/>
          <w:lang w:val="en-US"/>
        </w:rPr>
      </w:pPr>
      <w:r>
        <w:rPr>
          <w:rFonts w:cs="Arial"/>
          <w:bCs/>
          <w:lang w:val="en-US"/>
        </w:rPr>
        <w:t xml:space="preserve">All Shares were awarded </w:t>
      </w:r>
      <w:r w:rsidRPr="00B97132">
        <w:rPr>
          <w:rFonts w:cs="Arial"/>
          <w:bCs/>
          <w:lang w:val="en-US"/>
        </w:rPr>
        <w:t>at £</w:t>
      </w:r>
      <w:r w:rsidR="00E03362" w:rsidRPr="00B97132">
        <w:rPr>
          <w:rFonts w:cs="Arial"/>
          <w:bCs/>
          <w:lang w:val="en-US"/>
        </w:rPr>
        <w:t xml:space="preserve">1.323 </w:t>
      </w:r>
      <w:r>
        <w:rPr>
          <w:rFonts w:cs="Arial"/>
          <w:bCs/>
          <w:lang w:val="en-US"/>
        </w:rPr>
        <w:t xml:space="preserve">per Share, being </w:t>
      </w:r>
      <w:r w:rsidRPr="00EF3256">
        <w:rPr>
          <w:rFonts w:cs="Arial"/>
          <w:bCs/>
          <w:lang w:val="en-US"/>
        </w:rPr>
        <w:t xml:space="preserve">the mid-market closing price of a Share on </w:t>
      </w:r>
      <w:r w:rsidR="00E03362">
        <w:rPr>
          <w:rFonts w:cs="Arial"/>
          <w:bCs/>
          <w:lang w:val="en-US"/>
        </w:rPr>
        <w:t xml:space="preserve">27 </w:t>
      </w:r>
      <w:r w:rsidR="00335EBE">
        <w:rPr>
          <w:rFonts w:cs="Arial"/>
          <w:bCs/>
          <w:lang w:val="en-US"/>
        </w:rPr>
        <w:t>July</w:t>
      </w:r>
      <w:r w:rsidRPr="00EF3256">
        <w:rPr>
          <w:rFonts w:cs="Arial"/>
          <w:bCs/>
          <w:lang w:val="en-US"/>
        </w:rPr>
        <w:t xml:space="preserve"> 2020.</w:t>
      </w:r>
      <w:r>
        <w:rPr>
          <w:rFonts w:cs="Arial"/>
          <w:bCs/>
          <w:lang w:val="en-US"/>
        </w:rPr>
        <w:t xml:space="preserve"> </w:t>
      </w:r>
      <w:r w:rsidR="00CC2F3B" w:rsidRPr="005B6D89">
        <w:rPr>
          <w:rFonts w:cs="Arial"/>
          <w:bCs/>
          <w:lang w:val="en-US"/>
        </w:rPr>
        <w:t xml:space="preserve">The vesting of the </w:t>
      </w:r>
      <w:r w:rsidR="00CC2F3B">
        <w:rPr>
          <w:rFonts w:cs="Arial"/>
          <w:bCs/>
          <w:lang w:val="en-US"/>
        </w:rPr>
        <w:t>A</w:t>
      </w:r>
      <w:r w:rsidR="00CC2F3B" w:rsidRPr="005B6D89">
        <w:rPr>
          <w:rFonts w:cs="Arial"/>
          <w:bCs/>
          <w:lang w:val="en-US"/>
        </w:rPr>
        <w:t>wards</w:t>
      </w:r>
      <w:r w:rsidR="00CC2F3B">
        <w:rPr>
          <w:rFonts w:cs="Arial"/>
          <w:bCs/>
          <w:lang w:val="en-US"/>
        </w:rPr>
        <w:t xml:space="preserve"> (which, in the case of the Executive Directors, have been granted in accordance </w:t>
      </w:r>
      <w:r w:rsidR="00CC2F3B">
        <w:rPr>
          <w:rFonts w:cs="Arial"/>
          <w:bCs/>
          <w:lang w:val="en-US"/>
        </w:rPr>
        <w:lastRenderedPageBreak/>
        <w:t>with the Company</w:t>
      </w:r>
      <w:r w:rsidR="00224720">
        <w:rPr>
          <w:rFonts w:cs="Arial"/>
          <w:bCs/>
          <w:lang w:val="en-US"/>
        </w:rPr>
        <w:t>’</w:t>
      </w:r>
      <w:r w:rsidR="00CC2F3B">
        <w:rPr>
          <w:rFonts w:cs="Arial"/>
          <w:bCs/>
          <w:lang w:val="en-US"/>
        </w:rPr>
        <w:t xml:space="preserve">s </w:t>
      </w:r>
      <w:r w:rsidR="00E47B1F">
        <w:rPr>
          <w:rFonts w:cs="Arial"/>
          <w:bCs/>
          <w:lang w:val="en-US"/>
        </w:rPr>
        <w:t>New Remuneration Policy</w:t>
      </w:r>
      <w:r w:rsidR="00CC2F3B">
        <w:rPr>
          <w:rFonts w:cs="Arial"/>
          <w:bCs/>
          <w:lang w:val="en-US"/>
        </w:rPr>
        <w:t>)</w:t>
      </w:r>
      <w:r w:rsidR="00CC2F3B" w:rsidRPr="005B6D89">
        <w:rPr>
          <w:rFonts w:cs="Arial"/>
          <w:bCs/>
          <w:lang w:val="en-US"/>
        </w:rPr>
        <w:t xml:space="preserve"> depends upon the extent to which </w:t>
      </w:r>
      <w:r w:rsidR="00CC2F3B">
        <w:rPr>
          <w:rFonts w:cs="Arial"/>
          <w:bCs/>
          <w:lang w:val="en-US"/>
        </w:rPr>
        <w:t xml:space="preserve">specified </w:t>
      </w:r>
      <w:r w:rsidR="00CC2F3B" w:rsidRPr="005B6D89">
        <w:rPr>
          <w:rFonts w:cs="Arial"/>
          <w:bCs/>
          <w:lang w:val="en-US"/>
        </w:rPr>
        <w:t>performance conditions are met over a three-year performance period.</w:t>
      </w:r>
      <w:r w:rsidR="00763504">
        <w:rPr>
          <w:rFonts w:cs="Arial"/>
          <w:bCs/>
          <w:lang w:val="en-US"/>
        </w:rPr>
        <w:t xml:space="preserve">  Following any such vesting, Awards will be subject to a further “holding period” during which they cannot be exercised; in the case of the Executive Directors</w:t>
      </w:r>
      <w:r w:rsidR="00BE1BEB">
        <w:rPr>
          <w:rFonts w:cs="Arial"/>
          <w:bCs/>
          <w:lang w:val="en-US"/>
        </w:rPr>
        <w:t xml:space="preserve">, </w:t>
      </w:r>
      <w:r w:rsidR="00064F37">
        <w:rPr>
          <w:rFonts w:cs="Arial"/>
          <w:bCs/>
          <w:lang w:val="en-US"/>
        </w:rPr>
        <w:t>the Director of Exploration and the Chief Operating Officer</w:t>
      </w:r>
      <w:r w:rsidR="00763504">
        <w:rPr>
          <w:rFonts w:cs="Arial"/>
          <w:bCs/>
          <w:lang w:val="en-US"/>
        </w:rPr>
        <w:t xml:space="preserve">, this period will </w:t>
      </w:r>
      <w:r w:rsidR="00B071F6">
        <w:rPr>
          <w:rFonts w:cs="Arial"/>
          <w:bCs/>
          <w:lang w:val="en-US"/>
        </w:rPr>
        <w:t xml:space="preserve">not </w:t>
      </w:r>
      <w:r w:rsidR="009A5E0F">
        <w:rPr>
          <w:rFonts w:cs="Arial"/>
          <w:bCs/>
          <w:lang w:val="en-US"/>
        </w:rPr>
        <w:t xml:space="preserve">expire </w:t>
      </w:r>
      <w:r w:rsidR="00B071F6">
        <w:rPr>
          <w:rFonts w:cs="Arial"/>
          <w:bCs/>
          <w:lang w:val="en-US"/>
        </w:rPr>
        <w:t xml:space="preserve">until the </w:t>
      </w:r>
      <w:r w:rsidR="009A5E0F">
        <w:rPr>
          <w:rFonts w:cs="Arial"/>
          <w:bCs/>
          <w:lang w:val="en-US"/>
        </w:rPr>
        <w:t>second anniversary of the vesting date.</w:t>
      </w:r>
      <w:r w:rsidR="00601DD1">
        <w:rPr>
          <w:rFonts w:cs="Arial"/>
          <w:bCs/>
          <w:lang w:val="en-US"/>
        </w:rPr>
        <w:t xml:space="preserve">  </w:t>
      </w:r>
    </w:p>
    <w:p w:rsidR="00656846" w:rsidRDefault="00656846" w:rsidP="00CC2F3B">
      <w:pPr>
        <w:jc w:val="both"/>
        <w:rPr>
          <w:rFonts w:cs="Arial"/>
          <w:bCs/>
          <w:highlight w:val="yellow"/>
          <w:lang w:val="en-US"/>
        </w:rPr>
      </w:pPr>
    </w:p>
    <w:p w:rsidR="006C5DBF" w:rsidRDefault="00973539" w:rsidP="00CC2F3B">
      <w:pPr>
        <w:jc w:val="both"/>
        <w:rPr>
          <w:rFonts w:cs="Arial"/>
          <w:bCs/>
          <w:lang w:val="en-US"/>
        </w:rPr>
      </w:pPr>
      <w:r>
        <w:rPr>
          <w:rFonts w:cs="Arial"/>
          <w:bCs/>
          <w:lang w:val="en-US"/>
        </w:rPr>
        <w:t>It should</w:t>
      </w:r>
      <w:r w:rsidR="004D066C">
        <w:rPr>
          <w:rFonts w:cs="Arial"/>
          <w:bCs/>
          <w:lang w:val="en-US"/>
        </w:rPr>
        <w:t xml:space="preserve"> also be noted that </w:t>
      </w:r>
      <w:r>
        <w:rPr>
          <w:rFonts w:cs="Arial"/>
          <w:bCs/>
          <w:lang w:val="en-US"/>
        </w:rPr>
        <w:t>the New Remuneration Policy gives the C</w:t>
      </w:r>
      <w:r w:rsidR="004D066C">
        <w:rPr>
          <w:rFonts w:cs="Arial"/>
          <w:bCs/>
          <w:lang w:val="en-US"/>
        </w:rPr>
        <w:t>ommittee a broad</w:t>
      </w:r>
      <w:r>
        <w:rPr>
          <w:rFonts w:cs="Arial"/>
          <w:bCs/>
          <w:lang w:val="en-US"/>
        </w:rPr>
        <w:t xml:space="preserve"> discretion to reduce </w:t>
      </w:r>
      <w:r w:rsidR="00DB4154">
        <w:rPr>
          <w:rFonts w:cs="Arial"/>
          <w:bCs/>
          <w:lang w:val="en-US"/>
        </w:rPr>
        <w:t xml:space="preserve">the </w:t>
      </w:r>
      <w:r>
        <w:rPr>
          <w:rFonts w:cs="Arial"/>
          <w:bCs/>
          <w:lang w:val="en-US"/>
        </w:rPr>
        <w:t xml:space="preserve">vesting levels </w:t>
      </w:r>
      <w:r w:rsidR="00DB4154">
        <w:rPr>
          <w:rFonts w:cs="Arial"/>
          <w:bCs/>
          <w:lang w:val="en-US"/>
        </w:rPr>
        <w:t xml:space="preserve">that </w:t>
      </w:r>
      <w:r w:rsidR="004D066C">
        <w:rPr>
          <w:rFonts w:cs="Arial"/>
          <w:bCs/>
          <w:lang w:val="en-US"/>
        </w:rPr>
        <w:t xml:space="preserve">arise from the </w:t>
      </w:r>
      <w:r>
        <w:rPr>
          <w:rFonts w:cs="Arial"/>
          <w:bCs/>
          <w:lang w:val="en-US"/>
        </w:rPr>
        <w:t xml:space="preserve">formulaic operation of the performance conditions </w:t>
      </w:r>
      <w:r w:rsidR="004D066C">
        <w:rPr>
          <w:rFonts w:cs="Arial"/>
          <w:bCs/>
          <w:lang w:val="en-US"/>
        </w:rPr>
        <w:t>applicable to the above Awards where it is deemed appropriate to do so</w:t>
      </w:r>
      <w:r>
        <w:rPr>
          <w:rFonts w:cs="Arial"/>
          <w:bCs/>
          <w:lang w:val="en-US"/>
        </w:rPr>
        <w:t xml:space="preserve">.  The Committee can confirm that the </w:t>
      </w:r>
      <w:r w:rsidR="006C5DBF">
        <w:rPr>
          <w:rFonts w:cs="Arial"/>
          <w:bCs/>
          <w:lang w:val="en-US"/>
        </w:rPr>
        <w:t>question of windfall gains is one factor that will be considered at the relevant time.</w:t>
      </w:r>
    </w:p>
    <w:p w:rsidR="00064F37" w:rsidRDefault="00064F37" w:rsidP="00CC2F3B">
      <w:pPr>
        <w:jc w:val="both"/>
        <w:rPr>
          <w:rFonts w:cs="Arial"/>
          <w:bCs/>
          <w:lang w:val="en-US"/>
        </w:rPr>
      </w:pPr>
    </w:p>
    <w:p w:rsidR="00064F37" w:rsidRPr="008A2843" w:rsidRDefault="00064F37" w:rsidP="008A2843">
      <w:pPr>
        <w:pStyle w:val="BodyText2"/>
        <w:rPr>
          <w:rFonts w:ascii="Arial" w:hAnsi="Arial" w:cs="Arial"/>
          <w:b/>
          <w:bCs/>
          <w:sz w:val="20"/>
        </w:rPr>
      </w:pPr>
      <w:r>
        <w:rPr>
          <w:rFonts w:ascii="Arial" w:hAnsi="Arial" w:cs="Arial"/>
          <w:sz w:val="20"/>
        </w:rPr>
        <w:t xml:space="preserve">Finally, any Shares that are ultimately acquired by the Company’s Executive Directors on the exercise of these Awards (other than those sold in order to satisfy the resulting tax liabilities) will constitute “relevant shares” for the purposes of Cairn’s new post-employment shareholding requirement.  This requires the individuals to build up and maintain a </w:t>
      </w:r>
      <w:r w:rsidR="009E7B85">
        <w:rPr>
          <w:rFonts w:ascii="Arial" w:hAnsi="Arial" w:cs="Arial"/>
          <w:sz w:val="20"/>
        </w:rPr>
        <w:t>holding of Shares, worth 200% of salary, for the period of two years following cessation of employment.</w:t>
      </w:r>
    </w:p>
    <w:p w:rsidR="00CC2F3B" w:rsidRDefault="00CC2F3B" w:rsidP="00AF4611">
      <w:pPr>
        <w:rPr>
          <w:rFonts w:cs="Arial"/>
          <w:b/>
          <w:bCs/>
        </w:rPr>
      </w:pPr>
    </w:p>
    <w:p w:rsidR="00F6141E" w:rsidRDefault="004C30C7" w:rsidP="00AF4611">
      <w:pPr>
        <w:rPr>
          <w:rFonts w:cs="Arial"/>
          <w:b/>
          <w:bCs/>
        </w:rPr>
      </w:pPr>
      <w:r>
        <w:rPr>
          <w:rFonts w:cs="Arial"/>
          <w:b/>
          <w:bCs/>
        </w:rPr>
        <w:t>2</w:t>
      </w:r>
      <w:r w:rsidR="00F6141E">
        <w:rPr>
          <w:rFonts w:cs="Arial"/>
          <w:b/>
          <w:bCs/>
        </w:rPr>
        <w:t>.</w:t>
      </w:r>
      <w:r w:rsidR="00F6141E">
        <w:rPr>
          <w:rFonts w:cs="Arial"/>
          <w:b/>
          <w:bCs/>
        </w:rPr>
        <w:tab/>
        <w:t xml:space="preserve">Summary of current holdings of </w:t>
      </w:r>
      <w:r w:rsidR="00E16E51">
        <w:rPr>
          <w:rFonts w:cs="Arial"/>
          <w:b/>
          <w:bCs/>
        </w:rPr>
        <w:t xml:space="preserve">Executive </w:t>
      </w:r>
      <w:r w:rsidR="00F6141E">
        <w:rPr>
          <w:rFonts w:cs="Arial"/>
          <w:b/>
          <w:bCs/>
        </w:rPr>
        <w:t>Directors / PDMR</w:t>
      </w:r>
      <w:r w:rsidR="00E16E51">
        <w:rPr>
          <w:rFonts w:cs="Arial"/>
          <w:b/>
          <w:bCs/>
        </w:rPr>
        <w:t>s</w:t>
      </w:r>
    </w:p>
    <w:p w:rsidR="00F6141E" w:rsidRDefault="00F6141E">
      <w:pPr>
        <w:pStyle w:val="BodyText2"/>
        <w:rPr>
          <w:rFonts w:ascii="Arial" w:hAnsi="Arial" w:cs="Arial"/>
          <w:sz w:val="20"/>
        </w:rPr>
      </w:pPr>
    </w:p>
    <w:p w:rsidR="004C30C7" w:rsidRDefault="00F6141E" w:rsidP="00D65FA2">
      <w:pPr>
        <w:pStyle w:val="BodyText2"/>
        <w:rPr>
          <w:rFonts w:ascii="Arial" w:hAnsi="Arial" w:cs="Arial"/>
          <w:bCs/>
          <w:sz w:val="20"/>
        </w:rPr>
      </w:pPr>
      <w:r>
        <w:rPr>
          <w:rFonts w:ascii="Arial" w:hAnsi="Arial" w:cs="Arial"/>
          <w:bCs/>
          <w:sz w:val="20"/>
        </w:rPr>
        <w:t>Following</w:t>
      </w:r>
      <w:r w:rsidR="007E3B9F">
        <w:rPr>
          <w:rFonts w:ascii="Arial" w:hAnsi="Arial" w:cs="Arial"/>
          <w:bCs/>
          <w:sz w:val="20"/>
        </w:rPr>
        <w:t xml:space="preserve"> the </w:t>
      </w:r>
      <w:r w:rsidR="00784957">
        <w:rPr>
          <w:rFonts w:ascii="Arial" w:hAnsi="Arial" w:cs="Arial"/>
          <w:bCs/>
          <w:sz w:val="20"/>
        </w:rPr>
        <w:t xml:space="preserve">grant of the </w:t>
      </w:r>
      <w:r w:rsidR="007E3B9F">
        <w:rPr>
          <w:rFonts w:ascii="Arial" w:hAnsi="Arial" w:cs="Arial"/>
          <w:bCs/>
          <w:sz w:val="20"/>
        </w:rPr>
        <w:t>above</w:t>
      </w:r>
      <w:r w:rsidR="00784957">
        <w:rPr>
          <w:rFonts w:ascii="Arial" w:hAnsi="Arial" w:cs="Arial"/>
          <w:bCs/>
          <w:sz w:val="20"/>
        </w:rPr>
        <w:t xml:space="preserve"> A</w:t>
      </w:r>
      <w:r w:rsidR="004C30C7">
        <w:rPr>
          <w:rFonts w:ascii="Arial" w:hAnsi="Arial" w:cs="Arial"/>
          <w:bCs/>
          <w:sz w:val="20"/>
        </w:rPr>
        <w:t>wards</w:t>
      </w:r>
      <w:r>
        <w:rPr>
          <w:rFonts w:ascii="Arial" w:hAnsi="Arial" w:cs="Arial"/>
          <w:bCs/>
          <w:sz w:val="20"/>
        </w:rPr>
        <w:t xml:space="preserve">, the </w:t>
      </w:r>
      <w:r w:rsidR="00E16E51">
        <w:rPr>
          <w:rFonts w:ascii="Arial" w:hAnsi="Arial" w:cs="Arial"/>
          <w:bCs/>
          <w:sz w:val="20"/>
        </w:rPr>
        <w:t>Executive Directors</w:t>
      </w:r>
      <w:r w:rsidR="00224720">
        <w:rPr>
          <w:rFonts w:ascii="Arial" w:hAnsi="Arial" w:cs="Arial"/>
          <w:bCs/>
          <w:sz w:val="20"/>
        </w:rPr>
        <w:t>’</w:t>
      </w:r>
      <w:r w:rsidR="00E16E51">
        <w:rPr>
          <w:rFonts w:ascii="Arial" w:hAnsi="Arial" w:cs="Arial"/>
          <w:bCs/>
          <w:sz w:val="20"/>
        </w:rPr>
        <w:t xml:space="preserve"> and</w:t>
      </w:r>
      <w:r>
        <w:rPr>
          <w:rFonts w:ascii="Arial" w:hAnsi="Arial" w:cs="Arial"/>
          <w:bCs/>
          <w:sz w:val="20"/>
        </w:rPr>
        <w:t xml:space="preserve"> PDMRs</w:t>
      </w:r>
      <w:r w:rsidR="00224720">
        <w:rPr>
          <w:rFonts w:ascii="Arial" w:hAnsi="Arial" w:cs="Arial"/>
          <w:bCs/>
          <w:sz w:val="20"/>
        </w:rPr>
        <w:t>’</w:t>
      </w:r>
      <w:r>
        <w:rPr>
          <w:rFonts w:ascii="Arial" w:hAnsi="Arial" w:cs="Arial"/>
          <w:bCs/>
          <w:sz w:val="20"/>
        </w:rPr>
        <w:t xml:space="preserve"> beneficial interests in the Shares</w:t>
      </w:r>
      <w:r w:rsidR="009F266D">
        <w:rPr>
          <w:rFonts w:ascii="Arial" w:hAnsi="Arial" w:cs="Arial"/>
          <w:bCs/>
          <w:sz w:val="20"/>
        </w:rPr>
        <w:t xml:space="preserve"> of the Company are as follows:</w:t>
      </w:r>
    </w:p>
    <w:p w:rsidR="00B97BAD" w:rsidRDefault="00B97BAD" w:rsidP="00D65FA2">
      <w:pPr>
        <w:pStyle w:val="BodyText2"/>
        <w:rPr>
          <w:rFonts w:ascii="Arial" w:hAnsi="Arial" w:cs="Arial"/>
          <w:bCs/>
          <w:sz w:val="20"/>
        </w:rPr>
      </w:pPr>
    </w:p>
    <w:tbl>
      <w:tblPr>
        <w:tblW w:w="45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1523"/>
        <w:gridCol w:w="1320"/>
        <w:gridCol w:w="1724"/>
        <w:gridCol w:w="1722"/>
      </w:tblGrid>
      <w:tr w:rsidR="00B97BAD" w:rsidRPr="006D2E6F" w:rsidTr="00E03362">
        <w:trPr>
          <w:trHeight w:val="254"/>
        </w:trPr>
        <w:tc>
          <w:tcPr>
            <w:tcW w:w="1345" w:type="pct"/>
            <w:vMerge w:val="restart"/>
            <w:vAlign w:val="center"/>
          </w:tcPr>
          <w:p w:rsidR="00B97BAD" w:rsidRPr="006D2E6F" w:rsidRDefault="00B97BAD" w:rsidP="00E03362">
            <w:pPr>
              <w:jc w:val="center"/>
              <w:rPr>
                <w:rFonts w:cs="Arial"/>
                <w:lang w:val="en-US"/>
              </w:rPr>
            </w:pPr>
            <w:r w:rsidRPr="006D2E6F">
              <w:rPr>
                <w:rFonts w:cs="Arial"/>
                <w:b/>
                <w:lang w:val="en-US"/>
              </w:rPr>
              <w:t>Executive Director / PDMR</w:t>
            </w:r>
          </w:p>
        </w:tc>
        <w:tc>
          <w:tcPr>
            <w:tcW w:w="885" w:type="pct"/>
            <w:vMerge w:val="restart"/>
            <w:vAlign w:val="center"/>
          </w:tcPr>
          <w:p w:rsidR="00B97BAD" w:rsidRPr="006D2E6F" w:rsidRDefault="00B97BAD" w:rsidP="00E03362">
            <w:pPr>
              <w:jc w:val="center"/>
              <w:rPr>
                <w:rFonts w:cs="Arial"/>
                <w:b/>
                <w:lang w:val="en-US"/>
              </w:rPr>
            </w:pPr>
            <w:r w:rsidRPr="006D2E6F">
              <w:rPr>
                <w:rFonts w:cs="Arial"/>
                <w:b/>
                <w:lang w:val="en-US"/>
              </w:rPr>
              <w:t>Current Shares</w:t>
            </w:r>
          </w:p>
        </w:tc>
        <w:tc>
          <w:tcPr>
            <w:tcW w:w="767" w:type="pct"/>
            <w:vMerge w:val="restart"/>
            <w:vAlign w:val="center"/>
          </w:tcPr>
          <w:p w:rsidR="00B97BAD" w:rsidRPr="006D2E6F" w:rsidRDefault="00B97BAD" w:rsidP="00E03362">
            <w:pPr>
              <w:jc w:val="center"/>
              <w:rPr>
                <w:rFonts w:cs="Arial"/>
                <w:lang w:val="en-US"/>
              </w:rPr>
            </w:pPr>
            <w:r w:rsidRPr="006D2E6F">
              <w:rPr>
                <w:rFonts w:cs="Arial"/>
                <w:b/>
                <w:lang w:val="en-US"/>
              </w:rPr>
              <w:t>% Issued Share Capital</w:t>
            </w:r>
          </w:p>
        </w:tc>
        <w:tc>
          <w:tcPr>
            <w:tcW w:w="2004" w:type="pct"/>
            <w:gridSpan w:val="2"/>
            <w:vAlign w:val="center"/>
          </w:tcPr>
          <w:p w:rsidR="00B97BAD" w:rsidRDefault="00B97BAD" w:rsidP="00E03362">
            <w:pPr>
              <w:jc w:val="center"/>
              <w:rPr>
                <w:rFonts w:cs="Arial"/>
                <w:b/>
                <w:lang w:val="en-US"/>
              </w:rPr>
            </w:pPr>
            <w:r w:rsidRPr="006D2E6F">
              <w:rPr>
                <w:rFonts w:cs="Arial"/>
                <w:b/>
                <w:lang w:val="en-US"/>
              </w:rPr>
              <w:t>Outs</w:t>
            </w:r>
            <w:r>
              <w:rPr>
                <w:rFonts w:cs="Arial"/>
                <w:b/>
                <w:lang w:val="en-US"/>
              </w:rPr>
              <w:t xml:space="preserve">tanding entitlements under 2017 </w:t>
            </w:r>
            <w:r w:rsidRPr="006D2E6F">
              <w:rPr>
                <w:rFonts w:cs="Arial"/>
                <w:b/>
                <w:lang w:val="en-US"/>
              </w:rPr>
              <w:t>LTIP</w:t>
            </w:r>
          </w:p>
          <w:p w:rsidR="00B97BAD" w:rsidRPr="006D2E6F" w:rsidRDefault="00B97BAD" w:rsidP="00E03362">
            <w:pPr>
              <w:jc w:val="center"/>
              <w:rPr>
                <w:rFonts w:cs="Arial"/>
                <w:b/>
                <w:lang w:val="en-US"/>
              </w:rPr>
            </w:pPr>
          </w:p>
        </w:tc>
      </w:tr>
      <w:tr w:rsidR="00B97BAD" w:rsidRPr="006D2E6F" w:rsidTr="00E03362">
        <w:trPr>
          <w:trHeight w:val="254"/>
        </w:trPr>
        <w:tc>
          <w:tcPr>
            <w:tcW w:w="1345" w:type="pct"/>
            <w:vMerge/>
            <w:vAlign w:val="center"/>
          </w:tcPr>
          <w:p w:rsidR="00B97BAD" w:rsidRPr="006D2E6F" w:rsidRDefault="00B97BAD" w:rsidP="00E03362">
            <w:pPr>
              <w:rPr>
                <w:rFonts w:cs="Arial"/>
                <w:lang w:val="en-US"/>
              </w:rPr>
            </w:pPr>
          </w:p>
        </w:tc>
        <w:tc>
          <w:tcPr>
            <w:tcW w:w="885" w:type="pct"/>
            <w:vMerge/>
          </w:tcPr>
          <w:p w:rsidR="00B97BAD" w:rsidRPr="006D2E6F" w:rsidRDefault="00B97BAD" w:rsidP="00E03362">
            <w:pPr>
              <w:jc w:val="center"/>
              <w:rPr>
                <w:rFonts w:cs="Arial"/>
                <w:lang w:val="en-US"/>
              </w:rPr>
            </w:pPr>
          </w:p>
        </w:tc>
        <w:tc>
          <w:tcPr>
            <w:tcW w:w="767" w:type="pct"/>
            <w:vMerge/>
            <w:vAlign w:val="bottom"/>
          </w:tcPr>
          <w:p w:rsidR="00B97BAD" w:rsidRPr="006D2E6F" w:rsidRDefault="00B97BAD" w:rsidP="00E03362">
            <w:pPr>
              <w:jc w:val="center"/>
              <w:rPr>
                <w:rFonts w:cs="Arial"/>
                <w:lang w:val="en-US"/>
              </w:rPr>
            </w:pPr>
          </w:p>
        </w:tc>
        <w:tc>
          <w:tcPr>
            <w:tcW w:w="1002" w:type="pct"/>
            <w:vAlign w:val="bottom"/>
          </w:tcPr>
          <w:p w:rsidR="00B97BAD" w:rsidRPr="006D2E6F" w:rsidRDefault="00B97BAD" w:rsidP="00E03362">
            <w:pPr>
              <w:jc w:val="center"/>
              <w:rPr>
                <w:rFonts w:cs="Arial"/>
                <w:i/>
              </w:rPr>
            </w:pPr>
            <w:r w:rsidRPr="006D2E6F">
              <w:rPr>
                <w:rFonts w:cs="Arial"/>
                <w:i/>
              </w:rPr>
              <w:t>Unvested Awards still subject to performance conditions</w:t>
            </w:r>
          </w:p>
        </w:tc>
        <w:tc>
          <w:tcPr>
            <w:tcW w:w="1002" w:type="pct"/>
            <w:vAlign w:val="center"/>
          </w:tcPr>
          <w:p w:rsidR="00B97BAD" w:rsidRPr="006D2E6F" w:rsidRDefault="00B97BAD" w:rsidP="00E03362">
            <w:pPr>
              <w:jc w:val="center"/>
              <w:rPr>
                <w:rFonts w:cs="Arial"/>
                <w:i/>
              </w:rPr>
            </w:pPr>
            <w:r w:rsidRPr="006D2E6F">
              <w:rPr>
                <w:rFonts w:cs="Arial"/>
                <w:i/>
              </w:rPr>
              <w:t>Vested but unexercised Awards</w:t>
            </w:r>
            <w:r w:rsidRPr="006D2E6F">
              <w:rPr>
                <w:rFonts w:cs="Arial"/>
              </w:rPr>
              <w:t>*</w:t>
            </w:r>
          </w:p>
        </w:tc>
      </w:tr>
      <w:tr w:rsidR="00B97BAD" w:rsidRPr="006D2E6F" w:rsidTr="00E03362">
        <w:trPr>
          <w:trHeight w:val="479"/>
        </w:trPr>
        <w:tc>
          <w:tcPr>
            <w:tcW w:w="1345" w:type="pct"/>
            <w:vAlign w:val="center"/>
          </w:tcPr>
          <w:p w:rsidR="00B97BAD" w:rsidRPr="006D2E6F" w:rsidRDefault="00B97BAD" w:rsidP="00E03362">
            <w:pPr>
              <w:rPr>
                <w:rFonts w:cs="Arial"/>
                <w:lang w:val="en-US"/>
              </w:rPr>
            </w:pPr>
            <w:r w:rsidRPr="006D2E6F">
              <w:rPr>
                <w:rFonts w:cs="Arial"/>
                <w:lang w:val="en-US"/>
              </w:rPr>
              <w:t>Simon Thomson</w:t>
            </w:r>
          </w:p>
        </w:tc>
        <w:tc>
          <w:tcPr>
            <w:tcW w:w="885" w:type="pct"/>
            <w:vAlign w:val="center"/>
          </w:tcPr>
          <w:p w:rsidR="00B97BAD" w:rsidRPr="00B97132" w:rsidRDefault="00B97BAD" w:rsidP="00E03362">
            <w:pPr>
              <w:jc w:val="center"/>
              <w:rPr>
                <w:rFonts w:cs="Arial"/>
                <w:lang w:val="en-US"/>
              </w:rPr>
            </w:pPr>
            <w:r w:rsidRPr="00B97132">
              <w:rPr>
                <w:rFonts w:cs="Arial"/>
                <w:lang w:val="en-US"/>
              </w:rPr>
              <w:t>1,345,922</w:t>
            </w:r>
          </w:p>
        </w:tc>
        <w:tc>
          <w:tcPr>
            <w:tcW w:w="767" w:type="pct"/>
            <w:vAlign w:val="center"/>
          </w:tcPr>
          <w:p w:rsidR="00B97BAD" w:rsidRPr="00B97132" w:rsidRDefault="00B97BAD" w:rsidP="00E03362">
            <w:pPr>
              <w:jc w:val="center"/>
              <w:rPr>
                <w:rFonts w:cs="Arial"/>
                <w:lang w:val="en-US"/>
              </w:rPr>
            </w:pPr>
            <w:r w:rsidRPr="00B97132">
              <w:rPr>
                <w:rFonts w:cs="Arial"/>
                <w:lang w:val="en-US"/>
              </w:rPr>
              <w:t>0.228%</w:t>
            </w:r>
          </w:p>
        </w:tc>
        <w:tc>
          <w:tcPr>
            <w:tcW w:w="1002" w:type="pct"/>
            <w:vAlign w:val="center"/>
          </w:tcPr>
          <w:p w:rsidR="00B97BAD" w:rsidRPr="00B97132" w:rsidRDefault="003742C7" w:rsidP="003742C7">
            <w:pPr>
              <w:jc w:val="center"/>
              <w:rPr>
                <w:rFonts w:cs="Arial"/>
              </w:rPr>
            </w:pPr>
            <w:r w:rsidRPr="00B97132">
              <w:rPr>
                <w:rFonts w:cs="Arial"/>
              </w:rPr>
              <w:t>2,416,842</w:t>
            </w:r>
          </w:p>
        </w:tc>
        <w:tc>
          <w:tcPr>
            <w:tcW w:w="1002" w:type="pct"/>
            <w:vAlign w:val="center"/>
          </w:tcPr>
          <w:p w:rsidR="00B97BAD" w:rsidRPr="00B97132" w:rsidRDefault="00B97BAD" w:rsidP="00E03362">
            <w:pPr>
              <w:jc w:val="center"/>
              <w:rPr>
                <w:rFonts w:cs="Arial"/>
              </w:rPr>
            </w:pPr>
            <w:r w:rsidRPr="00B97132">
              <w:rPr>
                <w:rFonts w:cs="Arial"/>
              </w:rPr>
              <w:t>176,128</w:t>
            </w:r>
          </w:p>
        </w:tc>
      </w:tr>
      <w:tr w:rsidR="00B97BAD" w:rsidRPr="006D2E6F" w:rsidTr="00E03362">
        <w:trPr>
          <w:trHeight w:val="400"/>
        </w:trPr>
        <w:tc>
          <w:tcPr>
            <w:tcW w:w="1345" w:type="pct"/>
            <w:vAlign w:val="center"/>
          </w:tcPr>
          <w:p w:rsidR="00B97BAD" w:rsidRPr="006D2E6F" w:rsidRDefault="00B97BAD" w:rsidP="00E03362">
            <w:pPr>
              <w:rPr>
                <w:rFonts w:cs="Arial"/>
                <w:lang w:val="en-US"/>
              </w:rPr>
            </w:pPr>
            <w:r w:rsidRPr="006D2E6F">
              <w:rPr>
                <w:rFonts w:cs="Arial"/>
                <w:lang w:val="en-US"/>
              </w:rPr>
              <w:t>James Smith</w:t>
            </w:r>
          </w:p>
        </w:tc>
        <w:tc>
          <w:tcPr>
            <w:tcW w:w="885" w:type="pct"/>
            <w:vAlign w:val="center"/>
          </w:tcPr>
          <w:p w:rsidR="00B97BAD" w:rsidRPr="00B97132" w:rsidRDefault="00B97BAD" w:rsidP="00E03362">
            <w:pPr>
              <w:jc w:val="center"/>
              <w:rPr>
                <w:rFonts w:cs="Arial"/>
                <w:lang w:val="en-US"/>
              </w:rPr>
            </w:pPr>
            <w:r w:rsidRPr="00B97132">
              <w:rPr>
                <w:rFonts w:cs="Arial"/>
                <w:lang w:val="en-US"/>
              </w:rPr>
              <w:t>550,644</w:t>
            </w:r>
          </w:p>
        </w:tc>
        <w:tc>
          <w:tcPr>
            <w:tcW w:w="767" w:type="pct"/>
            <w:vAlign w:val="center"/>
          </w:tcPr>
          <w:p w:rsidR="00B97BAD" w:rsidRPr="00B97132" w:rsidRDefault="00B97BAD" w:rsidP="00E03362">
            <w:pPr>
              <w:jc w:val="center"/>
              <w:rPr>
                <w:rFonts w:cs="Arial"/>
                <w:lang w:val="en-US"/>
              </w:rPr>
            </w:pPr>
            <w:r w:rsidRPr="00B97132">
              <w:rPr>
                <w:rFonts w:cs="Arial"/>
                <w:lang w:val="en-US"/>
              </w:rPr>
              <w:t>0.093%</w:t>
            </w:r>
          </w:p>
        </w:tc>
        <w:tc>
          <w:tcPr>
            <w:tcW w:w="1002" w:type="pct"/>
            <w:vAlign w:val="center"/>
          </w:tcPr>
          <w:p w:rsidR="00B97BAD" w:rsidRPr="00B97132" w:rsidRDefault="003742C7" w:rsidP="003742C7">
            <w:pPr>
              <w:jc w:val="center"/>
              <w:rPr>
                <w:rFonts w:cs="Arial"/>
              </w:rPr>
            </w:pPr>
            <w:r w:rsidRPr="00B97132">
              <w:rPr>
                <w:rFonts w:cs="Arial"/>
              </w:rPr>
              <w:t>1,571,928</w:t>
            </w:r>
          </w:p>
        </w:tc>
        <w:tc>
          <w:tcPr>
            <w:tcW w:w="1002" w:type="pct"/>
            <w:vAlign w:val="center"/>
          </w:tcPr>
          <w:p w:rsidR="00B97BAD" w:rsidRPr="00B97132" w:rsidRDefault="00B97BAD" w:rsidP="00E03362">
            <w:pPr>
              <w:jc w:val="center"/>
              <w:rPr>
                <w:rFonts w:cs="Arial"/>
              </w:rPr>
            </w:pPr>
            <w:r w:rsidRPr="00B97132">
              <w:rPr>
                <w:rFonts w:cs="Arial"/>
                <w:lang w:val="en-US"/>
              </w:rPr>
              <w:t>114,555</w:t>
            </w:r>
          </w:p>
        </w:tc>
      </w:tr>
      <w:tr w:rsidR="00B97BAD" w:rsidRPr="006D2E6F" w:rsidTr="00E03362">
        <w:trPr>
          <w:trHeight w:val="400"/>
        </w:trPr>
        <w:tc>
          <w:tcPr>
            <w:tcW w:w="1345" w:type="pct"/>
            <w:vAlign w:val="center"/>
          </w:tcPr>
          <w:p w:rsidR="00B97BAD" w:rsidRPr="006D2E6F" w:rsidRDefault="00B97BAD" w:rsidP="00E03362">
            <w:pPr>
              <w:rPr>
                <w:rFonts w:cs="Arial"/>
                <w:lang w:val="en-US"/>
              </w:rPr>
            </w:pPr>
            <w:r>
              <w:rPr>
                <w:rFonts w:cs="Arial"/>
                <w:lang w:val="en-US"/>
              </w:rPr>
              <w:t>Eric Hathon</w:t>
            </w:r>
          </w:p>
        </w:tc>
        <w:tc>
          <w:tcPr>
            <w:tcW w:w="885" w:type="pct"/>
            <w:vAlign w:val="center"/>
          </w:tcPr>
          <w:p w:rsidR="00B97BAD" w:rsidRPr="00B97132" w:rsidRDefault="00B97BAD" w:rsidP="00E03362">
            <w:pPr>
              <w:jc w:val="center"/>
              <w:rPr>
                <w:rFonts w:cs="Arial"/>
                <w:lang w:val="en-US"/>
              </w:rPr>
            </w:pPr>
            <w:r w:rsidRPr="00B97132">
              <w:rPr>
                <w:rFonts w:cs="Arial"/>
                <w:lang w:val="en-US"/>
              </w:rPr>
              <w:t>47,323</w:t>
            </w:r>
          </w:p>
        </w:tc>
        <w:tc>
          <w:tcPr>
            <w:tcW w:w="767" w:type="pct"/>
            <w:vAlign w:val="center"/>
          </w:tcPr>
          <w:p w:rsidR="00B97BAD" w:rsidRPr="00B97132" w:rsidRDefault="00B97BAD" w:rsidP="00E03362">
            <w:pPr>
              <w:jc w:val="center"/>
              <w:rPr>
                <w:rFonts w:cs="Arial"/>
                <w:lang w:val="en-US"/>
              </w:rPr>
            </w:pPr>
            <w:r w:rsidRPr="00B97132">
              <w:rPr>
                <w:rFonts w:cs="Arial"/>
                <w:lang w:val="en-US"/>
              </w:rPr>
              <w:t>0.008%</w:t>
            </w:r>
          </w:p>
        </w:tc>
        <w:tc>
          <w:tcPr>
            <w:tcW w:w="1002" w:type="pct"/>
            <w:vAlign w:val="center"/>
          </w:tcPr>
          <w:p w:rsidR="00B97BAD" w:rsidRPr="00B97132" w:rsidRDefault="003742C7" w:rsidP="003742C7">
            <w:pPr>
              <w:jc w:val="center"/>
              <w:rPr>
                <w:rFonts w:cs="Arial"/>
              </w:rPr>
            </w:pPr>
            <w:r w:rsidRPr="00B97132">
              <w:rPr>
                <w:rFonts w:cs="Arial"/>
              </w:rPr>
              <w:t>1,294,887</w:t>
            </w:r>
          </w:p>
        </w:tc>
        <w:tc>
          <w:tcPr>
            <w:tcW w:w="1002" w:type="pct"/>
            <w:vAlign w:val="center"/>
          </w:tcPr>
          <w:p w:rsidR="00B97BAD" w:rsidRPr="00B97132" w:rsidRDefault="00B97BAD" w:rsidP="00E03362">
            <w:pPr>
              <w:jc w:val="center"/>
              <w:rPr>
                <w:rFonts w:cs="Arial"/>
              </w:rPr>
            </w:pPr>
            <w:r w:rsidRPr="00B97132">
              <w:rPr>
                <w:rFonts w:cs="Arial"/>
                <w:lang w:val="en-US"/>
              </w:rPr>
              <w:t>94,365</w:t>
            </w:r>
          </w:p>
        </w:tc>
      </w:tr>
      <w:tr w:rsidR="00B97BAD" w:rsidRPr="006D2E6F" w:rsidTr="00E03362">
        <w:trPr>
          <w:trHeight w:val="400"/>
        </w:trPr>
        <w:tc>
          <w:tcPr>
            <w:tcW w:w="1345" w:type="pct"/>
            <w:vAlign w:val="center"/>
          </w:tcPr>
          <w:p w:rsidR="00B97BAD" w:rsidRPr="006D2E6F" w:rsidRDefault="00B97BAD" w:rsidP="00E03362">
            <w:pPr>
              <w:rPr>
                <w:rFonts w:cs="Arial"/>
                <w:lang w:val="en-US"/>
              </w:rPr>
            </w:pPr>
            <w:r w:rsidRPr="006D2E6F">
              <w:rPr>
                <w:rFonts w:cs="Arial"/>
                <w:lang w:val="en-US"/>
              </w:rPr>
              <w:t>Paul Mayland</w:t>
            </w:r>
          </w:p>
        </w:tc>
        <w:tc>
          <w:tcPr>
            <w:tcW w:w="885" w:type="pct"/>
            <w:vAlign w:val="center"/>
          </w:tcPr>
          <w:p w:rsidR="00B97BAD" w:rsidRPr="00B97132" w:rsidRDefault="00B97BAD" w:rsidP="00E03362">
            <w:pPr>
              <w:jc w:val="center"/>
              <w:rPr>
                <w:rFonts w:cs="Arial"/>
                <w:lang w:val="en-US"/>
              </w:rPr>
            </w:pPr>
            <w:r w:rsidRPr="00B97132">
              <w:rPr>
                <w:rFonts w:cs="Arial"/>
                <w:lang w:val="en-US"/>
              </w:rPr>
              <w:t>638,253</w:t>
            </w:r>
          </w:p>
        </w:tc>
        <w:tc>
          <w:tcPr>
            <w:tcW w:w="767" w:type="pct"/>
            <w:vAlign w:val="center"/>
          </w:tcPr>
          <w:p w:rsidR="00B97BAD" w:rsidRPr="00B97132" w:rsidRDefault="00B97BAD" w:rsidP="00E03362">
            <w:pPr>
              <w:jc w:val="center"/>
              <w:rPr>
                <w:rFonts w:cs="Arial"/>
              </w:rPr>
            </w:pPr>
            <w:r w:rsidRPr="00B97132">
              <w:rPr>
                <w:rFonts w:cs="Arial"/>
              </w:rPr>
              <w:t>0.108%</w:t>
            </w:r>
          </w:p>
        </w:tc>
        <w:tc>
          <w:tcPr>
            <w:tcW w:w="1002" w:type="pct"/>
            <w:vAlign w:val="center"/>
          </w:tcPr>
          <w:p w:rsidR="00B97BAD" w:rsidRPr="00B97132" w:rsidRDefault="003742C7" w:rsidP="003742C7">
            <w:pPr>
              <w:jc w:val="center"/>
              <w:rPr>
                <w:rFonts w:cs="Arial"/>
              </w:rPr>
            </w:pPr>
            <w:r w:rsidRPr="00B97132">
              <w:rPr>
                <w:rFonts w:cs="Arial"/>
              </w:rPr>
              <w:t>1,351,433</w:t>
            </w:r>
          </w:p>
        </w:tc>
        <w:tc>
          <w:tcPr>
            <w:tcW w:w="1002" w:type="pct"/>
            <w:vAlign w:val="center"/>
          </w:tcPr>
          <w:p w:rsidR="00B97BAD" w:rsidRPr="00B97132" w:rsidRDefault="00B97BAD" w:rsidP="00E03362">
            <w:pPr>
              <w:jc w:val="center"/>
              <w:rPr>
                <w:rFonts w:cs="Arial"/>
              </w:rPr>
            </w:pPr>
            <w:r w:rsidRPr="00B97132">
              <w:rPr>
                <w:rFonts w:cs="Arial"/>
                <w:lang w:val="en-US"/>
              </w:rPr>
              <w:t>98,486</w:t>
            </w:r>
          </w:p>
        </w:tc>
      </w:tr>
      <w:tr w:rsidR="00B97BAD" w:rsidRPr="006D2E6F" w:rsidTr="00E03362">
        <w:trPr>
          <w:trHeight w:val="418"/>
        </w:trPr>
        <w:tc>
          <w:tcPr>
            <w:tcW w:w="1345" w:type="pct"/>
            <w:vAlign w:val="center"/>
          </w:tcPr>
          <w:p w:rsidR="00B97BAD" w:rsidRPr="006D2E6F" w:rsidRDefault="00B97BAD" w:rsidP="00E03362">
            <w:pPr>
              <w:rPr>
                <w:rFonts w:cs="Arial"/>
                <w:lang w:val="en-US"/>
              </w:rPr>
            </w:pPr>
            <w:r w:rsidRPr="006D2E6F">
              <w:rPr>
                <w:rFonts w:cs="Arial"/>
                <w:lang w:val="en-US"/>
              </w:rPr>
              <w:t>Richard Ember</w:t>
            </w:r>
          </w:p>
        </w:tc>
        <w:tc>
          <w:tcPr>
            <w:tcW w:w="885" w:type="pct"/>
            <w:vAlign w:val="center"/>
          </w:tcPr>
          <w:p w:rsidR="00B97BAD" w:rsidRPr="00B97132" w:rsidRDefault="00B97BAD" w:rsidP="00E03362">
            <w:pPr>
              <w:jc w:val="center"/>
              <w:rPr>
                <w:rFonts w:cs="Arial"/>
                <w:lang w:val="en-US"/>
              </w:rPr>
            </w:pPr>
            <w:r w:rsidRPr="00B97132">
              <w:rPr>
                <w:rFonts w:cs="Arial"/>
                <w:lang w:val="en-US"/>
              </w:rPr>
              <w:t>91,262</w:t>
            </w:r>
          </w:p>
        </w:tc>
        <w:tc>
          <w:tcPr>
            <w:tcW w:w="767" w:type="pct"/>
            <w:vAlign w:val="center"/>
          </w:tcPr>
          <w:p w:rsidR="00B97BAD" w:rsidRPr="00B97132" w:rsidRDefault="00B97BAD" w:rsidP="00E03362">
            <w:pPr>
              <w:jc w:val="center"/>
              <w:rPr>
                <w:rFonts w:cs="Arial"/>
              </w:rPr>
            </w:pPr>
            <w:r w:rsidRPr="00B97132">
              <w:rPr>
                <w:rFonts w:cs="Arial"/>
              </w:rPr>
              <w:t>0.015%</w:t>
            </w:r>
          </w:p>
        </w:tc>
        <w:tc>
          <w:tcPr>
            <w:tcW w:w="1002" w:type="pct"/>
            <w:vAlign w:val="center"/>
          </w:tcPr>
          <w:p w:rsidR="00B97BAD" w:rsidRPr="00B97132" w:rsidRDefault="008055AB" w:rsidP="003742C7">
            <w:pPr>
              <w:jc w:val="center"/>
              <w:rPr>
                <w:rFonts w:cs="Arial"/>
              </w:rPr>
            </w:pPr>
            <w:r w:rsidRPr="00B97132">
              <w:rPr>
                <w:rFonts w:cs="Arial"/>
              </w:rPr>
              <w:t>556,644</w:t>
            </w:r>
          </w:p>
        </w:tc>
        <w:tc>
          <w:tcPr>
            <w:tcW w:w="1002" w:type="pct"/>
            <w:vAlign w:val="center"/>
          </w:tcPr>
          <w:p w:rsidR="00B97BAD" w:rsidRPr="00B97132" w:rsidRDefault="00B97BAD" w:rsidP="00E03362">
            <w:pPr>
              <w:jc w:val="center"/>
              <w:rPr>
                <w:rFonts w:cs="Arial"/>
              </w:rPr>
            </w:pPr>
            <w:r w:rsidRPr="00B97132">
              <w:rPr>
                <w:rFonts w:cs="Arial"/>
                <w:lang w:val="en-US"/>
              </w:rPr>
              <w:t>40,267</w:t>
            </w:r>
          </w:p>
        </w:tc>
      </w:tr>
      <w:tr w:rsidR="00B97BAD" w:rsidRPr="006D2E6F" w:rsidTr="00E03362">
        <w:trPr>
          <w:trHeight w:val="418"/>
        </w:trPr>
        <w:tc>
          <w:tcPr>
            <w:tcW w:w="1345" w:type="pct"/>
            <w:vAlign w:val="center"/>
          </w:tcPr>
          <w:p w:rsidR="00B97BAD" w:rsidRPr="006D2E6F" w:rsidRDefault="00B97BAD" w:rsidP="00E03362">
            <w:pPr>
              <w:rPr>
                <w:rFonts w:cs="Arial"/>
                <w:lang w:val="en-US"/>
              </w:rPr>
            </w:pPr>
            <w:r w:rsidRPr="006D2E6F">
              <w:rPr>
                <w:rFonts w:cs="Arial"/>
                <w:lang w:val="en-US"/>
              </w:rPr>
              <w:t>Miles Warner</w:t>
            </w:r>
          </w:p>
        </w:tc>
        <w:tc>
          <w:tcPr>
            <w:tcW w:w="885" w:type="pct"/>
            <w:vAlign w:val="center"/>
          </w:tcPr>
          <w:p w:rsidR="00B97BAD" w:rsidRPr="00B97132" w:rsidRDefault="00B97BAD" w:rsidP="00E03362">
            <w:pPr>
              <w:jc w:val="center"/>
              <w:rPr>
                <w:rFonts w:cs="Arial"/>
                <w:lang w:val="en-US"/>
              </w:rPr>
            </w:pPr>
            <w:r w:rsidRPr="00B97132">
              <w:rPr>
                <w:rFonts w:cs="Arial"/>
                <w:lang w:val="en-US"/>
              </w:rPr>
              <w:t>15,000</w:t>
            </w:r>
          </w:p>
        </w:tc>
        <w:tc>
          <w:tcPr>
            <w:tcW w:w="767" w:type="pct"/>
            <w:vAlign w:val="center"/>
          </w:tcPr>
          <w:p w:rsidR="00B97BAD" w:rsidRPr="00B97132" w:rsidRDefault="00B97BAD" w:rsidP="00E03362">
            <w:pPr>
              <w:jc w:val="center"/>
              <w:rPr>
                <w:rFonts w:cs="Arial"/>
              </w:rPr>
            </w:pPr>
            <w:r w:rsidRPr="00B97132">
              <w:rPr>
                <w:rFonts w:cs="Arial"/>
              </w:rPr>
              <w:t>0.003%</w:t>
            </w:r>
          </w:p>
        </w:tc>
        <w:tc>
          <w:tcPr>
            <w:tcW w:w="1002" w:type="pct"/>
            <w:vAlign w:val="center"/>
          </w:tcPr>
          <w:p w:rsidR="00B97BAD" w:rsidRPr="00B97132" w:rsidRDefault="003742C7" w:rsidP="003742C7">
            <w:pPr>
              <w:jc w:val="center"/>
              <w:rPr>
                <w:rFonts w:cs="Arial"/>
              </w:rPr>
            </w:pPr>
            <w:r w:rsidRPr="00B97132">
              <w:rPr>
                <w:rFonts w:cs="Arial"/>
              </w:rPr>
              <w:t>588,749</w:t>
            </w:r>
          </w:p>
        </w:tc>
        <w:tc>
          <w:tcPr>
            <w:tcW w:w="1002" w:type="pct"/>
            <w:vAlign w:val="center"/>
          </w:tcPr>
          <w:p w:rsidR="00B97BAD" w:rsidRPr="00B97132" w:rsidRDefault="00B97BAD" w:rsidP="00E03362">
            <w:pPr>
              <w:jc w:val="center"/>
              <w:rPr>
                <w:rFonts w:cs="Arial"/>
              </w:rPr>
            </w:pPr>
            <w:r w:rsidRPr="00B97132">
              <w:rPr>
                <w:rFonts w:cs="Arial"/>
                <w:lang w:val="en-US"/>
              </w:rPr>
              <w:t>42,889</w:t>
            </w:r>
          </w:p>
        </w:tc>
      </w:tr>
      <w:tr w:rsidR="00B97BAD" w:rsidRPr="006D2E6F" w:rsidTr="00E03362">
        <w:trPr>
          <w:trHeight w:val="418"/>
        </w:trPr>
        <w:tc>
          <w:tcPr>
            <w:tcW w:w="1345" w:type="pct"/>
            <w:vAlign w:val="center"/>
          </w:tcPr>
          <w:p w:rsidR="00B97BAD" w:rsidRPr="006D2E6F" w:rsidRDefault="00B97BAD" w:rsidP="00E03362">
            <w:pPr>
              <w:rPr>
                <w:rFonts w:cs="Arial"/>
                <w:lang w:val="en-US"/>
              </w:rPr>
            </w:pPr>
            <w:r>
              <w:rPr>
                <w:rFonts w:cs="Arial"/>
                <w:lang w:val="en-US"/>
              </w:rPr>
              <w:t>Douglas Taylor</w:t>
            </w:r>
          </w:p>
        </w:tc>
        <w:tc>
          <w:tcPr>
            <w:tcW w:w="885" w:type="pct"/>
            <w:vAlign w:val="center"/>
          </w:tcPr>
          <w:p w:rsidR="00B97BAD" w:rsidRPr="00B97132" w:rsidRDefault="00B97BAD" w:rsidP="00E03362">
            <w:pPr>
              <w:jc w:val="center"/>
              <w:rPr>
                <w:rFonts w:cs="Arial"/>
                <w:lang w:val="en-US"/>
              </w:rPr>
            </w:pPr>
            <w:r w:rsidRPr="00B97132">
              <w:rPr>
                <w:rFonts w:cs="Arial"/>
                <w:lang w:val="en-US"/>
              </w:rPr>
              <w:t>240,784</w:t>
            </w:r>
          </w:p>
        </w:tc>
        <w:tc>
          <w:tcPr>
            <w:tcW w:w="767" w:type="pct"/>
            <w:vAlign w:val="center"/>
          </w:tcPr>
          <w:p w:rsidR="00B97BAD" w:rsidRPr="00B97132" w:rsidRDefault="00B97BAD" w:rsidP="00E03362">
            <w:pPr>
              <w:jc w:val="center"/>
              <w:rPr>
                <w:rFonts w:cs="Arial"/>
              </w:rPr>
            </w:pPr>
            <w:r w:rsidRPr="00B97132">
              <w:rPr>
                <w:rFonts w:cs="Arial"/>
              </w:rPr>
              <w:t>0.041%</w:t>
            </w:r>
          </w:p>
        </w:tc>
        <w:tc>
          <w:tcPr>
            <w:tcW w:w="1002" w:type="pct"/>
            <w:vAlign w:val="center"/>
          </w:tcPr>
          <w:p w:rsidR="00B97BAD" w:rsidRPr="00B97132" w:rsidRDefault="003742C7" w:rsidP="003742C7">
            <w:pPr>
              <w:jc w:val="center"/>
              <w:rPr>
                <w:rFonts w:cs="Arial"/>
              </w:rPr>
            </w:pPr>
            <w:r w:rsidRPr="00B97132">
              <w:rPr>
                <w:rFonts w:cs="Arial"/>
              </w:rPr>
              <w:t>508,067</w:t>
            </w:r>
          </w:p>
        </w:tc>
        <w:tc>
          <w:tcPr>
            <w:tcW w:w="1002" w:type="pct"/>
            <w:vAlign w:val="center"/>
          </w:tcPr>
          <w:p w:rsidR="00B97BAD" w:rsidRPr="00B97132" w:rsidRDefault="00B97BAD" w:rsidP="00E03362">
            <w:pPr>
              <w:jc w:val="center"/>
              <w:rPr>
                <w:rFonts w:cs="Arial"/>
              </w:rPr>
            </w:pPr>
            <w:r w:rsidRPr="00B97132">
              <w:rPr>
                <w:rFonts w:cs="Arial"/>
                <w:lang w:val="en-US"/>
              </w:rPr>
              <w:t>36,232</w:t>
            </w:r>
          </w:p>
        </w:tc>
      </w:tr>
      <w:tr w:rsidR="00B97BAD" w:rsidRPr="006D2E6F" w:rsidTr="00E03362">
        <w:trPr>
          <w:trHeight w:val="418"/>
        </w:trPr>
        <w:tc>
          <w:tcPr>
            <w:tcW w:w="1345" w:type="pct"/>
            <w:vAlign w:val="center"/>
          </w:tcPr>
          <w:p w:rsidR="00B97BAD" w:rsidRDefault="00B97BAD" w:rsidP="00E03362">
            <w:pPr>
              <w:rPr>
                <w:rFonts w:cs="Arial"/>
                <w:lang w:val="en-US"/>
              </w:rPr>
            </w:pPr>
            <w:r>
              <w:rPr>
                <w:rFonts w:cs="Arial"/>
                <w:lang w:val="en-US"/>
              </w:rPr>
              <w:t>David Nisbet</w:t>
            </w:r>
          </w:p>
        </w:tc>
        <w:tc>
          <w:tcPr>
            <w:tcW w:w="885" w:type="pct"/>
            <w:vAlign w:val="center"/>
          </w:tcPr>
          <w:p w:rsidR="00B97BAD" w:rsidRPr="00B97132" w:rsidRDefault="00B97BAD" w:rsidP="00E03362">
            <w:pPr>
              <w:jc w:val="center"/>
              <w:rPr>
                <w:rFonts w:cs="Arial"/>
                <w:lang w:val="en-US"/>
              </w:rPr>
            </w:pPr>
            <w:r w:rsidRPr="00B97132">
              <w:rPr>
                <w:rFonts w:cs="Arial"/>
                <w:lang w:val="en-US"/>
              </w:rPr>
              <w:t>112,623</w:t>
            </w:r>
          </w:p>
        </w:tc>
        <w:tc>
          <w:tcPr>
            <w:tcW w:w="767" w:type="pct"/>
            <w:vAlign w:val="center"/>
          </w:tcPr>
          <w:p w:rsidR="00B97BAD" w:rsidRPr="00B97132" w:rsidRDefault="00B97BAD" w:rsidP="00E03362">
            <w:pPr>
              <w:jc w:val="center"/>
              <w:rPr>
                <w:rFonts w:cs="Arial"/>
              </w:rPr>
            </w:pPr>
            <w:r w:rsidRPr="00B97132">
              <w:rPr>
                <w:rFonts w:cs="Arial"/>
              </w:rPr>
              <w:t>0.019%</w:t>
            </w:r>
          </w:p>
        </w:tc>
        <w:tc>
          <w:tcPr>
            <w:tcW w:w="1002" w:type="pct"/>
            <w:vAlign w:val="center"/>
          </w:tcPr>
          <w:p w:rsidR="00B97BAD" w:rsidRPr="00B97132" w:rsidRDefault="003742C7" w:rsidP="003742C7">
            <w:pPr>
              <w:jc w:val="center"/>
              <w:rPr>
                <w:rFonts w:cs="Arial"/>
              </w:rPr>
            </w:pPr>
            <w:r w:rsidRPr="00B97132">
              <w:rPr>
                <w:rFonts w:cs="Arial"/>
              </w:rPr>
              <w:t>651,118</w:t>
            </w:r>
          </w:p>
        </w:tc>
        <w:tc>
          <w:tcPr>
            <w:tcW w:w="1002" w:type="pct"/>
            <w:vAlign w:val="center"/>
          </w:tcPr>
          <w:p w:rsidR="00B97BAD" w:rsidRPr="00B97132" w:rsidRDefault="00B97BAD" w:rsidP="00E03362">
            <w:pPr>
              <w:jc w:val="center"/>
              <w:rPr>
                <w:rFonts w:cs="Arial"/>
              </w:rPr>
            </w:pPr>
            <w:r w:rsidRPr="00B97132">
              <w:rPr>
                <w:rFonts w:cs="Arial"/>
                <w:lang w:val="en-US"/>
              </w:rPr>
              <w:t>47,101</w:t>
            </w:r>
          </w:p>
        </w:tc>
      </w:tr>
    </w:tbl>
    <w:p w:rsidR="00B97BAD" w:rsidRDefault="00B97BAD" w:rsidP="00D65FA2">
      <w:pPr>
        <w:pStyle w:val="BodyText2"/>
        <w:rPr>
          <w:rFonts w:ascii="Arial" w:hAnsi="Arial" w:cs="Arial"/>
          <w:bCs/>
          <w:sz w:val="20"/>
        </w:rPr>
      </w:pPr>
    </w:p>
    <w:p w:rsidR="00B97BAD" w:rsidRDefault="00B97BAD" w:rsidP="00B97BAD">
      <w:pPr>
        <w:jc w:val="both"/>
        <w:rPr>
          <w:rFonts w:cs="Arial"/>
          <w:sz w:val="16"/>
          <w:szCs w:val="16"/>
          <w:lang w:val="en-US"/>
        </w:rPr>
      </w:pPr>
      <w:r w:rsidRPr="006D2E6F">
        <w:rPr>
          <w:rFonts w:cs="Arial"/>
          <w:sz w:val="16"/>
          <w:szCs w:val="16"/>
          <w:lang w:val="en-US"/>
        </w:rPr>
        <w:t xml:space="preserve">* This column includes all outstanding Awards that have vested following the expiry of the applicable performance period, regardless of whether or not they are currently capable of being exercised under the rules of the </w:t>
      </w:r>
      <w:r>
        <w:rPr>
          <w:rFonts w:cs="Arial"/>
          <w:sz w:val="16"/>
          <w:szCs w:val="16"/>
          <w:lang w:val="en-US"/>
        </w:rPr>
        <w:t>2017</w:t>
      </w:r>
      <w:r w:rsidRPr="006D2E6F">
        <w:rPr>
          <w:rFonts w:cs="Arial"/>
          <w:sz w:val="16"/>
          <w:szCs w:val="16"/>
          <w:lang w:val="en-US"/>
        </w:rPr>
        <w:t xml:space="preserve"> LTIP.</w:t>
      </w:r>
    </w:p>
    <w:p w:rsidR="00B97BAD" w:rsidRDefault="00B97BAD" w:rsidP="00D65FA2">
      <w:pPr>
        <w:pStyle w:val="BodyText2"/>
        <w:rPr>
          <w:rFonts w:ascii="Arial" w:hAnsi="Arial" w:cs="Arial"/>
          <w:bCs/>
          <w:sz w:val="20"/>
        </w:rPr>
      </w:pPr>
    </w:p>
    <w:p w:rsidR="00B97BAD" w:rsidRDefault="00B97BAD" w:rsidP="00D65FA2">
      <w:pPr>
        <w:pStyle w:val="BodyText2"/>
        <w:rPr>
          <w:rFonts w:ascii="Arial" w:hAnsi="Arial" w:cs="Arial"/>
          <w:bCs/>
          <w:sz w:val="20"/>
        </w:rPr>
      </w:pPr>
    </w:p>
    <w:p w:rsidR="00B97BAD" w:rsidRDefault="00B97BAD" w:rsidP="00D65FA2">
      <w:pPr>
        <w:pStyle w:val="BodyText2"/>
        <w:rPr>
          <w:rFonts w:ascii="Arial" w:hAnsi="Arial" w:cs="Arial"/>
          <w:bCs/>
          <w:sz w:val="20"/>
        </w:rPr>
      </w:pPr>
    </w:p>
    <w:p w:rsidR="00B97BAD" w:rsidRDefault="00B97BAD" w:rsidP="00D65FA2">
      <w:pPr>
        <w:pStyle w:val="BodyText2"/>
        <w:rPr>
          <w:rFonts w:ascii="Arial" w:hAnsi="Arial" w:cs="Arial"/>
          <w:bCs/>
          <w:sz w:val="20"/>
        </w:rPr>
      </w:pPr>
    </w:p>
    <w:p w:rsidR="00B97BAD" w:rsidRDefault="00B97BAD" w:rsidP="00D65FA2">
      <w:pPr>
        <w:pStyle w:val="BodyText2"/>
        <w:rPr>
          <w:rFonts w:ascii="Arial" w:hAnsi="Arial" w:cs="Arial"/>
          <w:bCs/>
          <w:sz w:val="20"/>
        </w:rPr>
      </w:pPr>
    </w:p>
    <w:p w:rsidR="00B97BAD" w:rsidRDefault="00B97BAD" w:rsidP="00D65FA2">
      <w:pPr>
        <w:pStyle w:val="BodyText2"/>
        <w:rPr>
          <w:rFonts w:ascii="Arial" w:hAnsi="Arial" w:cs="Arial"/>
          <w:bCs/>
          <w:sz w:val="20"/>
        </w:rPr>
      </w:pPr>
    </w:p>
    <w:p w:rsidR="00EB2516" w:rsidRDefault="00EB2516" w:rsidP="00D65FA2">
      <w:pPr>
        <w:pStyle w:val="BodyText2"/>
        <w:rPr>
          <w:rFonts w:ascii="Arial" w:hAnsi="Arial" w:cs="Arial"/>
          <w:bCs/>
          <w:sz w:val="20"/>
        </w:rPr>
      </w:pPr>
    </w:p>
    <w:p w:rsidR="004C30C7" w:rsidRDefault="004C30C7" w:rsidP="004C30C7">
      <w:pPr>
        <w:jc w:val="both"/>
        <w:rPr>
          <w:rFonts w:cs="Arial"/>
          <w:sz w:val="16"/>
          <w:szCs w:val="16"/>
          <w:lang w:val="en-US"/>
        </w:rPr>
      </w:pPr>
    </w:p>
    <w:p w:rsidR="002C261F" w:rsidRDefault="002C261F" w:rsidP="002C261F">
      <w:r w:rsidRPr="005F7200">
        <w:t xml:space="preserve">The </w:t>
      </w:r>
      <w:r>
        <w:t>following</w:t>
      </w:r>
      <w:r w:rsidRPr="005F7200">
        <w:t xml:space="preserve"> notification</w:t>
      </w:r>
      <w:r>
        <w:t>s</w:t>
      </w:r>
      <w:r w:rsidRPr="005F7200">
        <w:t xml:space="preserve"> </w:t>
      </w:r>
      <w:r>
        <w:t>are</w:t>
      </w:r>
      <w:r w:rsidRPr="005F7200">
        <w:t xml:space="preserve"> intended to satisfy the Company</w:t>
      </w:r>
      <w:r w:rsidR="00224720">
        <w:t>’</w:t>
      </w:r>
      <w:r w:rsidRPr="005F7200">
        <w:t>s obligations under Article 19(3) of EU Regulation No 596/2014 (the Market Abuse Regulation).</w:t>
      </w:r>
      <w:r w:rsidR="00D77686">
        <w:t xml:space="preserve"> </w:t>
      </w:r>
    </w:p>
    <w:p w:rsidR="002C261F" w:rsidRPr="00413537" w:rsidRDefault="002C261F" w:rsidP="002C261F">
      <w:pPr>
        <w:rPr>
          <w:rFonts w:cs="Arial"/>
        </w:rPr>
      </w:pPr>
    </w:p>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2C261F"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2C261F" w:rsidRPr="00413537" w:rsidRDefault="002C261F" w:rsidP="0093753D">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2C261F"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2C261F" w:rsidRPr="00413537" w:rsidRDefault="003521FC" w:rsidP="003521FC">
            <w:pPr>
              <w:pStyle w:val="TableParagraph"/>
              <w:kinsoku w:val="0"/>
              <w:overflowPunct w:val="0"/>
              <w:spacing w:before="60" w:after="60"/>
              <w:ind w:left="154"/>
              <w:rPr>
                <w:rFonts w:ascii="Arial" w:hAnsi="Arial" w:cs="Arial"/>
                <w:sz w:val="20"/>
                <w:szCs w:val="20"/>
              </w:rPr>
            </w:pPr>
            <w:r>
              <w:rPr>
                <w:rFonts w:ascii="Arial" w:hAnsi="Arial" w:cs="Arial"/>
                <w:sz w:val="20"/>
                <w:szCs w:val="20"/>
              </w:rPr>
              <w:t>Simon Thomson</w:t>
            </w:r>
          </w:p>
        </w:tc>
      </w:tr>
      <w:tr w:rsidR="002C261F"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2C261F" w:rsidRPr="00413537" w:rsidRDefault="002C261F" w:rsidP="0093753D">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2C261F"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2C261F" w:rsidRPr="00413537" w:rsidRDefault="003521FC" w:rsidP="003521FC">
            <w:pPr>
              <w:pStyle w:val="TableParagraph"/>
              <w:kinsoku w:val="0"/>
              <w:overflowPunct w:val="0"/>
              <w:spacing w:before="60" w:after="60"/>
              <w:ind w:left="154"/>
              <w:rPr>
                <w:rFonts w:ascii="Arial" w:hAnsi="Arial" w:cs="Arial"/>
                <w:sz w:val="20"/>
                <w:szCs w:val="20"/>
              </w:rPr>
            </w:pPr>
            <w:r>
              <w:rPr>
                <w:rFonts w:ascii="Arial" w:hAnsi="Arial" w:cs="Arial"/>
                <w:sz w:val="20"/>
                <w:szCs w:val="20"/>
              </w:rPr>
              <w:t>Chief Executive</w:t>
            </w:r>
          </w:p>
        </w:tc>
      </w:tr>
      <w:tr w:rsidR="002C261F" w:rsidRPr="00413537" w:rsidTr="0093753D">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2C261F" w:rsidRPr="00453FC9" w:rsidRDefault="002C261F" w:rsidP="0093753D">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2C261F" w:rsidRPr="00413537" w:rsidTr="0093753D">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2C261F" w:rsidRPr="00413537" w:rsidRDefault="002C261F" w:rsidP="0093753D">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2C261F"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2C261F" w:rsidRPr="00413537" w:rsidRDefault="002C261F" w:rsidP="002C261F">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2C261F"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2C261F" w:rsidRPr="00413537" w:rsidRDefault="002C261F" w:rsidP="0093753D">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2C261F" w:rsidRPr="0071743A" w:rsidRDefault="0071743A" w:rsidP="0071743A">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166AB9"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166AB9" w:rsidRPr="00413537" w:rsidTr="00166AB9">
        <w:trPr>
          <w:cantSplit/>
          <w:trHeight w:val="1002"/>
        </w:trPr>
        <w:tc>
          <w:tcPr>
            <w:tcW w:w="506" w:type="dxa"/>
            <w:vMerge w:val="restart"/>
            <w:tcBorders>
              <w:top w:val="single" w:sz="4" w:space="0" w:color="000000"/>
              <w:left w:val="nil"/>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166AB9" w:rsidRPr="00413537" w:rsidRDefault="00166AB9" w:rsidP="003B1070">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w:t>
            </w:r>
            <w:r w:rsidR="003B1070">
              <w:rPr>
                <w:rFonts w:ascii="Arial" w:hAnsi="Arial" w:cs="Arial"/>
                <w:sz w:val="20"/>
                <w:szCs w:val="20"/>
              </w:rPr>
              <w:t xml:space="preserve">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166AB9" w:rsidTr="00166AB9">
        <w:trPr>
          <w:cantSplit/>
          <w:trHeight w:hRule="exact" w:val="680"/>
        </w:trPr>
        <w:tc>
          <w:tcPr>
            <w:tcW w:w="506" w:type="dxa"/>
            <w:vMerge/>
            <w:tcBorders>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166AB9" w:rsidRDefault="00166AB9" w:rsidP="00166AB9">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166AB9" w:rsidRPr="00413537" w:rsidTr="00166AB9">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r>
              <w:rPr>
                <w:rFonts w:ascii="Arial" w:hAnsi="Arial" w:cs="Arial"/>
                <w:sz w:val="20"/>
                <w:szCs w:val="20"/>
              </w:rPr>
              <w:t xml:space="preserve"> </w:t>
            </w:r>
          </w:p>
        </w:tc>
      </w:tr>
      <w:tr w:rsidR="00166AB9" w:rsidRPr="007E31CA" w:rsidTr="00166AB9">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166AB9" w:rsidTr="00166AB9">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Price(s)</w:t>
                  </w:r>
                </w:p>
              </w:tc>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Volume(s)</w:t>
                  </w:r>
                </w:p>
              </w:tc>
            </w:tr>
            <w:tr w:rsidR="00166AB9" w:rsidTr="007A4D06">
              <w:tc>
                <w:tcPr>
                  <w:tcW w:w="3255" w:type="dxa"/>
                  <w:vAlign w:val="center"/>
                </w:tcPr>
                <w:p w:rsidR="00166AB9" w:rsidRDefault="00166AB9" w:rsidP="00166AB9">
                  <w:pPr>
                    <w:pStyle w:val="TableParagraph"/>
                    <w:kinsoku w:val="0"/>
                    <w:overflowPunct w:val="0"/>
                    <w:spacing w:before="60" w:after="60"/>
                    <w:jc w:val="center"/>
                    <w:rPr>
                      <w:rFonts w:ascii="Arial" w:hAnsi="Arial" w:cs="Arial"/>
                      <w:sz w:val="20"/>
                      <w:szCs w:val="20"/>
                    </w:rPr>
                  </w:pPr>
                  <w:r w:rsidRPr="009A575C">
                    <w:rPr>
                      <w:rFonts w:ascii="Arial" w:hAnsi="Arial" w:cs="Arial"/>
                      <w:sz w:val="20"/>
                      <w:szCs w:val="20"/>
                    </w:rPr>
                    <w:t>£</w:t>
                  </w:r>
                  <w:r>
                    <w:rPr>
                      <w:rFonts w:ascii="Arial" w:hAnsi="Arial" w:cs="Arial"/>
                      <w:sz w:val="20"/>
                      <w:szCs w:val="20"/>
                    </w:rPr>
                    <w:t>0</w:t>
                  </w:r>
                </w:p>
              </w:tc>
              <w:tc>
                <w:tcPr>
                  <w:tcW w:w="3255" w:type="dxa"/>
                  <w:shd w:val="clear" w:color="auto" w:fill="auto"/>
                  <w:vAlign w:val="center"/>
                </w:tcPr>
                <w:p w:rsidR="00166AB9" w:rsidRPr="006646C7" w:rsidRDefault="006646C7" w:rsidP="006646C7">
                  <w:pPr>
                    <w:jc w:val="center"/>
                    <w:rPr>
                      <w:rFonts w:cs="Arial"/>
                    </w:rPr>
                  </w:pPr>
                  <w:r w:rsidRPr="006646C7">
                    <w:rPr>
                      <w:rFonts w:cs="Arial"/>
                    </w:rPr>
                    <w:t>886,847</w:t>
                  </w:r>
                </w:p>
              </w:tc>
            </w:tr>
          </w:tbl>
          <w:p w:rsidR="00166AB9" w:rsidRPr="007E31CA" w:rsidRDefault="00166AB9" w:rsidP="00166AB9">
            <w:pPr>
              <w:pStyle w:val="TableParagraph"/>
              <w:kinsoku w:val="0"/>
              <w:overflowPunct w:val="0"/>
              <w:spacing w:before="60" w:after="60"/>
              <w:ind w:left="85"/>
              <w:rPr>
                <w:rFonts w:ascii="Arial" w:hAnsi="Arial" w:cs="Arial"/>
                <w:sz w:val="20"/>
                <w:szCs w:val="20"/>
              </w:rPr>
            </w:pPr>
          </w:p>
        </w:tc>
      </w:tr>
      <w:tr w:rsidR="00166AB9" w:rsidRPr="007E31CA" w:rsidTr="00166AB9">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lastRenderedPageBreak/>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166AB9" w:rsidRDefault="00166AB9" w:rsidP="00166AB9">
            <w:pPr>
              <w:pStyle w:val="TableParagraph"/>
              <w:kinsoku w:val="0"/>
              <w:overflowPunct w:val="0"/>
              <w:spacing w:before="60" w:after="60"/>
              <w:ind w:left="85"/>
              <w:rPr>
                <w:rFonts w:ascii="Arial" w:hAnsi="Arial" w:cs="Arial"/>
                <w:sz w:val="20"/>
                <w:szCs w:val="20"/>
              </w:rPr>
            </w:pPr>
          </w:p>
          <w:p w:rsidR="00166AB9" w:rsidRDefault="00166AB9" w:rsidP="00166AB9">
            <w:pPr>
              <w:pStyle w:val="TableParagraph"/>
              <w:kinsoku w:val="0"/>
              <w:overflowPunct w:val="0"/>
              <w:spacing w:before="60" w:after="60"/>
              <w:ind w:left="85"/>
              <w:rPr>
                <w:rFonts w:ascii="Arial" w:hAnsi="Arial" w:cs="Arial"/>
                <w:sz w:val="20"/>
                <w:szCs w:val="20"/>
              </w:rPr>
            </w:pPr>
          </w:p>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Not applicable</w:t>
            </w:r>
          </w:p>
        </w:tc>
      </w:tr>
      <w:tr w:rsidR="00166AB9" w:rsidRPr="007E31CA"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716550" w:rsidP="00E03362">
            <w:pPr>
              <w:pStyle w:val="TableParagraph"/>
              <w:kinsoku w:val="0"/>
              <w:overflowPunct w:val="0"/>
              <w:spacing w:before="60" w:after="60"/>
              <w:ind w:left="85"/>
              <w:rPr>
                <w:rFonts w:ascii="Arial" w:hAnsi="Arial" w:cs="Arial"/>
                <w:sz w:val="20"/>
                <w:szCs w:val="20"/>
              </w:rPr>
            </w:pPr>
            <w:r>
              <w:rPr>
                <w:rFonts w:ascii="Arial" w:hAnsi="Arial" w:cs="Arial"/>
                <w:sz w:val="20"/>
                <w:szCs w:val="20"/>
              </w:rPr>
              <w:t>2020-0</w:t>
            </w:r>
            <w:r w:rsidR="00335EBE">
              <w:rPr>
                <w:rFonts w:ascii="Arial" w:hAnsi="Arial" w:cs="Arial"/>
                <w:sz w:val="20"/>
                <w:szCs w:val="20"/>
              </w:rPr>
              <w:t>7</w:t>
            </w:r>
            <w:r>
              <w:rPr>
                <w:rFonts w:ascii="Arial" w:hAnsi="Arial" w:cs="Arial"/>
                <w:sz w:val="20"/>
                <w:szCs w:val="20"/>
              </w:rPr>
              <w:t>-</w:t>
            </w:r>
            <w:r w:rsidR="00E03362">
              <w:rPr>
                <w:rFonts w:ascii="Arial" w:hAnsi="Arial" w:cs="Arial"/>
                <w:sz w:val="20"/>
                <w:szCs w:val="20"/>
              </w:rPr>
              <w:t>28</w:t>
            </w:r>
          </w:p>
        </w:tc>
      </w:tr>
      <w:tr w:rsidR="00166AB9" w:rsidRPr="007E31CA" w:rsidTr="00166AB9">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London Stock Exchange</w:t>
            </w:r>
          </w:p>
        </w:tc>
      </w:tr>
    </w:tbl>
    <w:p w:rsidR="0093753D" w:rsidRDefault="0093753D"/>
    <w:p w:rsidR="00166AB9" w:rsidRDefault="00166AB9"/>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672EB2"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672EB2" w:rsidRPr="00413537" w:rsidRDefault="00672EB2" w:rsidP="00166AB9">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672EB2"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672EB2" w:rsidRPr="00413537" w:rsidRDefault="00672EB2"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James Smith</w:t>
            </w:r>
          </w:p>
        </w:tc>
      </w:tr>
      <w:tr w:rsidR="00672EB2"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672EB2" w:rsidRPr="00413537" w:rsidRDefault="00672EB2"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672EB2"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672EB2" w:rsidRPr="00413537" w:rsidRDefault="00672EB2" w:rsidP="00672EB2">
            <w:pPr>
              <w:pStyle w:val="TableParagraph"/>
              <w:kinsoku w:val="0"/>
              <w:overflowPunct w:val="0"/>
              <w:spacing w:before="60" w:after="60"/>
              <w:ind w:left="154"/>
              <w:rPr>
                <w:rFonts w:ascii="Arial" w:hAnsi="Arial" w:cs="Arial"/>
                <w:sz w:val="20"/>
                <w:szCs w:val="20"/>
              </w:rPr>
            </w:pPr>
            <w:r>
              <w:rPr>
                <w:rFonts w:ascii="Arial" w:hAnsi="Arial" w:cs="Arial"/>
                <w:sz w:val="20"/>
                <w:szCs w:val="20"/>
              </w:rPr>
              <w:t>Chief Financial Officer</w:t>
            </w:r>
          </w:p>
        </w:tc>
      </w:tr>
      <w:tr w:rsidR="00672EB2" w:rsidRPr="00453FC9"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672EB2" w:rsidRPr="00453FC9" w:rsidRDefault="00672EB2" w:rsidP="00166AB9">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672EB2"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672EB2" w:rsidRPr="00413537" w:rsidRDefault="00672EB2"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672EB2"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672EB2" w:rsidRPr="00413537" w:rsidRDefault="00672EB2"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672EB2" w:rsidRPr="0071743A"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672EB2" w:rsidRPr="00413537" w:rsidRDefault="00672EB2" w:rsidP="00166AB9">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672EB2" w:rsidRPr="0071743A" w:rsidRDefault="00672EB2" w:rsidP="00166AB9">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166AB9"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166AB9" w:rsidRPr="00413537" w:rsidTr="00166AB9">
        <w:trPr>
          <w:cantSplit/>
          <w:trHeight w:val="1002"/>
        </w:trPr>
        <w:tc>
          <w:tcPr>
            <w:tcW w:w="506" w:type="dxa"/>
            <w:vMerge w:val="restart"/>
            <w:tcBorders>
              <w:top w:val="single" w:sz="4" w:space="0" w:color="000000"/>
              <w:left w:val="nil"/>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166AB9" w:rsidRPr="00413537" w:rsidRDefault="00166AB9" w:rsidP="003B1070">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w:t>
            </w:r>
            <w:r w:rsidR="003B1070">
              <w:rPr>
                <w:rFonts w:ascii="Arial" w:hAnsi="Arial" w:cs="Arial"/>
                <w:sz w:val="20"/>
                <w:szCs w:val="20"/>
              </w:rPr>
              <w:t xml:space="preserve">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166AB9" w:rsidTr="00166AB9">
        <w:trPr>
          <w:cantSplit/>
          <w:trHeight w:hRule="exact" w:val="680"/>
        </w:trPr>
        <w:tc>
          <w:tcPr>
            <w:tcW w:w="506" w:type="dxa"/>
            <w:vMerge/>
            <w:tcBorders>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166AB9" w:rsidRDefault="00166AB9" w:rsidP="00166AB9">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166AB9" w:rsidRPr="00413537" w:rsidTr="00166AB9">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lastRenderedPageBreak/>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r>
              <w:rPr>
                <w:rFonts w:ascii="Arial" w:hAnsi="Arial" w:cs="Arial"/>
                <w:sz w:val="20"/>
                <w:szCs w:val="20"/>
              </w:rPr>
              <w:t xml:space="preserve"> </w:t>
            </w:r>
          </w:p>
        </w:tc>
      </w:tr>
      <w:tr w:rsidR="00166AB9" w:rsidRPr="007E31CA" w:rsidTr="00166AB9">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166AB9" w:rsidTr="00166AB9">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Price(s)</w:t>
                  </w:r>
                </w:p>
              </w:tc>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Volume(s)</w:t>
                  </w:r>
                </w:p>
              </w:tc>
            </w:tr>
            <w:tr w:rsidR="00166AB9" w:rsidTr="007A4D06">
              <w:tc>
                <w:tcPr>
                  <w:tcW w:w="3255" w:type="dxa"/>
                  <w:vAlign w:val="center"/>
                </w:tcPr>
                <w:p w:rsidR="00166AB9" w:rsidRDefault="00166AB9" w:rsidP="00166AB9">
                  <w:pPr>
                    <w:pStyle w:val="TableParagraph"/>
                    <w:kinsoku w:val="0"/>
                    <w:overflowPunct w:val="0"/>
                    <w:spacing w:before="60" w:after="60"/>
                    <w:jc w:val="center"/>
                    <w:rPr>
                      <w:rFonts w:ascii="Arial" w:hAnsi="Arial" w:cs="Arial"/>
                      <w:sz w:val="20"/>
                      <w:szCs w:val="20"/>
                    </w:rPr>
                  </w:pPr>
                  <w:r w:rsidRPr="009A575C">
                    <w:rPr>
                      <w:rFonts w:ascii="Arial" w:hAnsi="Arial" w:cs="Arial"/>
                      <w:sz w:val="20"/>
                      <w:szCs w:val="20"/>
                    </w:rPr>
                    <w:t>£</w:t>
                  </w:r>
                  <w:r>
                    <w:rPr>
                      <w:rFonts w:ascii="Arial" w:hAnsi="Arial" w:cs="Arial"/>
                      <w:sz w:val="20"/>
                      <w:szCs w:val="20"/>
                    </w:rPr>
                    <w:t>0</w:t>
                  </w:r>
                </w:p>
              </w:tc>
              <w:tc>
                <w:tcPr>
                  <w:tcW w:w="3255" w:type="dxa"/>
                  <w:shd w:val="clear" w:color="auto" w:fill="auto"/>
                  <w:vAlign w:val="center"/>
                </w:tcPr>
                <w:p w:rsidR="00166AB9" w:rsidRPr="006646C7" w:rsidRDefault="006646C7" w:rsidP="006646C7">
                  <w:pPr>
                    <w:jc w:val="center"/>
                    <w:rPr>
                      <w:rFonts w:cs="Arial"/>
                    </w:rPr>
                  </w:pPr>
                  <w:r w:rsidRPr="006646C7">
                    <w:rPr>
                      <w:rFonts w:cs="Arial"/>
                    </w:rPr>
                    <w:t>576,811</w:t>
                  </w:r>
                </w:p>
              </w:tc>
            </w:tr>
          </w:tbl>
          <w:p w:rsidR="00166AB9" w:rsidRPr="007E31CA" w:rsidRDefault="00166AB9" w:rsidP="00166AB9">
            <w:pPr>
              <w:pStyle w:val="TableParagraph"/>
              <w:kinsoku w:val="0"/>
              <w:overflowPunct w:val="0"/>
              <w:spacing w:before="60" w:after="60"/>
              <w:ind w:left="85"/>
              <w:rPr>
                <w:rFonts w:ascii="Arial" w:hAnsi="Arial" w:cs="Arial"/>
                <w:sz w:val="20"/>
                <w:szCs w:val="20"/>
              </w:rPr>
            </w:pPr>
          </w:p>
        </w:tc>
      </w:tr>
      <w:tr w:rsidR="00166AB9" w:rsidRPr="007E31CA" w:rsidTr="00166AB9">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166AB9" w:rsidRDefault="00166AB9" w:rsidP="00166AB9">
            <w:pPr>
              <w:pStyle w:val="TableParagraph"/>
              <w:kinsoku w:val="0"/>
              <w:overflowPunct w:val="0"/>
              <w:spacing w:before="60" w:after="60"/>
              <w:ind w:left="85"/>
              <w:rPr>
                <w:rFonts w:ascii="Arial" w:hAnsi="Arial" w:cs="Arial"/>
                <w:sz w:val="20"/>
                <w:szCs w:val="20"/>
              </w:rPr>
            </w:pPr>
          </w:p>
          <w:p w:rsidR="00166AB9" w:rsidRDefault="00166AB9" w:rsidP="00166AB9">
            <w:pPr>
              <w:pStyle w:val="TableParagraph"/>
              <w:kinsoku w:val="0"/>
              <w:overflowPunct w:val="0"/>
              <w:spacing w:before="60" w:after="60"/>
              <w:ind w:left="85"/>
              <w:rPr>
                <w:rFonts w:ascii="Arial" w:hAnsi="Arial" w:cs="Arial"/>
                <w:sz w:val="20"/>
                <w:szCs w:val="20"/>
              </w:rPr>
            </w:pPr>
          </w:p>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Not applicable</w:t>
            </w:r>
          </w:p>
        </w:tc>
      </w:tr>
      <w:tr w:rsidR="00166AB9" w:rsidRPr="007E31CA"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E03362"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2020-07-28</w:t>
            </w:r>
          </w:p>
        </w:tc>
      </w:tr>
      <w:tr w:rsidR="00166AB9" w:rsidRPr="007E31CA" w:rsidTr="00166AB9">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London Stock Exchange</w:t>
            </w:r>
          </w:p>
        </w:tc>
      </w:tr>
    </w:tbl>
    <w:p w:rsidR="0093753D" w:rsidRDefault="0093753D" w:rsidP="002C261F"/>
    <w:p w:rsidR="009B0FFC" w:rsidRDefault="009B0FFC" w:rsidP="002C261F"/>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Eric Hathon</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Director of Exploration</w:t>
            </w:r>
          </w:p>
        </w:tc>
      </w:tr>
      <w:tr w:rsidR="009B0FFC" w:rsidRPr="00453FC9"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9B0FFC" w:rsidRPr="00453FC9" w:rsidRDefault="009B0FFC" w:rsidP="00F633F2">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9B0FFC" w:rsidRPr="00413537"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9B0FFC" w:rsidRPr="0071743A"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9B0FFC" w:rsidRPr="0071743A" w:rsidRDefault="009B0FFC" w:rsidP="00F633F2">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9B0FFC" w:rsidRPr="00413537"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9B0FFC" w:rsidRPr="00413537" w:rsidTr="00F633F2">
        <w:trPr>
          <w:cantSplit/>
          <w:trHeight w:val="1002"/>
        </w:trPr>
        <w:tc>
          <w:tcPr>
            <w:tcW w:w="506" w:type="dxa"/>
            <w:vMerge w:val="restart"/>
            <w:tcBorders>
              <w:top w:val="single" w:sz="4" w:space="0" w:color="000000"/>
              <w:left w:val="nil"/>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lastRenderedPageBreak/>
              <w:t>a)</w:t>
            </w:r>
          </w:p>
        </w:tc>
        <w:tc>
          <w:tcPr>
            <w:tcW w:w="2175" w:type="dxa"/>
            <w:tcBorders>
              <w:top w:val="single" w:sz="4" w:space="0" w:color="000000"/>
              <w:left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9B0FFC" w:rsidRPr="00413537" w:rsidRDefault="009B0FFC" w:rsidP="00F633F2">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9B0FFC" w:rsidTr="00F633F2">
        <w:trPr>
          <w:cantSplit/>
          <w:trHeight w:hRule="exact" w:val="680"/>
        </w:trPr>
        <w:tc>
          <w:tcPr>
            <w:tcW w:w="506" w:type="dxa"/>
            <w:vMerge/>
            <w:tcBorders>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9B0FFC" w:rsidRDefault="009B0FFC" w:rsidP="00F633F2">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9B0FFC" w:rsidRPr="00413537" w:rsidTr="00F633F2">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p>
        </w:tc>
      </w:tr>
      <w:tr w:rsidR="009B0FFC" w:rsidRPr="007E31CA" w:rsidTr="00F633F2">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9B0FFC" w:rsidTr="00F633F2">
              <w:tc>
                <w:tcPr>
                  <w:tcW w:w="3255" w:type="dxa"/>
                  <w:vAlign w:val="center"/>
                </w:tcPr>
                <w:p w:rsidR="009B0FFC" w:rsidRPr="007E31CA" w:rsidRDefault="009B0FFC" w:rsidP="00F633F2">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Price(s)</w:t>
                  </w:r>
                </w:p>
              </w:tc>
              <w:tc>
                <w:tcPr>
                  <w:tcW w:w="3255" w:type="dxa"/>
                  <w:vAlign w:val="center"/>
                </w:tcPr>
                <w:p w:rsidR="009B0FFC" w:rsidRPr="007E31CA" w:rsidRDefault="009B0FFC" w:rsidP="00F633F2">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Volume(s)</w:t>
                  </w:r>
                </w:p>
              </w:tc>
            </w:tr>
            <w:tr w:rsidR="009B0FFC" w:rsidTr="007A4D06">
              <w:tc>
                <w:tcPr>
                  <w:tcW w:w="3255" w:type="dxa"/>
                  <w:vAlign w:val="center"/>
                </w:tcPr>
                <w:p w:rsidR="009B0FFC" w:rsidRDefault="009B0FFC" w:rsidP="00F633F2">
                  <w:pPr>
                    <w:pStyle w:val="TableParagraph"/>
                    <w:kinsoku w:val="0"/>
                    <w:overflowPunct w:val="0"/>
                    <w:spacing w:before="60" w:after="60"/>
                    <w:jc w:val="center"/>
                    <w:rPr>
                      <w:rFonts w:ascii="Arial" w:hAnsi="Arial" w:cs="Arial"/>
                      <w:sz w:val="20"/>
                      <w:szCs w:val="20"/>
                    </w:rPr>
                  </w:pPr>
                  <w:r w:rsidRPr="009A575C">
                    <w:rPr>
                      <w:rFonts w:ascii="Arial" w:hAnsi="Arial" w:cs="Arial"/>
                      <w:sz w:val="20"/>
                      <w:szCs w:val="20"/>
                    </w:rPr>
                    <w:t>£</w:t>
                  </w:r>
                  <w:r>
                    <w:rPr>
                      <w:rFonts w:ascii="Arial" w:hAnsi="Arial" w:cs="Arial"/>
                      <w:sz w:val="20"/>
                      <w:szCs w:val="20"/>
                    </w:rPr>
                    <w:t>0</w:t>
                  </w:r>
                </w:p>
              </w:tc>
              <w:tc>
                <w:tcPr>
                  <w:tcW w:w="3255" w:type="dxa"/>
                  <w:shd w:val="clear" w:color="auto" w:fill="auto"/>
                  <w:vAlign w:val="center"/>
                </w:tcPr>
                <w:p w:rsidR="009B0FFC" w:rsidRPr="006646C7" w:rsidRDefault="006646C7" w:rsidP="006646C7">
                  <w:pPr>
                    <w:jc w:val="center"/>
                    <w:rPr>
                      <w:rFonts w:cs="Arial"/>
                    </w:rPr>
                  </w:pPr>
                  <w:r w:rsidRPr="006646C7">
                    <w:rPr>
                      <w:rFonts w:cs="Arial"/>
                    </w:rPr>
                    <w:t>475,152</w:t>
                  </w:r>
                </w:p>
              </w:tc>
            </w:tr>
          </w:tbl>
          <w:p w:rsidR="009B0FFC" w:rsidRPr="007E31CA" w:rsidRDefault="009B0FFC" w:rsidP="00F633F2">
            <w:pPr>
              <w:pStyle w:val="TableParagraph"/>
              <w:kinsoku w:val="0"/>
              <w:overflowPunct w:val="0"/>
              <w:spacing w:before="60" w:after="60"/>
              <w:ind w:left="85"/>
              <w:rPr>
                <w:rFonts w:ascii="Arial" w:hAnsi="Arial" w:cs="Arial"/>
                <w:sz w:val="20"/>
                <w:szCs w:val="20"/>
              </w:rPr>
            </w:pPr>
          </w:p>
        </w:tc>
      </w:tr>
      <w:tr w:rsidR="009B0FFC" w:rsidRPr="007E31CA" w:rsidTr="00F633F2">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9B0FFC" w:rsidRPr="007E31CA" w:rsidRDefault="009B0FFC" w:rsidP="00F633F2">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9B0FFC" w:rsidRPr="007E31CA" w:rsidRDefault="009B0FFC" w:rsidP="00F633F2">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9B0FFC" w:rsidRDefault="009B0FFC" w:rsidP="00F633F2">
            <w:pPr>
              <w:pStyle w:val="TableParagraph"/>
              <w:kinsoku w:val="0"/>
              <w:overflowPunct w:val="0"/>
              <w:spacing w:before="60" w:after="60"/>
              <w:ind w:left="85"/>
              <w:rPr>
                <w:rFonts w:ascii="Arial" w:hAnsi="Arial" w:cs="Arial"/>
                <w:sz w:val="20"/>
                <w:szCs w:val="20"/>
              </w:rPr>
            </w:pPr>
          </w:p>
          <w:p w:rsidR="009B0FFC" w:rsidRDefault="009B0FFC" w:rsidP="00F633F2">
            <w:pPr>
              <w:pStyle w:val="TableParagraph"/>
              <w:kinsoku w:val="0"/>
              <w:overflowPunct w:val="0"/>
              <w:spacing w:before="60" w:after="60"/>
              <w:ind w:left="85"/>
              <w:rPr>
                <w:rFonts w:ascii="Arial" w:hAnsi="Arial" w:cs="Arial"/>
                <w:sz w:val="20"/>
                <w:szCs w:val="20"/>
              </w:rPr>
            </w:pPr>
          </w:p>
          <w:p w:rsidR="009B0FFC" w:rsidRPr="007E31CA"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Not applicable</w:t>
            </w:r>
          </w:p>
        </w:tc>
      </w:tr>
      <w:tr w:rsidR="009B0FFC" w:rsidRPr="007E31CA"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9B0FFC" w:rsidRPr="007E31CA" w:rsidRDefault="00E03362"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2020-07-28</w:t>
            </w:r>
          </w:p>
        </w:tc>
      </w:tr>
      <w:tr w:rsidR="009B0FFC" w:rsidRPr="007E31CA" w:rsidTr="00F633F2">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9B0FFC" w:rsidRPr="007E31CA"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London Stock Exchange</w:t>
            </w:r>
          </w:p>
        </w:tc>
      </w:tr>
    </w:tbl>
    <w:p w:rsidR="009B0FFC" w:rsidRDefault="009B0FFC" w:rsidP="009B0FFC"/>
    <w:p w:rsidR="009B0FFC" w:rsidRDefault="009B0FFC" w:rsidP="009B0FFC"/>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93753D"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93753D" w:rsidRPr="00413537" w:rsidRDefault="0093753D" w:rsidP="0093753D">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93753D"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3753D" w:rsidRPr="00413537" w:rsidRDefault="003521FC" w:rsidP="0093753D">
            <w:pPr>
              <w:pStyle w:val="TableParagraph"/>
              <w:kinsoku w:val="0"/>
              <w:overflowPunct w:val="0"/>
              <w:spacing w:before="60" w:after="60"/>
              <w:ind w:left="154"/>
              <w:rPr>
                <w:rFonts w:ascii="Arial" w:hAnsi="Arial" w:cs="Arial"/>
                <w:sz w:val="20"/>
                <w:szCs w:val="20"/>
              </w:rPr>
            </w:pPr>
            <w:r>
              <w:rPr>
                <w:rFonts w:ascii="Arial" w:hAnsi="Arial" w:cs="Arial"/>
                <w:sz w:val="20"/>
                <w:szCs w:val="20"/>
              </w:rPr>
              <w:t>Paul Mayland</w:t>
            </w:r>
          </w:p>
        </w:tc>
      </w:tr>
      <w:tr w:rsidR="0093753D"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93753D" w:rsidRPr="00413537" w:rsidRDefault="0093753D" w:rsidP="0093753D">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93753D"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93753D" w:rsidRPr="00413537" w:rsidRDefault="003521FC" w:rsidP="0093753D">
            <w:pPr>
              <w:pStyle w:val="TableParagraph"/>
              <w:kinsoku w:val="0"/>
              <w:overflowPunct w:val="0"/>
              <w:spacing w:before="60" w:after="60"/>
              <w:ind w:left="154"/>
              <w:rPr>
                <w:rFonts w:ascii="Arial" w:hAnsi="Arial" w:cs="Arial"/>
                <w:sz w:val="20"/>
                <w:szCs w:val="20"/>
              </w:rPr>
            </w:pPr>
            <w:r>
              <w:rPr>
                <w:rFonts w:ascii="Arial" w:hAnsi="Arial" w:cs="Arial"/>
                <w:sz w:val="20"/>
                <w:szCs w:val="20"/>
              </w:rPr>
              <w:t>Chief Operating Officer</w:t>
            </w:r>
          </w:p>
        </w:tc>
      </w:tr>
      <w:tr w:rsidR="0093753D" w:rsidRPr="00413537" w:rsidTr="0093753D">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93753D" w:rsidRPr="00453FC9" w:rsidRDefault="0093753D" w:rsidP="0093753D">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93753D" w:rsidRPr="00413537" w:rsidTr="0093753D">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93753D" w:rsidRPr="00413537" w:rsidRDefault="0093753D" w:rsidP="0093753D">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93753D"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lastRenderedPageBreak/>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3753D" w:rsidRPr="00413537" w:rsidRDefault="0093753D" w:rsidP="0093753D">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93753D" w:rsidRPr="00413537" w:rsidTr="0093753D">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3753D" w:rsidRPr="00413537" w:rsidRDefault="0093753D" w:rsidP="0093753D">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93753D" w:rsidRPr="0071743A" w:rsidRDefault="0093753D" w:rsidP="0093753D">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166AB9"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166AB9" w:rsidRPr="00413537" w:rsidTr="00166AB9">
        <w:trPr>
          <w:cantSplit/>
          <w:trHeight w:val="1002"/>
        </w:trPr>
        <w:tc>
          <w:tcPr>
            <w:tcW w:w="506" w:type="dxa"/>
            <w:vMerge w:val="restart"/>
            <w:tcBorders>
              <w:top w:val="single" w:sz="4" w:space="0" w:color="000000"/>
              <w:left w:val="nil"/>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166AB9" w:rsidRPr="00413537" w:rsidRDefault="00166AB9" w:rsidP="003B1070">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w:t>
            </w:r>
            <w:r w:rsidR="003B1070">
              <w:rPr>
                <w:rFonts w:ascii="Arial" w:hAnsi="Arial" w:cs="Arial"/>
                <w:sz w:val="20"/>
                <w:szCs w:val="20"/>
              </w:rPr>
              <w:t xml:space="preserve">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166AB9" w:rsidTr="00166AB9">
        <w:trPr>
          <w:cantSplit/>
          <w:trHeight w:hRule="exact" w:val="680"/>
        </w:trPr>
        <w:tc>
          <w:tcPr>
            <w:tcW w:w="506" w:type="dxa"/>
            <w:vMerge/>
            <w:tcBorders>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166AB9" w:rsidRDefault="00166AB9" w:rsidP="00166AB9">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166AB9" w:rsidRPr="00413537" w:rsidTr="00166AB9">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r>
              <w:rPr>
                <w:rFonts w:ascii="Arial" w:hAnsi="Arial" w:cs="Arial"/>
                <w:sz w:val="20"/>
                <w:szCs w:val="20"/>
              </w:rPr>
              <w:t xml:space="preserve"> </w:t>
            </w:r>
          </w:p>
        </w:tc>
      </w:tr>
      <w:tr w:rsidR="00166AB9" w:rsidRPr="007E31CA" w:rsidTr="00166AB9">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166AB9" w:rsidTr="00166AB9">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Price(s)</w:t>
                  </w:r>
                </w:p>
              </w:tc>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Volume(s)</w:t>
                  </w:r>
                </w:p>
              </w:tc>
            </w:tr>
            <w:tr w:rsidR="00166AB9" w:rsidTr="007A4D06">
              <w:tc>
                <w:tcPr>
                  <w:tcW w:w="3255" w:type="dxa"/>
                  <w:vAlign w:val="center"/>
                </w:tcPr>
                <w:p w:rsidR="00166AB9" w:rsidRDefault="00166AB9" w:rsidP="00166AB9">
                  <w:pPr>
                    <w:pStyle w:val="TableParagraph"/>
                    <w:kinsoku w:val="0"/>
                    <w:overflowPunct w:val="0"/>
                    <w:spacing w:before="60" w:after="60"/>
                    <w:jc w:val="center"/>
                    <w:rPr>
                      <w:rFonts w:ascii="Arial" w:hAnsi="Arial" w:cs="Arial"/>
                      <w:sz w:val="20"/>
                      <w:szCs w:val="20"/>
                    </w:rPr>
                  </w:pPr>
                  <w:r w:rsidRPr="009A575C">
                    <w:rPr>
                      <w:rFonts w:ascii="Arial" w:hAnsi="Arial" w:cs="Arial"/>
                      <w:sz w:val="20"/>
                      <w:szCs w:val="20"/>
                    </w:rPr>
                    <w:t>£</w:t>
                  </w:r>
                  <w:r>
                    <w:rPr>
                      <w:rFonts w:ascii="Arial" w:hAnsi="Arial" w:cs="Arial"/>
                      <w:sz w:val="20"/>
                      <w:szCs w:val="20"/>
                    </w:rPr>
                    <w:t>0</w:t>
                  </w:r>
                </w:p>
              </w:tc>
              <w:tc>
                <w:tcPr>
                  <w:tcW w:w="3255" w:type="dxa"/>
                  <w:shd w:val="clear" w:color="auto" w:fill="auto"/>
                  <w:vAlign w:val="center"/>
                </w:tcPr>
                <w:p w:rsidR="00166AB9" w:rsidRPr="006646C7" w:rsidRDefault="006646C7" w:rsidP="006646C7">
                  <w:pPr>
                    <w:jc w:val="center"/>
                    <w:rPr>
                      <w:rFonts w:cs="Arial"/>
                    </w:rPr>
                  </w:pPr>
                  <w:r w:rsidRPr="006646C7">
                    <w:rPr>
                      <w:rFonts w:cs="Arial"/>
                    </w:rPr>
                    <w:t>495,901</w:t>
                  </w:r>
                </w:p>
              </w:tc>
            </w:tr>
          </w:tbl>
          <w:p w:rsidR="00166AB9" w:rsidRPr="007E31CA" w:rsidRDefault="00166AB9" w:rsidP="00166AB9">
            <w:pPr>
              <w:pStyle w:val="TableParagraph"/>
              <w:kinsoku w:val="0"/>
              <w:overflowPunct w:val="0"/>
              <w:spacing w:before="60" w:after="60"/>
              <w:ind w:left="85"/>
              <w:rPr>
                <w:rFonts w:ascii="Arial" w:hAnsi="Arial" w:cs="Arial"/>
                <w:sz w:val="20"/>
                <w:szCs w:val="20"/>
              </w:rPr>
            </w:pPr>
          </w:p>
        </w:tc>
      </w:tr>
      <w:tr w:rsidR="00166AB9" w:rsidRPr="007E31CA" w:rsidTr="00166AB9">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166AB9" w:rsidRDefault="00166AB9" w:rsidP="00166AB9">
            <w:pPr>
              <w:pStyle w:val="TableParagraph"/>
              <w:kinsoku w:val="0"/>
              <w:overflowPunct w:val="0"/>
              <w:spacing w:before="60" w:after="60"/>
              <w:ind w:left="85"/>
              <w:rPr>
                <w:rFonts w:ascii="Arial" w:hAnsi="Arial" w:cs="Arial"/>
                <w:sz w:val="20"/>
                <w:szCs w:val="20"/>
              </w:rPr>
            </w:pPr>
          </w:p>
          <w:p w:rsidR="00166AB9" w:rsidRDefault="00166AB9" w:rsidP="00166AB9">
            <w:pPr>
              <w:pStyle w:val="TableParagraph"/>
              <w:kinsoku w:val="0"/>
              <w:overflowPunct w:val="0"/>
              <w:spacing w:before="60" w:after="60"/>
              <w:ind w:left="85"/>
              <w:rPr>
                <w:rFonts w:ascii="Arial" w:hAnsi="Arial" w:cs="Arial"/>
                <w:sz w:val="20"/>
                <w:szCs w:val="20"/>
              </w:rPr>
            </w:pPr>
          </w:p>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Not applicable</w:t>
            </w:r>
          </w:p>
        </w:tc>
      </w:tr>
      <w:tr w:rsidR="00166AB9" w:rsidRPr="007E31CA"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E03362"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2020-07-28</w:t>
            </w:r>
          </w:p>
        </w:tc>
      </w:tr>
      <w:tr w:rsidR="00166AB9" w:rsidRPr="007E31CA" w:rsidTr="00166AB9">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London Stock Exchange</w:t>
            </w:r>
          </w:p>
        </w:tc>
      </w:tr>
    </w:tbl>
    <w:p w:rsidR="0093753D" w:rsidRDefault="0093753D" w:rsidP="002C261F"/>
    <w:p w:rsidR="009B0FFC" w:rsidRDefault="009B0FFC" w:rsidP="002C261F"/>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Richard Ember</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Regional Director, International</w:t>
            </w:r>
          </w:p>
        </w:tc>
      </w:tr>
      <w:tr w:rsidR="009B0FFC" w:rsidRPr="00453FC9"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lastRenderedPageBreak/>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9B0FFC" w:rsidRPr="00453FC9" w:rsidRDefault="009B0FFC" w:rsidP="00F633F2">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9B0FFC" w:rsidRPr="00413537"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9B0FFC" w:rsidRPr="0071743A"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9B0FFC" w:rsidRPr="0071743A" w:rsidRDefault="009B0FFC" w:rsidP="00F633F2">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9B0FFC" w:rsidRPr="00413537"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9B0FFC" w:rsidRPr="00413537" w:rsidTr="00F633F2">
        <w:trPr>
          <w:cantSplit/>
          <w:trHeight w:val="1002"/>
        </w:trPr>
        <w:tc>
          <w:tcPr>
            <w:tcW w:w="506" w:type="dxa"/>
            <w:vMerge w:val="restart"/>
            <w:tcBorders>
              <w:top w:val="single" w:sz="4" w:space="0" w:color="000000"/>
              <w:left w:val="nil"/>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9B0FFC" w:rsidRPr="00413537" w:rsidRDefault="009B0FFC" w:rsidP="00F633F2">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9B0FFC" w:rsidTr="00F633F2">
        <w:trPr>
          <w:cantSplit/>
          <w:trHeight w:hRule="exact" w:val="680"/>
        </w:trPr>
        <w:tc>
          <w:tcPr>
            <w:tcW w:w="506" w:type="dxa"/>
            <w:vMerge/>
            <w:tcBorders>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9B0FFC" w:rsidRDefault="009B0FFC" w:rsidP="00F633F2">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9B0FFC" w:rsidRPr="00413537" w:rsidTr="00F633F2">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p>
        </w:tc>
      </w:tr>
      <w:tr w:rsidR="009B0FFC" w:rsidRPr="007E31CA" w:rsidTr="00F633F2">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9B0FFC" w:rsidTr="00F633F2">
              <w:tc>
                <w:tcPr>
                  <w:tcW w:w="3255" w:type="dxa"/>
                  <w:vAlign w:val="center"/>
                </w:tcPr>
                <w:p w:rsidR="009B0FFC" w:rsidRPr="007E31CA" w:rsidRDefault="009B0FFC" w:rsidP="00F633F2">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Price(s)</w:t>
                  </w:r>
                </w:p>
              </w:tc>
              <w:tc>
                <w:tcPr>
                  <w:tcW w:w="3255" w:type="dxa"/>
                  <w:vAlign w:val="center"/>
                </w:tcPr>
                <w:p w:rsidR="009B0FFC" w:rsidRPr="007E31CA" w:rsidRDefault="009B0FFC" w:rsidP="00F633F2">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Volume(s)</w:t>
                  </w:r>
                </w:p>
              </w:tc>
            </w:tr>
            <w:tr w:rsidR="009B0FFC" w:rsidTr="007A4D06">
              <w:tc>
                <w:tcPr>
                  <w:tcW w:w="3255" w:type="dxa"/>
                  <w:vAlign w:val="center"/>
                </w:tcPr>
                <w:p w:rsidR="009B0FFC" w:rsidRDefault="009B0FFC" w:rsidP="00F633F2">
                  <w:pPr>
                    <w:pStyle w:val="TableParagraph"/>
                    <w:kinsoku w:val="0"/>
                    <w:overflowPunct w:val="0"/>
                    <w:spacing w:before="60" w:after="60"/>
                    <w:jc w:val="center"/>
                    <w:rPr>
                      <w:rFonts w:ascii="Arial" w:hAnsi="Arial" w:cs="Arial"/>
                      <w:sz w:val="20"/>
                      <w:szCs w:val="20"/>
                    </w:rPr>
                  </w:pPr>
                  <w:r w:rsidRPr="009A575C">
                    <w:rPr>
                      <w:rFonts w:ascii="Arial" w:hAnsi="Arial" w:cs="Arial"/>
                      <w:sz w:val="20"/>
                      <w:szCs w:val="20"/>
                    </w:rPr>
                    <w:t>£</w:t>
                  </w:r>
                  <w:r>
                    <w:rPr>
                      <w:rFonts w:ascii="Arial" w:hAnsi="Arial" w:cs="Arial"/>
                      <w:sz w:val="20"/>
                      <w:szCs w:val="20"/>
                    </w:rPr>
                    <w:t>0</w:t>
                  </w:r>
                </w:p>
              </w:tc>
              <w:tc>
                <w:tcPr>
                  <w:tcW w:w="3255" w:type="dxa"/>
                  <w:shd w:val="clear" w:color="auto" w:fill="auto"/>
                  <w:vAlign w:val="center"/>
                </w:tcPr>
                <w:p w:rsidR="009B0FFC" w:rsidRPr="006646C7" w:rsidRDefault="006646C7" w:rsidP="006646C7">
                  <w:pPr>
                    <w:jc w:val="center"/>
                    <w:rPr>
                      <w:rFonts w:cs="Arial"/>
                    </w:rPr>
                  </w:pPr>
                  <w:r w:rsidRPr="006646C7">
                    <w:rPr>
                      <w:rFonts w:cs="Arial"/>
                    </w:rPr>
                    <w:t>204,257</w:t>
                  </w:r>
                </w:p>
              </w:tc>
            </w:tr>
          </w:tbl>
          <w:p w:rsidR="009B0FFC" w:rsidRPr="007E31CA" w:rsidRDefault="009B0FFC" w:rsidP="00F633F2">
            <w:pPr>
              <w:pStyle w:val="TableParagraph"/>
              <w:kinsoku w:val="0"/>
              <w:overflowPunct w:val="0"/>
              <w:spacing w:before="60" w:after="60"/>
              <w:ind w:left="85"/>
              <w:rPr>
                <w:rFonts w:ascii="Arial" w:hAnsi="Arial" w:cs="Arial"/>
                <w:sz w:val="20"/>
                <w:szCs w:val="20"/>
              </w:rPr>
            </w:pPr>
          </w:p>
        </w:tc>
      </w:tr>
      <w:tr w:rsidR="009B0FFC" w:rsidRPr="007E31CA" w:rsidTr="00F633F2">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9B0FFC" w:rsidRPr="007E31CA" w:rsidRDefault="009B0FFC" w:rsidP="00F633F2">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9B0FFC" w:rsidRPr="007E31CA" w:rsidRDefault="009B0FFC" w:rsidP="00F633F2">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9B0FFC" w:rsidRDefault="009B0FFC" w:rsidP="00F633F2">
            <w:pPr>
              <w:pStyle w:val="TableParagraph"/>
              <w:kinsoku w:val="0"/>
              <w:overflowPunct w:val="0"/>
              <w:spacing w:before="60" w:after="60"/>
              <w:ind w:left="85"/>
              <w:rPr>
                <w:rFonts w:ascii="Arial" w:hAnsi="Arial" w:cs="Arial"/>
                <w:sz w:val="20"/>
                <w:szCs w:val="20"/>
              </w:rPr>
            </w:pPr>
          </w:p>
          <w:p w:rsidR="009B0FFC" w:rsidRDefault="009B0FFC" w:rsidP="00F633F2">
            <w:pPr>
              <w:pStyle w:val="TableParagraph"/>
              <w:kinsoku w:val="0"/>
              <w:overflowPunct w:val="0"/>
              <w:spacing w:before="60" w:after="60"/>
              <w:ind w:left="85"/>
              <w:rPr>
                <w:rFonts w:ascii="Arial" w:hAnsi="Arial" w:cs="Arial"/>
                <w:sz w:val="20"/>
                <w:szCs w:val="20"/>
              </w:rPr>
            </w:pPr>
          </w:p>
          <w:p w:rsidR="009B0FFC" w:rsidRPr="007E31CA"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Not applicable</w:t>
            </w:r>
          </w:p>
        </w:tc>
      </w:tr>
      <w:tr w:rsidR="009B0FFC" w:rsidRPr="007E31CA"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9B0FFC" w:rsidRPr="007E31CA" w:rsidRDefault="00E03362"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2020-07-28</w:t>
            </w:r>
          </w:p>
        </w:tc>
      </w:tr>
      <w:tr w:rsidR="009B0FFC" w:rsidRPr="007E31CA" w:rsidTr="00F633F2">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9B0FFC" w:rsidRPr="007E31CA"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London Stock Exchange</w:t>
            </w:r>
          </w:p>
        </w:tc>
      </w:tr>
    </w:tbl>
    <w:p w:rsidR="009B0FFC" w:rsidRDefault="009B0FFC" w:rsidP="009B0FFC"/>
    <w:p w:rsidR="00BD7076" w:rsidRDefault="00BD7076">
      <w:r>
        <w:br w:type="page"/>
      </w:r>
    </w:p>
    <w:p w:rsidR="009B0FFC" w:rsidRDefault="009B0FFC" w:rsidP="009B0FFC"/>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Miles Warner</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714DE"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Director of Government Relations</w:t>
            </w:r>
          </w:p>
        </w:tc>
      </w:tr>
      <w:tr w:rsidR="009B0FFC" w:rsidRPr="00453FC9"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9B0FFC" w:rsidRPr="00453FC9" w:rsidRDefault="009B0FFC" w:rsidP="00F633F2">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9B0FFC" w:rsidRPr="00413537"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9B0FFC" w:rsidRPr="00413537"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9B0FFC" w:rsidRPr="0071743A"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9B0FFC" w:rsidRPr="0071743A" w:rsidRDefault="009B0FFC" w:rsidP="00F633F2">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9B0FFC" w:rsidRPr="00413537" w:rsidTr="00F633F2">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9B0FFC" w:rsidRPr="00413537" w:rsidTr="00F633F2">
        <w:trPr>
          <w:cantSplit/>
          <w:trHeight w:val="1002"/>
        </w:trPr>
        <w:tc>
          <w:tcPr>
            <w:tcW w:w="506" w:type="dxa"/>
            <w:vMerge w:val="restart"/>
            <w:tcBorders>
              <w:top w:val="single" w:sz="4" w:space="0" w:color="000000"/>
              <w:left w:val="nil"/>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9B0FFC" w:rsidRPr="00413537" w:rsidRDefault="009B0FFC" w:rsidP="00F633F2">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9B0FFC" w:rsidTr="00F633F2">
        <w:trPr>
          <w:cantSplit/>
          <w:trHeight w:hRule="exact" w:val="680"/>
        </w:trPr>
        <w:tc>
          <w:tcPr>
            <w:tcW w:w="506" w:type="dxa"/>
            <w:vMerge/>
            <w:tcBorders>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9B0FFC" w:rsidRDefault="009B0FFC" w:rsidP="00F633F2">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9B0FFC" w:rsidRPr="00413537" w:rsidTr="00F633F2">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413537" w:rsidRDefault="009B0FFC" w:rsidP="00F633F2">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9B0FFC" w:rsidRPr="00413537"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p>
        </w:tc>
      </w:tr>
      <w:tr w:rsidR="009B0FFC" w:rsidRPr="007E31CA" w:rsidTr="00F633F2">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9B0FFC" w:rsidTr="00F633F2">
              <w:tc>
                <w:tcPr>
                  <w:tcW w:w="3255" w:type="dxa"/>
                  <w:vAlign w:val="center"/>
                </w:tcPr>
                <w:p w:rsidR="009B0FFC" w:rsidRPr="007E31CA" w:rsidRDefault="009B0FFC" w:rsidP="00F633F2">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Price(s)</w:t>
                  </w:r>
                </w:p>
              </w:tc>
              <w:tc>
                <w:tcPr>
                  <w:tcW w:w="3255" w:type="dxa"/>
                  <w:vAlign w:val="center"/>
                </w:tcPr>
                <w:p w:rsidR="009B0FFC" w:rsidRPr="007E31CA" w:rsidRDefault="009B0FFC" w:rsidP="00F633F2">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Volume(s)</w:t>
                  </w:r>
                </w:p>
              </w:tc>
            </w:tr>
            <w:tr w:rsidR="009B0FFC" w:rsidTr="007A4D06">
              <w:tc>
                <w:tcPr>
                  <w:tcW w:w="3255" w:type="dxa"/>
                  <w:vAlign w:val="center"/>
                </w:tcPr>
                <w:p w:rsidR="009B0FFC" w:rsidRDefault="009B0FFC" w:rsidP="00F633F2">
                  <w:pPr>
                    <w:pStyle w:val="TableParagraph"/>
                    <w:kinsoku w:val="0"/>
                    <w:overflowPunct w:val="0"/>
                    <w:spacing w:before="60" w:after="60"/>
                    <w:jc w:val="center"/>
                    <w:rPr>
                      <w:rFonts w:ascii="Arial" w:hAnsi="Arial" w:cs="Arial"/>
                      <w:sz w:val="20"/>
                      <w:szCs w:val="20"/>
                    </w:rPr>
                  </w:pPr>
                  <w:r w:rsidRPr="009A575C">
                    <w:rPr>
                      <w:rFonts w:ascii="Arial" w:hAnsi="Arial" w:cs="Arial"/>
                      <w:sz w:val="20"/>
                      <w:szCs w:val="20"/>
                    </w:rPr>
                    <w:t>£</w:t>
                  </w:r>
                  <w:r>
                    <w:rPr>
                      <w:rFonts w:ascii="Arial" w:hAnsi="Arial" w:cs="Arial"/>
                      <w:sz w:val="20"/>
                      <w:szCs w:val="20"/>
                    </w:rPr>
                    <w:t>0</w:t>
                  </w:r>
                </w:p>
              </w:tc>
              <w:tc>
                <w:tcPr>
                  <w:tcW w:w="3255" w:type="dxa"/>
                  <w:shd w:val="clear" w:color="auto" w:fill="auto"/>
                  <w:vAlign w:val="center"/>
                </w:tcPr>
                <w:p w:rsidR="009B0FFC" w:rsidRPr="006646C7" w:rsidRDefault="006646C7" w:rsidP="006646C7">
                  <w:pPr>
                    <w:jc w:val="center"/>
                    <w:rPr>
                      <w:rFonts w:cs="Arial"/>
                    </w:rPr>
                  </w:pPr>
                  <w:r w:rsidRPr="006646C7">
                    <w:rPr>
                      <w:rFonts w:cs="Arial"/>
                    </w:rPr>
                    <w:t>217,556</w:t>
                  </w:r>
                </w:p>
              </w:tc>
            </w:tr>
          </w:tbl>
          <w:p w:rsidR="009B0FFC" w:rsidRPr="007E31CA" w:rsidRDefault="009B0FFC" w:rsidP="00F633F2">
            <w:pPr>
              <w:pStyle w:val="TableParagraph"/>
              <w:kinsoku w:val="0"/>
              <w:overflowPunct w:val="0"/>
              <w:spacing w:before="60" w:after="60"/>
              <w:ind w:left="85"/>
              <w:rPr>
                <w:rFonts w:ascii="Arial" w:hAnsi="Arial" w:cs="Arial"/>
                <w:sz w:val="20"/>
                <w:szCs w:val="20"/>
              </w:rPr>
            </w:pPr>
          </w:p>
        </w:tc>
      </w:tr>
      <w:tr w:rsidR="009B0FFC" w:rsidRPr="007E31CA" w:rsidTr="00F633F2">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9B0FFC" w:rsidRPr="007E31CA" w:rsidRDefault="009B0FFC" w:rsidP="00F633F2">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9B0FFC" w:rsidRPr="007E31CA" w:rsidRDefault="009B0FFC" w:rsidP="00F633F2">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9B0FFC" w:rsidRDefault="009B0FFC" w:rsidP="00F633F2">
            <w:pPr>
              <w:pStyle w:val="TableParagraph"/>
              <w:kinsoku w:val="0"/>
              <w:overflowPunct w:val="0"/>
              <w:spacing w:before="60" w:after="60"/>
              <w:ind w:left="85"/>
              <w:rPr>
                <w:rFonts w:ascii="Arial" w:hAnsi="Arial" w:cs="Arial"/>
                <w:sz w:val="20"/>
                <w:szCs w:val="20"/>
              </w:rPr>
            </w:pPr>
          </w:p>
          <w:p w:rsidR="009B0FFC" w:rsidRDefault="009B0FFC" w:rsidP="00F633F2">
            <w:pPr>
              <w:pStyle w:val="TableParagraph"/>
              <w:kinsoku w:val="0"/>
              <w:overflowPunct w:val="0"/>
              <w:spacing w:before="60" w:after="60"/>
              <w:ind w:left="85"/>
              <w:rPr>
                <w:rFonts w:ascii="Arial" w:hAnsi="Arial" w:cs="Arial"/>
                <w:sz w:val="20"/>
                <w:szCs w:val="20"/>
              </w:rPr>
            </w:pPr>
          </w:p>
          <w:p w:rsidR="009B0FFC" w:rsidRPr="007E31CA"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Not applicable</w:t>
            </w:r>
          </w:p>
        </w:tc>
      </w:tr>
      <w:tr w:rsidR="009B0FFC" w:rsidRPr="007E31CA" w:rsidTr="00F633F2">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lastRenderedPageBreak/>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9B0FFC" w:rsidRPr="007E31CA" w:rsidRDefault="00E03362"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2020-07-28</w:t>
            </w:r>
          </w:p>
        </w:tc>
      </w:tr>
      <w:tr w:rsidR="009B0FFC" w:rsidRPr="007E31CA" w:rsidTr="00F633F2">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9B0FFC" w:rsidRPr="007E31CA" w:rsidRDefault="009B0FFC" w:rsidP="00F633F2">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9B0FFC" w:rsidRPr="007E31CA" w:rsidRDefault="009B0FFC" w:rsidP="00F633F2">
            <w:pPr>
              <w:pStyle w:val="TableParagraph"/>
              <w:kinsoku w:val="0"/>
              <w:overflowPunct w:val="0"/>
              <w:spacing w:before="60" w:after="60"/>
              <w:ind w:left="85"/>
              <w:rPr>
                <w:rFonts w:ascii="Arial" w:hAnsi="Arial" w:cs="Arial"/>
                <w:sz w:val="20"/>
                <w:szCs w:val="20"/>
              </w:rPr>
            </w:pPr>
            <w:r>
              <w:rPr>
                <w:rFonts w:ascii="Arial" w:hAnsi="Arial" w:cs="Arial"/>
                <w:sz w:val="20"/>
                <w:szCs w:val="20"/>
              </w:rPr>
              <w:t>London Stock Exchange</w:t>
            </w:r>
          </w:p>
        </w:tc>
      </w:tr>
    </w:tbl>
    <w:p w:rsidR="00166AB9" w:rsidRDefault="00166AB9" w:rsidP="002C261F"/>
    <w:p w:rsidR="009B0FFC" w:rsidRDefault="009B0FFC" w:rsidP="002C261F"/>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197451" w:rsidRPr="00413537" w:rsidRDefault="00672EB2"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Douglas Taylor</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197451" w:rsidRPr="00413537" w:rsidRDefault="00672EB2"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Deputy Finance Director</w:t>
            </w:r>
          </w:p>
        </w:tc>
      </w:tr>
      <w:tr w:rsidR="00197451"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197451" w:rsidRPr="00453FC9" w:rsidRDefault="00197451" w:rsidP="00166AB9">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197451"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197451" w:rsidRPr="0071743A" w:rsidRDefault="00197451" w:rsidP="00166AB9">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166AB9"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166AB9" w:rsidRPr="00413537" w:rsidTr="00166AB9">
        <w:trPr>
          <w:cantSplit/>
          <w:trHeight w:val="1002"/>
        </w:trPr>
        <w:tc>
          <w:tcPr>
            <w:tcW w:w="506" w:type="dxa"/>
            <w:vMerge w:val="restart"/>
            <w:tcBorders>
              <w:top w:val="single" w:sz="4" w:space="0" w:color="000000"/>
              <w:left w:val="nil"/>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166AB9" w:rsidRPr="00413537" w:rsidRDefault="00166AB9" w:rsidP="003B1070">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w:t>
            </w:r>
            <w:r w:rsidR="003B1070">
              <w:rPr>
                <w:rFonts w:ascii="Arial" w:hAnsi="Arial" w:cs="Arial"/>
                <w:sz w:val="20"/>
                <w:szCs w:val="20"/>
              </w:rPr>
              <w:t xml:space="preserve">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166AB9" w:rsidTr="00166AB9">
        <w:trPr>
          <w:cantSplit/>
          <w:trHeight w:hRule="exact" w:val="680"/>
        </w:trPr>
        <w:tc>
          <w:tcPr>
            <w:tcW w:w="506" w:type="dxa"/>
            <w:vMerge/>
            <w:tcBorders>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166AB9" w:rsidRDefault="00166AB9" w:rsidP="00166AB9">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166AB9" w:rsidRPr="00413537" w:rsidTr="00166AB9">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r>
              <w:rPr>
                <w:rFonts w:ascii="Arial" w:hAnsi="Arial" w:cs="Arial"/>
                <w:sz w:val="20"/>
                <w:szCs w:val="20"/>
              </w:rPr>
              <w:t xml:space="preserve"> </w:t>
            </w:r>
          </w:p>
        </w:tc>
      </w:tr>
      <w:tr w:rsidR="00166AB9" w:rsidRPr="007E31CA" w:rsidTr="00166AB9">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lastRenderedPageBreak/>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166AB9" w:rsidTr="00166AB9">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Price(s)</w:t>
                  </w:r>
                </w:p>
              </w:tc>
              <w:tc>
                <w:tcPr>
                  <w:tcW w:w="3255" w:type="dxa"/>
                  <w:vAlign w:val="center"/>
                </w:tcPr>
                <w:p w:rsidR="00166AB9" w:rsidRPr="007E31CA" w:rsidRDefault="00166AB9" w:rsidP="00166AB9">
                  <w:pPr>
                    <w:pStyle w:val="TableParagraph"/>
                    <w:kinsoku w:val="0"/>
                    <w:overflowPunct w:val="0"/>
                    <w:spacing w:before="60" w:after="60"/>
                    <w:jc w:val="center"/>
                    <w:rPr>
                      <w:rFonts w:ascii="Arial" w:hAnsi="Arial" w:cs="Arial"/>
                      <w:b/>
                      <w:sz w:val="20"/>
                      <w:szCs w:val="20"/>
                    </w:rPr>
                  </w:pPr>
                  <w:r w:rsidRPr="007E31CA">
                    <w:rPr>
                      <w:rFonts w:ascii="Arial" w:hAnsi="Arial" w:cs="Arial"/>
                      <w:b/>
                      <w:sz w:val="20"/>
                      <w:szCs w:val="20"/>
                    </w:rPr>
                    <w:t>Volume(s)</w:t>
                  </w:r>
                </w:p>
              </w:tc>
            </w:tr>
            <w:tr w:rsidR="00166AB9" w:rsidTr="007A4D06">
              <w:tc>
                <w:tcPr>
                  <w:tcW w:w="3255" w:type="dxa"/>
                  <w:vAlign w:val="center"/>
                </w:tcPr>
                <w:p w:rsidR="00166AB9" w:rsidRDefault="00166AB9" w:rsidP="00166AB9">
                  <w:pPr>
                    <w:pStyle w:val="TableParagraph"/>
                    <w:kinsoku w:val="0"/>
                    <w:overflowPunct w:val="0"/>
                    <w:spacing w:before="60" w:after="60"/>
                    <w:jc w:val="center"/>
                    <w:rPr>
                      <w:rFonts w:ascii="Arial" w:hAnsi="Arial" w:cs="Arial"/>
                      <w:sz w:val="20"/>
                      <w:szCs w:val="20"/>
                    </w:rPr>
                  </w:pPr>
                  <w:r w:rsidRPr="009A575C">
                    <w:rPr>
                      <w:rFonts w:ascii="Arial" w:hAnsi="Arial" w:cs="Arial"/>
                      <w:sz w:val="20"/>
                      <w:szCs w:val="20"/>
                    </w:rPr>
                    <w:t>£</w:t>
                  </w:r>
                  <w:r>
                    <w:rPr>
                      <w:rFonts w:ascii="Arial" w:hAnsi="Arial" w:cs="Arial"/>
                      <w:sz w:val="20"/>
                      <w:szCs w:val="20"/>
                    </w:rPr>
                    <w:t>0</w:t>
                  </w:r>
                </w:p>
              </w:tc>
              <w:tc>
                <w:tcPr>
                  <w:tcW w:w="3255" w:type="dxa"/>
                  <w:shd w:val="clear" w:color="auto" w:fill="auto"/>
                  <w:vAlign w:val="center"/>
                </w:tcPr>
                <w:p w:rsidR="00166AB9" w:rsidRPr="006646C7" w:rsidRDefault="006646C7" w:rsidP="006646C7">
                  <w:pPr>
                    <w:jc w:val="center"/>
                    <w:rPr>
                      <w:rFonts w:cs="Arial"/>
                    </w:rPr>
                  </w:pPr>
                  <w:r w:rsidRPr="006646C7">
                    <w:rPr>
                      <w:rFonts w:cs="Arial"/>
                    </w:rPr>
                    <w:t>190,995</w:t>
                  </w:r>
                </w:p>
              </w:tc>
            </w:tr>
          </w:tbl>
          <w:p w:rsidR="00166AB9" w:rsidRPr="007E31CA" w:rsidRDefault="00166AB9" w:rsidP="00166AB9">
            <w:pPr>
              <w:pStyle w:val="TableParagraph"/>
              <w:kinsoku w:val="0"/>
              <w:overflowPunct w:val="0"/>
              <w:spacing w:before="60" w:after="60"/>
              <w:ind w:left="85"/>
              <w:rPr>
                <w:rFonts w:ascii="Arial" w:hAnsi="Arial" w:cs="Arial"/>
                <w:sz w:val="20"/>
                <w:szCs w:val="20"/>
              </w:rPr>
            </w:pPr>
          </w:p>
        </w:tc>
      </w:tr>
      <w:tr w:rsidR="00166AB9" w:rsidRPr="007E31CA" w:rsidTr="00166AB9">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166AB9" w:rsidRDefault="00166AB9" w:rsidP="00166AB9">
            <w:pPr>
              <w:pStyle w:val="TableParagraph"/>
              <w:kinsoku w:val="0"/>
              <w:overflowPunct w:val="0"/>
              <w:spacing w:before="60" w:after="60"/>
              <w:ind w:left="85"/>
              <w:rPr>
                <w:rFonts w:ascii="Arial" w:hAnsi="Arial" w:cs="Arial"/>
                <w:sz w:val="20"/>
                <w:szCs w:val="20"/>
              </w:rPr>
            </w:pPr>
          </w:p>
          <w:p w:rsidR="00166AB9" w:rsidRDefault="00166AB9" w:rsidP="00166AB9">
            <w:pPr>
              <w:pStyle w:val="TableParagraph"/>
              <w:kinsoku w:val="0"/>
              <w:overflowPunct w:val="0"/>
              <w:spacing w:before="60" w:after="60"/>
              <w:ind w:left="85"/>
              <w:rPr>
                <w:rFonts w:ascii="Arial" w:hAnsi="Arial" w:cs="Arial"/>
                <w:sz w:val="20"/>
                <w:szCs w:val="20"/>
              </w:rPr>
            </w:pPr>
          </w:p>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Not applicable</w:t>
            </w:r>
          </w:p>
        </w:tc>
      </w:tr>
      <w:tr w:rsidR="00166AB9" w:rsidRPr="007E31CA"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E03362"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2020-07-28</w:t>
            </w:r>
          </w:p>
        </w:tc>
      </w:tr>
      <w:tr w:rsidR="00166AB9" w:rsidRPr="007E31CA" w:rsidTr="00166AB9">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7E31CA"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London Stock Exchange</w:t>
            </w:r>
          </w:p>
        </w:tc>
      </w:tr>
    </w:tbl>
    <w:p w:rsidR="00166AB9" w:rsidRDefault="00166AB9" w:rsidP="00197451"/>
    <w:p w:rsidR="00197451" w:rsidRDefault="00197451" w:rsidP="002C261F"/>
    <w:p w:rsidR="009B0FFC" w:rsidRDefault="009B0FFC" w:rsidP="002C261F"/>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1</w:t>
            </w:r>
          </w:p>
        </w:tc>
        <w:tc>
          <w:tcPr>
            <w:tcW w:w="8705" w:type="dxa"/>
            <w:gridSpan w:val="2"/>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84"/>
              <w:rPr>
                <w:rFonts w:ascii="Arial" w:hAnsi="Arial" w:cs="Arial"/>
                <w:b/>
                <w:sz w:val="20"/>
                <w:szCs w:val="20"/>
              </w:rPr>
            </w:pPr>
            <w:r w:rsidRPr="00413537">
              <w:rPr>
                <w:rFonts w:ascii="Arial" w:eastAsia="Times New Roman" w:hAnsi="Arial"/>
                <w:b/>
                <w:sz w:val="20"/>
                <w:szCs w:val="20"/>
                <w:lang w:eastAsia="en-US"/>
              </w:rPr>
              <w:t>Details of the person discharging managerial responsibilities/person closely associated</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David Nisbet</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2</w:t>
            </w:r>
          </w:p>
        </w:tc>
        <w:tc>
          <w:tcPr>
            <w:tcW w:w="8705" w:type="dxa"/>
            <w:gridSpan w:val="2"/>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Reason for the notification</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Position/status</w:t>
            </w:r>
          </w:p>
        </w:tc>
        <w:tc>
          <w:tcPr>
            <w:tcW w:w="6530" w:type="dxa"/>
            <w:tcBorders>
              <w:top w:val="single" w:sz="4" w:space="0" w:color="000000"/>
              <w:left w:val="single" w:sz="4" w:space="0" w:color="000000"/>
              <w:bottom w:val="single" w:sz="4" w:space="0" w:color="000000"/>
              <w:right w:val="nil"/>
            </w:tcBorders>
            <w:vAlign w:val="center"/>
          </w:tcPr>
          <w:p w:rsidR="00197451" w:rsidRPr="00413537" w:rsidRDefault="00672EB2"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Director, Corporate Affairs</w:t>
            </w:r>
          </w:p>
        </w:tc>
      </w:tr>
      <w:tr w:rsidR="00197451"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ight="662"/>
              <w:rPr>
                <w:rFonts w:ascii="Arial" w:hAnsi="Arial" w:cs="Arial"/>
                <w:sz w:val="20"/>
                <w:szCs w:val="20"/>
              </w:rPr>
            </w:pPr>
            <w:r w:rsidRPr="00413537">
              <w:rPr>
                <w:rFonts w:ascii="Arial" w:hAnsi="Arial" w:cs="Arial"/>
                <w:sz w:val="20"/>
                <w:szCs w:val="20"/>
              </w:rPr>
              <w:t>Initial</w:t>
            </w:r>
            <w:r w:rsidRPr="00413537">
              <w:rPr>
                <w:rFonts w:ascii="Arial" w:hAnsi="Arial" w:cs="Arial"/>
                <w:spacing w:val="-15"/>
                <w:sz w:val="20"/>
                <w:szCs w:val="20"/>
              </w:rPr>
              <w:t xml:space="preserve"> </w:t>
            </w:r>
            <w:r w:rsidRPr="00413537">
              <w:rPr>
                <w:rFonts w:ascii="Arial" w:hAnsi="Arial" w:cs="Arial"/>
                <w:sz w:val="20"/>
                <w:szCs w:val="20"/>
              </w:rPr>
              <w:t>notification/ Amendment</w:t>
            </w:r>
          </w:p>
        </w:tc>
        <w:tc>
          <w:tcPr>
            <w:tcW w:w="6530" w:type="dxa"/>
            <w:tcBorders>
              <w:top w:val="single" w:sz="4" w:space="0" w:color="000000"/>
              <w:left w:val="single" w:sz="4" w:space="0" w:color="000000"/>
              <w:bottom w:val="single" w:sz="4" w:space="0" w:color="000000"/>
              <w:right w:val="nil"/>
            </w:tcBorders>
            <w:vAlign w:val="center"/>
          </w:tcPr>
          <w:p w:rsidR="00197451" w:rsidRPr="00453FC9" w:rsidRDefault="00197451" w:rsidP="00166AB9">
            <w:pPr>
              <w:pStyle w:val="TableParagraph"/>
              <w:kinsoku w:val="0"/>
              <w:overflowPunct w:val="0"/>
              <w:spacing w:before="60" w:after="60"/>
              <w:ind w:left="154"/>
              <w:rPr>
                <w:rFonts w:ascii="Arial" w:hAnsi="Arial" w:cs="Arial"/>
                <w:sz w:val="20"/>
                <w:szCs w:val="20"/>
              </w:rPr>
            </w:pPr>
            <w:r w:rsidRPr="00453FC9">
              <w:rPr>
                <w:rFonts w:ascii="Arial" w:hAnsi="Arial" w:cs="Arial"/>
                <w:sz w:val="20"/>
                <w:szCs w:val="20"/>
              </w:rPr>
              <w:t>Initial Notification</w:t>
            </w:r>
          </w:p>
        </w:tc>
      </w:tr>
      <w:tr w:rsidR="00197451"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3</w:t>
            </w:r>
          </w:p>
        </w:tc>
        <w:tc>
          <w:tcPr>
            <w:tcW w:w="8705" w:type="dxa"/>
            <w:gridSpan w:val="2"/>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issuer, emission allowance market participant, auction platform, auctioneer or auction monitor</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t>a)</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Name</w:t>
            </w:r>
          </w:p>
        </w:tc>
        <w:tc>
          <w:tcPr>
            <w:tcW w:w="6530" w:type="dxa"/>
            <w:tcBorders>
              <w:top w:val="single" w:sz="4" w:space="0" w:color="000000"/>
              <w:left w:val="single" w:sz="4" w:space="0" w:color="000000"/>
              <w:bottom w:val="single" w:sz="4" w:space="0" w:color="000000"/>
              <w:right w:val="nil"/>
            </w:tcBorders>
            <w:vAlign w:val="center"/>
          </w:tcPr>
          <w:p w:rsidR="00197451" w:rsidRPr="00413537" w:rsidRDefault="00197451" w:rsidP="00166AB9">
            <w:pPr>
              <w:pStyle w:val="TableParagraph"/>
              <w:kinsoku w:val="0"/>
              <w:overflowPunct w:val="0"/>
              <w:spacing w:before="60" w:after="60"/>
              <w:ind w:left="154"/>
              <w:rPr>
                <w:rFonts w:ascii="Arial" w:hAnsi="Arial" w:cs="Arial"/>
                <w:sz w:val="20"/>
                <w:szCs w:val="20"/>
              </w:rPr>
            </w:pPr>
            <w:r>
              <w:rPr>
                <w:rFonts w:ascii="Arial" w:hAnsi="Arial" w:cs="Arial"/>
                <w:sz w:val="20"/>
                <w:szCs w:val="20"/>
              </w:rPr>
              <w:t>Cairn Energy PLC</w:t>
            </w:r>
          </w:p>
        </w:tc>
      </w:tr>
      <w:tr w:rsidR="00197451" w:rsidRPr="00413537"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97451" w:rsidRPr="00413537" w:rsidRDefault="00197451" w:rsidP="00166AB9">
            <w:pPr>
              <w:pStyle w:val="TableParagraph"/>
              <w:kinsoku w:val="0"/>
              <w:overflowPunct w:val="0"/>
              <w:spacing w:before="60" w:after="60"/>
              <w:ind w:left="84"/>
              <w:rPr>
                <w:rFonts w:ascii="Arial" w:hAnsi="Arial" w:cs="Arial"/>
                <w:sz w:val="20"/>
                <w:szCs w:val="20"/>
              </w:rPr>
            </w:pPr>
            <w:r w:rsidRPr="0009761E">
              <w:rPr>
                <w:rFonts w:ascii="Arial" w:hAnsi="Arial" w:cs="Arial"/>
                <w:sz w:val="20"/>
                <w:szCs w:val="20"/>
              </w:rPr>
              <w:t>LEI</w:t>
            </w:r>
          </w:p>
        </w:tc>
        <w:tc>
          <w:tcPr>
            <w:tcW w:w="6530" w:type="dxa"/>
            <w:tcBorders>
              <w:top w:val="single" w:sz="4" w:space="0" w:color="000000"/>
              <w:left w:val="single" w:sz="4" w:space="0" w:color="000000"/>
              <w:bottom w:val="single" w:sz="4" w:space="0" w:color="000000"/>
              <w:right w:val="nil"/>
            </w:tcBorders>
            <w:vAlign w:val="center"/>
          </w:tcPr>
          <w:p w:rsidR="00197451" w:rsidRPr="0071743A" w:rsidRDefault="00197451" w:rsidP="00166AB9">
            <w:pPr>
              <w:pStyle w:val="BodyText2"/>
              <w:ind w:left="154"/>
              <w:rPr>
                <w:rFonts w:ascii="Arial" w:hAnsi="Arial" w:cs="Arial"/>
                <w:sz w:val="16"/>
                <w:szCs w:val="16"/>
              </w:rPr>
            </w:pPr>
            <w:r w:rsidRPr="002C261F">
              <w:rPr>
                <w:rFonts w:ascii="Arial" w:eastAsia="Arial Unicode MS" w:hAnsi="Arial" w:cs="Arial" w:hint="eastAsia"/>
                <w:sz w:val="20"/>
              </w:rPr>
              <w:t>213800ZJEUQ8ZOC9AL24</w:t>
            </w:r>
          </w:p>
        </w:tc>
      </w:tr>
      <w:tr w:rsidR="00166AB9" w:rsidRPr="00413537" w:rsidTr="00166AB9">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56"/>
              <w:rPr>
                <w:rFonts w:ascii="Arial" w:hAnsi="Arial" w:cs="Arial"/>
                <w:sz w:val="20"/>
                <w:szCs w:val="20"/>
              </w:rPr>
            </w:pPr>
            <w:r w:rsidRPr="00413537">
              <w:rPr>
                <w:rFonts w:ascii="Arial" w:hAnsi="Arial" w:cs="Arial"/>
                <w:b/>
                <w:bCs/>
                <w:w w:val="110"/>
                <w:sz w:val="20"/>
                <w:szCs w:val="20"/>
              </w:rPr>
              <w:t>4</w:t>
            </w:r>
          </w:p>
        </w:tc>
        <w:tc>
          <w:tcPr>
            <w:tcW w:w="8705" w:type="dxa"/>
            <w:gridSpan w:val="2"/>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eastAsia="Times New Roman" w:hAnsi="Arial"/>
                <w:b/>
                <w:sz w:val="20"/>
                <w:szCs w:val="20"/>
                <w:lang w:eastAsia="en-US"/>
              </w:rPr>
              <w:t>Details of the transaction(s): section to be repeated for (</w:t>
            </w:r>
            <w:proofErr w:type="spellStart"/>
            <w:r w:rsidRPr="00413537">
              <w:rPr>
                <w:rFonts w:ascii="Arial" w:eastAsia="Times New Roman" w:hAnsi="Arial"/>
                <w:b/>
                <w:sz w:val="20"/>
                <w:szCs w:val="20"/>
                <w:lang w:eastAsia="en-US"/>
              </w:rPr>
              <w:t>i</w:t>
            </w:r>
            <w:proofErr w:type="spellEnd"/>
            <w:r w:rsidRPr="00413537">
              <w:rPr>
                <w:rFonts w:ascii="Arial" w:eastAsia="Times New Roman" w:hAnsi="Arial"/>
                <w:b/>
                <w:sz w:val="20"/>
                <w:szCs w:val="20"/>
                <w:lang w:eastAsia="en-US"/>
              </w:rPr>
              <w:t>) each type of instrument; (ii) each type of transaction; (iii) each date; and (iv) each place where transactions have been conducted</w:t>
            </w:r>
          </w:p>
        </w:tc>
      </w:tr>
      <w:tr w:rsidR="00166AB9" w:rsidRPr="00413537" w:rsidTr="00166AB9">
        <w:trPr>
          <w:cantSplit/>
          <w:trHeight w:val="1002"/>
        </w:trPr>
        <w:tc>
          <w:tcPr>
            <w:tcW w:w="506" w:type="dxa"/>
            <w:vMerge w:val="restart"/>
            <w:tcBorders>
              <w:top w:val="single" w:sz="4" w:space="0" w:color="000000"/>
              <w:left w:val="nil"/>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r w:rsidRPr="00413537">
              <w:rPr>
                <w:rFonts w:ascii="Arial" w:hAnsi="Arial" w:cs="Arial"/>
                <w:sz w:val="20"/>
                <w:szCs w:val="20"/>
              </w:rPr>
              <w:lastRenderedPageBreak/>
              <w:t>a)</w:t>
            </w:r>
          </w:p>
        </w:tc>
        <w:tc>
          <w:tcPr>
            <w:tcW w:w="2175" w:type="dxa"/>
            <w:tcBorders>
              <w:top w:val="single" w:sz="4" w:space="0" w:color="000000"/>
              <w:left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Description of the financial instrument, type of instrument</w:t>
            </w:r>
          </w:p>
        </w:tc>
        <w:tc>
          <w:tcPr>
            <w:tcW w:w="6530" w:type="dxa"/>
            <w:tcBorders>
              <w:top w:val="single" w:sz="4" w:space="0" w:color="000000"/>
              <w:left w:val="single" w:sz="4" w:space="0" w:color="000000"/>
              <w:right w:val="nil"/>
            </w:tcBorders>
            <w:vAlign w:val="center"/>
          </w:tcPr>
          <w:p w:rsidR="00166AB9" w:rsidRPr="00413537" w:rsidRDefault="00166AB9" w:rsidP="003B1070">
            <w:pPr>
              <w:pStyle w:val="TableParagraph"/>
              <w:tabs>
                <w:tab w:val="left" w:pos="724"/>
              </w:tabs>
              <w:kinsoku w:val="0"/>
              <w:overflowPunct w:val="0"/>
              <w:spacing w:before="60" w:after="60"/>
              <w:ind w:left="153"/>
              <w:rPr>
                <w:rFonts w:ascii="Arial" w:hAnsi="Arial" w:cs="Arial"/>
                <w:sz w:val="20"/>
                <w:szCs w:val="20"/>
              </w:rPr>
            </w:pPr>
            <w:r>
              <w:rPr>
                <w:rFonts w:ascii="Arial" w:hAnsi="Arial" w:cs="Arial"/>
                <w:sz w:val="20"/>
                <w:szCs w:val="20"/>
              </w:rPr>
              <w:t xml:space="preserve">Ordinary shares of </w:t>
            </w:r>
            <w:r w:rsidR="003B1070">
              <w:rPr>
                <w:rFonts w:ascii="Arial" w:hAnsi="Arial" w:cs="Arial"/>
                <w:sz w:val="20"/>
                <w:szCs w:val="20"/>
              </w:rPr>
              <w:t xml:space="preserve">231/169 </w:t>
            </w:r>
            <w:r w:rsidRPr="002135D3">
              <w:rPr>
                <w:rFonts w:ascii="Arial" w:hAnsi="Arial" w:cs="Arial"/>
                <w:sz w:val="20"/>
              </w:rPr>
              <w:t xml:space="preserve">pence each </w:t>
            </w:r>
            <w:r>
              <w:rPr>
                <w:rFonts w:ascii="Arial" w:hAnsi="Arial" w:cs="Arial"/>
                <w:sz w:val="20"/>
                <w:szCs w:val="20"/>
              </w:rPr>
              <w:t>(</w:t>
            </w:r>
            <w:r w:rsidR="00224720">
              <w:rPr>
                <w:rFonts w:ascii="Arial" w:hAnsi="Arial" w:cs="Arial"/>
                <w:sz w:val="20"/>
                <w:szCs w:val="20"/>
              </w:rPr>
              <w:t>“</w:t>
            </w:r>
            <w:r w:rsidRPr="007F6012">
              <w:rPr>
                <w:rFonts w:ascii="Arial" w:hAnsi="Arial" w:cs="Arial"/>
                <w:b/>
                <w:sz w:val="20"/>
                <w:szCs w:val="20"/>
              </w:rPr>
              <w:t>Shares</w:t>
            </w:r>
            <w:r w:rsidR="00224720">
              <w:rPr>
                <w:rFonts w:ascii="Arial" w:hAnsi="Arial" w:cs="Arial"/>
                <w:sz w:val="20"/>
                <w:szCs w:val="20"/>
              </w:rPr>
              <w:t>”</w:t>
            </w:r>
            <w:r>
              <w:rPr>
                <w:rFonts w:ascii="Arial" w:hAnsi="Arial" w:cs="Arial"/>
                <w:sz w:val="20"/>
                <w:szCs w:val="20"/>
              </w:rPr>
              <w:t>)</w:t>
            </w:r>
          </w:p>
        </w:tc>
      </w:tr>
      <w:tr w:rsidR="00166AB9" w:rsidTr="00166AB9">
        <w:trPr>
          <w:cantSplit/>
          <w:trHeight w:hRule="exact" w:val="680"/>
        </w:trPr>
        <w:tc>
          <w:tcPr>
            <w:tcW w:w="506" w:type="dxa"/>
            <w:vMerge/>
            <w:tcBorders>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41"/>
              <w:rPr>
                <w:rFonts w:ascii="Arial" w:hAnsi="Arial" w:cs="Arial"/>
                <w:sz w:val="20"/>
                <w:szCs w:val="20"/>
              </w:rPr>
            </w:pPr>
          </w:p>
        </w:tc>
        <w:tc>
          <w:tcPr>
            <w:tcW w:w="2175" w:type="dxa"/>
            <w:tcBorders>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ight="83"/>
              <w:rPr>
                <w:rFonts w:ascii="Arial" w:hAnsi="Arial" w:cs="Arial"/>
                <w:sz w:val="20"/>
                <w:szCs w:val="20"/>
              </w:rPr>
            </w:pPr>
            <w:r w:rsidRPr="00413537">
              <w:rPr>
                <w:rFonts w:ascii="Arial" w:hAnsi="Arial" w:cs="Arial"/>
                <w:sz w:val="20"/>
                <w:szCs w:val="20"/>
              </w:rPr>
              <w:t>Identification</w:t>
            </w:r>
            <w:r w:rsidRPr="00413537">
              <w:rPr>
                <w:rFonts w:ascii="Arial" w:hAnsi="Arial" w:cs="Arial"/>
                <w:spacing w:val="-23"/>
                <w:sz w:val="20"/>
                <w:szCs w:val="20"/>
              </w:rPr>
              <w:t xml:space="preserve"> </w:t>
            </w:r>
            <w:r w:rsidRPr="00413537">
              <w:rPr>
                <w:rFonts w:ascii="Arial" w:hAnsi="Arial" w:cs="Arial"/>
                <w:sz w:val="20"/>
                <w:szCs w:val="20"/>
              </w:rPr>
              <w:t>code</w:t>
            </w:r>
          </w:p>
        </w:tc>
        <w:tc>
          <w:tcPr>
            <w:tcW w:w="6530" w:type="dxa"/>
            <w:tcBorders>
              <w:left w:val="single" w:sz="4" w:space="0" w:color="000000"/>
              <w:bottom w:val="single" w:sz="4" w:space="0" w:color="000000"/>
              <w:right w:val="nil"/>
            </w:tcBorders>
            <w:vAlign w:val="center"/>
          </w:tcPr>
          <w:p w:rsidR="00166AB9" w:rsidRDefault="00166AB9" w:rsidP="00166AB9">
            <w:pPr>
              <w:pStyle w:val="TableParagraph"/>
              <w:tabs>
                <w:tab w:val="left" w:pos="724"/>
              </w:tabs>
              <w:kinsoku w:val="0"/>
              <w:overflowPunct w:val="0"/>
              <w:spacing w:before="60" w:after="60"/>
              <w:ind w:left="154"/>
              <w:rPr>
                <w:rFonts w:ascii="Arial" w:hAnsi="Arial" w:cs="Arial"/>
                <w:sz w:val="20"/>
                <w:szCs w:val="20"/>
              </w:rPr>
            </w:pPr>
            <w:r>
              <w:rPr>
                <w:rFonts w:ascii="Arial" w:hAnsi="Arial" w:cs="Arial"/>
                <w:color w:val="000000"/>
                <w:sz w:val="20"/>
                <w:szCs w:val="20"/>
              </w:rPr>
              <w:t>GB00B74CDH82</w:t>
            </w:r>
          </w:p>
        </w:tc>
      </w:tr>
      <w:tr w:rsidR="00166AB9" w:rsidRPr="00413537" w:rsidTr="00166AB9">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135"/>
              <w:rPr>
                <w:rFonts w:ascii="Arial" w:hAnsi="Arial" w:cs="Arial"/>
                <w:sz w:val="20"/>
                <w:szCs w:val="20"/>
              </w:rPr>
            </w:pPr>
            <w:r w:rsidRPr="00413537">
              <w:rPr>
                <w:rFonts w:ascii="Arial" w:hAnsi="Arial" w:cs="Arial"/>
                <w:sz w:val="20"/>
                <w:szCs w:val="20"/>
              </w:rPr>
              <w:t>b)</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413537" w:rsidRDefault="00166AB9" w:rsidP="00166AB9">
            <w:pPr>
              <w:pStyle w:val="TableParagraph"/>
              <w:kinsoku w:val="0"/>
              <w:overflowPunct w:val="0"/>
              <w:spacing w:before="60" w:after="60"/>
              <w:ind w:left="84"/>
              <w:rPr>
                <w:rFonts w:ascii="Arial" w:hAnsi="Arial" w:cs="Arial"/>
                <w:sz w:val="20"/>
                <w:szCs w:val="20"/>
              </w:rPr>
            </w:pPr>
            <w:r w:rsidRPr="00413537">
              <w:rPr>
                <w:rFonts w:ascii="Arial" w:hAnsi="Arial" w:cs="Arial"/>
                <w:sz w:val="20"/>
                <w:szCs w:val="20"/>
              </w:rPr>
              <w:t>Nature of the</w:t>
            </w:r>
            <w:r w:rsidRPr="00413537">
              <w:rPr>
                <w:rFonts w:ascii="Arial" w:hAnsi="Arial" w:cs="Arial"/>
                <w:spacing w:val="24"/>
                <w:sz w:val="20"/>
                <w:szCs w:val="20"/>
              </w:rPr>
              <w:t xml:space="preserve"> </w:t>
            </w:r>
            <w:r w:rsidRPr="00413537">
              <w:rPr>
                <w:rFonts w:ascii="Arial" w:hAnsi="Arial" w:cs="Arial"/>
                <w:sz w:val="20"/>
                <w:szCs w:val="20"/>
              </w:rPr>
              <w:t>transaction</w:t>
            </w:r>
          </w:p>
        </w:tc>
        <w:tc>
          <w:tcPr>
            <w:tcW w:w="6530" w:type="dxa"/>
            <w:tcBorders>
              <w:top w:val="single" w:sz="4" w:space="0" w:color="000000"/>
              <w:left w:val="single" w:sz="4" w:space="0" w:color="000000"/>
              <w:bottom w:val="single" w:sz="4" w:space="0" w:color="000000"/>
              <w:right w:val="nil"/>
            </w:tcBorders>
            <w:vAlign w:val="center"/>
          </w:tcPr>
          <w:p w:rsidR="00166AB9" w:rsidRPr="00413537" w:rsidRDefault="00166AB9" w:rsidP="00166AB9">
            <w:pPr>
              <w:pStyle w:val="TableParagraph"/>
              <w:kinsoku w:val="0"/>
              <w:overflowPunct w:val="0"/>
              <w:spacing w:before="60" w:after="60"/>
              <w:ind w:left="85"/>
              <w:rPr>
                <w:rFonts w:ascii="Arial" w:hAnsi="Arial" w:cs="Arial"/>
                <w:sz w:val="20"/>
                <w:szCs w:val="20"/>
              </w:rPr>
            </w:pPr>
            <w:r>
              <w:rPr>
                <w:rFonts w:ascii="Arial" w:hAnsi="Arial" w:cs="Arial"/>
                <w:sz w:val="20"/>
                <w:szCs w:val="20"/>
              </w:rPr>
              <w:t>Award (in the form of a nil-cost option) of a right to acquire Shares in the Company pursuant to the 2017 LTIP</w:t>
            </w:r>
            <w:r w:rsidRPr="007F6012">
              <w:rPr>
                <w:rFonts w:ascii="Arial" w:hAnsi="Arial" w:cs="Arial"/>
                <w:sz w:val="20"/>
                <w:szCs w:val="20"/>
              </w:rPr>
              <w:t>.</w:t>
            </w:r>
            <w:r>
              <w:rPr>
                <w:rFonts w:ascii="Arial" w:hAnsi="Arial" w:cs="Arial"/>
                <w:sz w:val="20"/>
                <w:szCs w:val="20"/>
              </w:rPr>
              <w:t xml:space="preserve"> </w:t>
            </w:r>
          </w:p>
        </w:tc>
      </w:tr>
      <w:tr w:rsidR="00166AB9" w:rsidRPr="007E31CA" w:rsidTr="00166AB9">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c)</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166AB9" w:rsidRPr="006646C7" w:rsidTr="00166AB9">
              <w:tc>
                <w:tcPr>
                  <w:tcW w:w="3255" w:type="dxa"/>
                  <w:vAlign w:val="center"/>
                </w:tcPr>
                <w:p w:rsidR="00166AB9" w:rsidRPr="006646C7" w:rsidRDefault="00166AB9" w:rsidP="00166AB9">
                  <w:pPr>
                    <w:pStyle w:val="TableParagraph"/>
                    <w:kinsoku w:val="0"/>
                    <w:overflowPunct w:val="0"/>
                    <w:spacing w:before="60" w:after="60"/>
                    <w:jc w:val="center"/>
                    <w:rPr>
                      <w:rFonts w:ascii="Arial" w:hAnsi="Arial" w:cs="Arial"/>
                      <w:b/>
                      <w:sz w:val="20"/>
                      <w:szCs w:val="20"/>
                    </w:rPr>
                  </w:pPr>
                  <w:r w:rsidRPr="006646C7">
                    <w:rPr>
                      <w:rFonts w:ascii="Arial" w:hAnsi="Arial" w:cs="Arial"/>
                      <w:b/>
                      <w:sz w:val="20"/>
                      <w:szCs w:val="20"/>
                    </w:rPr>
                    <w:t>Price(s)</w:t>
                  </w:r>
                </w:p>
              </w:tc>
              <w:tc>
                <w:tcPr>
                  <w:tcW w:w="3255" w:type="dxa"/>
                  <w:vAlign w:val="center"/>
                </w:tcPr>
                <w:p w:rsidR="00166AB9" w:rsidRPr="006646C7" w:rsidRDefault="00166AB9" w:rsidP="00166AB9">
                  <w:pPr>
                    <w:pStyle w:val="TableParagraph"/>
                    <w:kinsoku w:val="0"/>
                    <w:overflowPunct w:val="0"/>
                    <w:spacing w:before="60" w:after="60"/>
                    <w:jc w:val="center"/>
                    <w:rPr>
                      <w:rFonts w:ascii="Arial" w:hAnsi="Arial" w:cs="Arial"/>
                      <w:b/>
                      <w:sz w:val="20"/>
                      <w:szCs w:val="20"/>
                    </w:rPr>
                  </w:pPr>
                  <w:r w:rsidRPr="006646C7">
                    <w:rPr>
                      <w:rFonts w:ascii="Arial" w:hAnsi="Arial" w:cs="Arial"/>
                      <w:b/>
                      <w:sz w:val="20"/>
                      <w:szCs w:val="20"/>
                    </w:rPr>
                    <w:t>Volume(s)</w:t>
                  </w:r>
                </w:p>
              </w:tc>
            </w:tr>
            <w:tr w:rsidR="00166AB9" w:rsidRPr="006646C7" w:rsidTr="007A4D06">
              <w:tc>
                <w:tcPr>
                  <w:tcW w:w="3255" w:type="dxa"/>
                  <w:vAlign w:val="center"/>
                </w:tcPr>
                <w:p w:rsidR="00166AB9" w:rsidRPr="006646C7" w:rsidRDefault="00166AB9" w:rsidP="00166AB9">
                  <w:pPr>
                    <w:pStyle w:val="TableParagraph"/>
                    <w:kinsoku w:val="0"/>
                    <w:overflowPunct w:val="0"/>
                    <w:spacing w:before="60" w:after="60"/>
                    <w:jc w:val="center"/>
                    <w:rPr>
                      <w:rFonts w:ascii="Arial" w:hAnsi="Arial" w:cs="Arial"/>
                      <w:sz w:val="20"/>
                      <w:szCs w:val="20"/>
                    </w:rPr>
                  </w:pPr>
                  <w:r w:rsidRPr="006646C7">
                    <w:rPr>
                      <w:rFonts w:ascii="Arial" w:hAnsi="Arial" w:cs="Arial"/>
                      <w:sz w:val="20"/>
                      <w:szCs w:val="20"/>
                    </w:rPr>
                    <w:t>£0</w:t>
                  </w:r>
                </w:p>
              </w:tc>
              <w:tc>
                <w:tcPr>
                  <w:tcW w:w="3255" w:type="dxa"/>
                  <w:shd w:val="clear" w:color="auto" w:fill="auto"/>
                  <w:vAlign w:val="center"/>
                </w:tcPr>
                <w:p w:rsidR="00166AB9" w:rsidRPr="006646C7" w:rsidRDefault="006646C7" w:rsidP="006646C7">
                  <w:pPr>
                    <w:jc w:val="center"/>
                    <w:rPr>
                      <w:rFonts w:cs="Arial"/>
                    </w:rPr>
                  </w:pPr>
                  <w:r w:rsidRPr="006646C7">
                    <w:rPr>
                      <w:rFonts w:cs="Arial"/>
                    </w:rPr>
                    <w:t>238,924</w:t>
                  </w:r>
                </w:p>
              </w:tc>
            </w:tr>
          </w:tbl>
          <w:p w:rsidR="00166AB9" w:rsidRPr="006646C7" w:rsidRDefault="00166AB9" w:rsidP="00166AB9">
            <w:pPr>
              <w:pStyle w:val="TableParagraph"/>
              <w:kinsoku w:val="0"/>
              <w:overflowPunct w:val="0"/>
              <w:spacing w:before="60" w:after="60"/>
              <w:ind w:left="85"/>
              <w:rPr>
                <w:rFonts w:ascii="Arial" w:hAnsi="Arial" w:cs="Arial"/>
                <w:sz w:val="20"/>
                <w:szCs w:val="20"/>
              </w:rPr>
            </w:pPr>
          </w:p>
        </w:tc>
      </w:tr>
      <w:tr w:rsidR="00166AB9" w:rsidRPr="007E31CA" w:rsidTr="00166AB9">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d)</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ight="129"/>
              <w:rPr>
                <w:rFonts w:ascii="Arial" w:hAnsi="Arial" w:cs="Arial"/>
                <w:sz w:val="20"/>
                <w:szCs w:val="20"/>
              </w:rPr>
            </w:pPr>
            <w:r w:rsidRPr="007E31CA">
              <w:rPr>
                <w:rFonts w:ascii="Arial" w:hAnsi="Arial" w:cs="Arial"/>
                <w:sz w:val="20"/>
                <w:szCs w:val="20"/>
              </w:rPr>
              <w:t>Aggregated information</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Aggregated volume</w:t>
            </w:r>
          </w:p>
          <w:p w:rsidR="00166AB9" w:rsidRPr="007E31CA" w:rsidRDefault="00166AB9" w:rsidP="00166AB9">
            <w:pPr>
              <w:pStyle w:val="TableParagraph"/>
              <w:numPr>
                <w:ilvl w:val="0"/>
                <w:numId w:val="22"/>
              </w:numPr>
              <w:tabs>
                <w:tab w:val="left" w:pos="366"/>
              </w:tabs>
              <w:kinsoku w:val="0"/>
              <w:overflowPunct w:val="0"/>
              <w:spacing w:before="60" w:after="60"/>
              <w:ind w:right="129"/>
              <w:rPr>
                <w:rFonts w:ascii="Arial" w:hAnsi="Arial" w:cs="Arial"/>
                <w:sz w:val="20"/>
                <w:szCs w:val="20"/>
              </w:rPr>
            </w:pPr>
            <w:r w:rsidRPr="007E31CA">
              <w:rPr>
                <w:rFonts w:ascii="Arial" w:hAnsi="Arial" w:cs="Arial"/>
                <w:sz w:val="20"/>
                <w:szCs w:val="20"/>
              </w:rPr>
              <w:t>Price</w:t>
            </w:r>
          </w:p>
        </w:tc>
        <w:tc>
          <w:tcPr>
            <w:tcW w:w="6530" w:type="dxa"/>
            <w:tcBorders>
              <w:top w:val="single" w:sz="4" w:space="0" w:color="000000"/>
              <w:left w:val="single" w:sz="4" w:space="0" w:color="000000"/>
              <w:bottom w:val="single" w:sz="4" w:space="0" w:color="000000"/>
              <w:right w:val="nil"/>
            </w:tcBorders>
          </w:tcPr>
          <w:p w:rsidR="00166AB9" w:rsidRPr="006646C7" w:rsidRDefault="00166AB9" w:rsidP="00166AB9">
            <w:pPr>
              <w:pStyle w:val="TableParagraph"/>
              <w:kinsoku w:val="0"/>
              <w:overflowPunct w:val="0"/>
              <w:spacing w:before="60" w:after="60"/>
              <w:ind w:left="85"/>
              <w:rPr>
                <w:rFonts w:ascii="Arial" w:hAnsi="Arial" w:cs="Arial"/>
                <w:sz w:val="20"/>
                <w:szCs w:val="20"/>
              </w:rPr>
            </w:pPr>
          </w:p>
          <w:p w:rsidR="00166AB9" w:rsidRPr="006646C7" w:rsidRDefault="00166AB9" w:rsidP="00166AB9">
            <w:pPr>
              <w:pStyle w:val="TableParagraph"/>
              <w:kinsoku w:val="0"/>
              <w:overflowPunct w:val="0"/>
              <w:spacing w:before="60" w:after="60"/>
              <w:ind w:left="85"/>
              <w:rPr>
                <w:rFonts w:ascii="Arial" w:hAnsi="Arial" w:cs="Arial"/>
                <w:sz w:val="20"/>
                <w:szCs w:val="20"/>
              </w:rPr>
            </w:pPr>
          </w:p>
          <w:p w:rsidR="00166AB9" w:rsidRPr="006646C7" w:rsidRDefault="00166AB9" w:rsidP="00166AB9">
            <w:pPr>
              <w:pStyle w:val="TableParagraph"/>
              <w:kinsoku w:val="0"/>
              <w:overflowPunct w:val="0"/>
              <w:spacing w:before="60" w:after="60"/>
              <w:ind w:left="85"/>
              <w:rPr>
                <w:rFonts w:ascii="Arial" w:hAnsi="Arial" w:cs="Arial"/>
                <w:sz w:val="20"/>
                <w:szCs w:val="20"/>
              </w:rPr>
            </w:pPr>
            <w:r w:rsidRPr="006646C7">
              <w:rPr>
                <w:rFonts w:ascii="Arial" w:hAnsi="Arial" w:cs="Arial"/>
                <w:sz w:val="20"/>
                <w:szCs w:val="20"/>
              </w:rPr>
              <w:t>Not applicable</w:t>
            </w:r>
          </w:p>
        </w:tc>
      </w:tr>
      <w:tr w:rsidR="00166AB9" w:rsidRPr="007E31CA" w:rsidTr="00166AB9">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e)</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Date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6646C7" w:rsidRDefault="00E03362" w:rsidP="00166AB9">
            <w:pPr>
              <w:pStyle w:val="TableParagraph"/>
              <w:kinsoku w:val="0"/>
              <w:overflowPunct w:val="0"/>
              <w:spacing w:before="60" w:after="60"/>
              <w:ind w:left="85"/>
              <w:rPr>
                <w:rFonts w:ascii="Arial" w:hAnsi="Arial" w:cs="Arial"/>
                <w:sz w:val="20"/>
                <w:szCs w:val="20"/>
              </w:rPr>
            </w:pPr>
            <w:r w:rsidRPr="006646C7">
              <w:rPr>
                <w:rFonts w:ascii="Arial" w:hAnsi="Arial" w:cs="Arial"/>
                <w:sz w:val="20"/>
                <w:szCs w:val="20"/>
              </w:rPr>
              <w:t>2020-07-28</w:t>
            </w:r>
          </w:p>
        </w:tc>
      </w:tr>
      <w:tr w:rsidR="00166AB9" w:rsidRPr="007E31CA" w:rsidTr="00166AB9">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135"/>
              <w:rPr>
                <w:rFonts w:ascii="Arial" w:hAnsi="Arial" w:cs="Arial"/>
                <w:sz w:val="20"/>
                <w:szCs w:val="20"/>
              </w:rPr>
            </w:pPr>
            <w:r w:rsidRPr="007E31CA">
              <w:rPr>
                <w:rFonts w:ascii="Arial" w:hAnsi="Arial" w:cs="Arial"/>
                <w:sz w:val="20"/>
                <w:szCs w:val="20"/>
              </w:rPr>
              <w:t>f)</w:t>
            </w:r>
          </w:p>
        </w:tc>
        <w:tc>
          <w:tcPr>
            <w:tcW w:w="2175" w:type="dxa"/>
            <w:tcBorders>
              <w:top w:val="single" w:sz="4" w:space="0" w:color="000000"/>
              <w:left w:val="single" w:sz="4" w:space="0" w:color="000000"/>
              <w:bottom w:val="single" w:sz="4" w:space="0" w:color="000000"/>
              <w:right w:val="single" w:sz="4" w:space="0" w:color="000000"/>
            </w:tcBorders>
            <w:vAlign w:val="center"/>
          </w:tcPr>
          <w:p w:rsidR="00166AB9" w:rsidRPr="007E31CA" w:rsidRDefault="00166AB9" w:rsidP="00166AB9">
            <w:pPr>
              <w:pStyle w:val="TableParagraph"/>
              <w:kinsoku w:val="0"/>
              <w:overflowPunct w:val="0"/>
              <w:spacing w:before="60" w:after="60"/>
              <w:ind w:left="84"/>
              <w:rPr>
                <w:rFonts w:ascii="Arial" w:hAnsi="Arial" w:cs="Arial"/>
                <w:sz w:val="20"/>
                <w:szCs w:val="20"/>
              </w:rPr>
            </w:pPr>
            <w:r w:rsidRPr="007E31CA">
              <w:rPr>
                <w:rFonts w:ascii="Arial" w:hAnsi="Arial" w:cs="Arial"/>
                <w:sz w:val="20"/>
                <w:szCs w:val="20"/>
              </w:rPr>
              <w:t>Place of the transaction</w:t>
            </w:r>
          </w:p>
        </w:tc>
        <w:tc>
          <w:tcPr>
            <w:tcW w:w="6530" w:type="dxa"/>
            <w:tcBorders>
              <w:top w:val="single" w:sz="4" w:space="0" w:color="000000"/>
              <w:left w:val="single" w:sz="4" w:space="0" w:color="000000"/>
              <w:bottom w:val="single" w:sz="4" w:space="0" w:color="000000"/>
              <w:right w:val="nil"/>
            </w:tcBorders>
            <w:vAlign w:val="center"/>
          </w:tcPr>
          <w:p w:rsidR="00166AB9" w:rsidRPr="006646C7" w:rsidRDefault="00166AB9" w:rsidP="00166AB9">
            <w:pPr>
              <w:pStyle w:val="TableParagraph"/>
              <w:kinsoku w:val="0"/>
              <w:overflowPunct w:val="0"/>
              <w:spacing w:before="60" w:after="60"/>
              <w:ind w:left="85"/>
              <w:rPr>
                <w:rFonts w:ascii="Arial" w:hAnsi="Arial" w:cs="Arial"/>
                <w:sz w:val="20"/>
                <w:szCs w:val="20"/>
              </w:rPr>
            </w:pPr>
            <w:r w:rsidRPr="006646C7">
              <w:rPr>
                <w:rFonts w:ascii="Arial" w:hAnsi="Arial" w:cs="Arial"/>
                <w:sz w:val="20"/>
                <w:szCs w:val="20"/>
              </w:rPr>
              <w:t>London Stock Exchange</w:t>
            </w:r>
          </w:p>
        </w:tc>
      </w:tr>
    </w:tbl>
    <w:p w:rsidR="0093753D" w:rsidRDefault="0093753D" w:rsidP="002C261F"/>
    <w:p w:rsidR="008F70AF" w:rsidRDefault="008F70AF" w:rsidP="008F70AF"/>
    <w:p w:rsidR="008F70AF" w:rsidRDefault="008F70AF" w:rsidP="002C261F"/>
    <w:sectPr w:rsidR="008F70AF" w:rsidSect="002479A2">
      <w:headerReference w:type="even" r:id="rId8"/>
      <w:headerReference w:type="default" r:id="rId9"/>
      <w:footerReference w:type="even" r:id="rId10"/>
      <w:footerReference w:type="default" r:id="rId11"/>
      <w:headerReference w:type="first" r:id="rId12"/>
      <w:footerReference w:type="first" r:id="rId13"/>
      <w:pgSz w:w="12240" w:h="15840"/>
      <w:pgMar w:top="1700" w:right="1360" w:bottom="1500"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C73" w:rsidRDefault="009F3C73">
      <w:r>
        <w:separator/>
      </w:r>
    </w:p>
  </w:endnote>
  <w:endnote w:type="continuationSeparator" w:id="0">
    <w:p w:rsidR="009F3C73" w:rsidRDefault="009F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362" w:rsidRDefault="00E03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E03362" w:rsidRDefault="00E033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362" w:rsidRDefault="00E03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132">
      <w:rPr>
        <w:rStyle w:val="PageNumber"/>
        <w:noProof/>
      </w:rPr>
      <w:t>3</w:t>
    </w:r>
    <w:r>
      <w:rPr>
        <w:rStyle w:val="PageNumber"/>
      </w:rPr>
      <w:fldChar w:fldCharType="end"/>
    </w:r>
  </w:p>
  <w:p w:rsidR="00E03362" w:rsidRDefault="00E03362">
    <w:pPr>
      <w:pStyle w:val="Footer"/>
      <w:ind w:right="360"/>
      <w:rPr>
        <w:color w:val="C0C0C0"/>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362" w:rsidRDefault="00E03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C73" w:rsidRDefault="009F3C73">
      <w:r>
        <w:separator/>
      </w:r>
    </w:p>
  </w:footnote>
  <w:footnote w:type="continuationSeparator" w:id="0">
    <w:p w:rsidR="009F3C73" w:rsidRDefault="009F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362" w:rsidRDefault="00E03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362" w:rsidRDefault="00E03362">
    <w:pPr>
      <w:pStyle w:val="Header"/>
    </w:pPr>
    <w:r>
      <w:rPr>
        <w:noProof/>
      </w:rPr>
      <w:drawing>
        <wp:anchor distT="0" distB="0" distL="114300" distR="114300" simplePos="0" relativeHeight="251657728" behindDoc="0" locked="0" layoutInCell="1" allowOverlap="1" wp14:anchorId="5E890507" wp14:editId="4992D6ED">
          <wp:simplePos x="0" y="0"/>
          <wp:positionH relativeFrom="column">
            <wp:posOffset>5257800</wp:posOffset>
          </wp:positionH>
          <wp:positionV relativeFrom="paragraph">
            <wp:posOffset>38100</wp:posOffset>
          </wp:positionV>
          <wp:extent cx="812800" cy="431800"/>
          <wp:effectExtent l="19050" t="0" r="6350" b="0"/>
          <wp:wrapNone/>
          <wp:docPr id="3" name="Picture 3"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362" w:rsidRDefault="00E03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6"/>
    <w:multiLevelType w:val="multilevel"/>
    <w:tmpl w:val="00000889"/>
    <w:lvl w:ilvl="0">
      <w:numFmt w:val="bullet"/>
      <w:lvlText w:val="—"/>
      <w:lvlJc w:val="left"/>
      <w:pPr>
        <w:ind w:left="366" w:hanging="282"/>
      </w:pPr>
      <w:rPr>
        <w:rFonts w:ascii="Times New Roman" w:hAnsi="Times New Roman" w:cs="Times New Roman"/>
        <w:b w:val="0"/>
        <w:bCs w:val="0"/>
        <w:w w:val="95"/>
        <w:sz w:val="19"/>
        <w:szCs w:val="19"/>
      </w:rPr>
    </w:lvl>
    <w:lvl w:ilvl="1">
      <w:numFmt w:val="bullet"/>
      <w:lvlText w:val="•"/>
      <w:lvlJc w:val="left"/>
      <w:pPr>
        <w:ind w:left="540" w:hanging="282"/>
      </w:pPr>
    </w:lvl>
    <w:lvl w:ilvl="2">
      <w:numFmt w:val="bullet"/>
      <w:lvlText w:val="•"/>
      <w:lvlJc w:val="left"/>
      <w:pPr>
        <w:ind w:left="720" w:hanging="282"/>
      </w:pPr>
    </w:lvl>
    <w:lvl w:ilvl="3">
      <w:numFmt w:val="bullet"/>
      <w:lvlText w:val="•"/>
      <w:lvlJc w:val="left"/>
      <w:pPr>
        <w:ind w:left="901" w:hanging="282"/>
      </w:pPr>
    </w:lvl>
    <w:lvl w:ilvl="4">
      <w:numFmt w:val="bullet"/>
      <w:lvlText w:val="•"/>
      <w:lvlJc w:val="left"/>
      <w:pPr>
        <w:ind w:left="1081" w:hanging="282"/>
      </w:pPr>
    </w:lvl>
    <w:lvl w:ilvl="5">
      <w:numFmt w:val="bullet"/>
      <w:lvlText w:val="•"/>
      <w:lvlJc w:val="left"/>
      <w:pPr>
        <w:ind w:left="1262" w:hanging="282"/>
      </w:pPr>
    </w:lvl>
    <w:lvl w:ilvl="6">
      <w:numFmt w:val="bullet"/>
      <w:lvlText w:val="•"/>
      <w:lvlJc w:val="left"/>
      <w:pPr>
        <w:ind w:left="1442" w:hanging="282"/>
      </w:pPr>
    </w:lvl>
    <w:lvl w:ilvl="7">
      <w:numFmt w:val="bullet"/>
      <w:lvlText w:val="•"/>
      <w:lvlJc w:val="left"/>
      <w:pPr>
        <w:ind w:left="1623" w:hanging="282"/>
      </w:pPr>
    </w:lvl>
    <w:lvl w:ilvl="8">
      <w:numFmt w:val="bullet"/>
      <w:lvlText w:val="•"/>
      <w:lvlJc w:val="left"/>
      <w:pPr>
        <w:ind w:left="1803" w:hanging="282"/>
      </w:pPr>
    </w:lvl>
  </w:abstractNum>
  <w:abstractNum w:abstractNumId="1" w15:restartNumberingAfterBreak="0">
    <w:nsid w:val="004C16B9"/>
    <w:multiLevelType w:val="hybridMultilevel"/>
    <w:tmpl w:val="4F7CBB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C0F5E"/>
    <w:multiLevelType w:val="hybridMultilevel"/>
    <w:tmpl w:val="6F5478B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57BD8"/>
    <w:multiLevelType w:val="hybridMultilevel"/>
    <w:tmpl w:val="E632D3C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F7424"/>
    <w:multiLevelType w:val="hybridMultilevel"/>
    <w:tmpl w:val="5CBCF1C8"/>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B">
      <w:start w:val="1"/>
      <w:numFmt w:val="bullet"/>
      <w:lvlText w:val=""/>
      <w:lvlJc w:val="left"/>
      <w:pPr>
        <w:tabs>
          <w:tab w:val="num" w:pos="1440"/>
        </w:tabs>
        <w:ind w:left="1440" w:hanging="360"/>
      </w:pPr>
      <w:rPr>
        <w:rFonts w:ascii="Wingdings" w:hAnsi="Wingdings" w:hint="default"/>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15212"/>
    <w:multiLevelType w:val="hybridMultilevel"/>
    <w:tmpl w:val="897E4C0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B511F"/>
    <w:multiLevelType w:val="hybridMultilevel"/>
    <w:tmpl w:val="8EE09686"/>
    <w:lvl w:ilvl="0" w:tplc="0228F6A2">
      <w:start w:val="1"/>
      <w:numFmt w:val="bullet"/>
      <w:lvlText w:val=""/>
      <w:lvlJc w:val="left"/>
      <w:pPr>
        <w:tabs>
          <w:tab w:val="num" w:pos="720"/>
        </w:tabs>
        <w:ind w:left="720" w:hanging="360"/>
      </w:pPr>
      <w:rPr>
        <w:rFonts w:ascii="Wingdings" w:hAnsi="Wingdings" w:hint="default"/>
      </w:rPr>
    </w:lvl>
    <w:lvl w:ilvl="1" w:tplc="42620F08" w:tentative="1">
      <w:start w:val="1"/>
      <w:numFmt w:val="bullet"/>
      <w:lvlText w:val=""/>
      <w:lvlJc w:val="left"/>
      <w:pPr>
        <w:tabs>
          <w:tab w:val="num" w:pos="1440"/>
        </w:tabs>
        <w:ind w:left="1440" w:hanging="360"/>
      </w:pPr>
      <w:rPr>
        <w:rFonts w:ascii="Wingdings" w:hAnsi="Wingdings" w:hint="default"/>
      </w:rPr>
    </w:lvl>
    <w:lvl w:ilvl="2" w:tplc="039CF238" w:tentative="1">
      <w:start w:val="1"/>
      <w:numFmt w:val="bullet"/>
      <w:lvlText w:val=""/>
      <w:lvlJc w:val="left"/>
      <w:pPr>
        <w:tabs>
          <w:tab w:val="num" w:pos="2160"/>
        </w:tabs>
        <w:ind w:left="2160" w:hanging="360"/>
      </w:pPr>
      <w:rPr>
        <w:rFonts w:ascii="Wingdings" w:hAnsi="Wingdings" w:hint="default"/>
      </w:rPr>
    </w:lvl>
    <w:lvl w:ilvl="3" w:tplc="1480EFBC" w:tentative="1">
      <w:start w:val="1"/>
      <w:numFmt w:val="bullet"/>
      <w:lvlText w:val=""/>
      <w:lvlJc w:val="left"/>
      <w:pPr>
        <w:tabs>
          <w:tab w:val="num" w:pos="2880"/>
        </w:tabs>
        <w:ind w:left="2880" w:hanging="360"/>
      </w:pPr>
      <w:rPr>
        <w:rFonts w:ascii="Wingdings" w:hAnsi="Wingdings" w:hint="default"/>
      </w:rPr>
    </w:lvl>
    <w:lvl w:ilvl="4" w:tplc="89CCC8CE" w:tentative="1">
      <w:start w:val="1"/>
      <w:numFmt w:val="bullet"/>
      <w:lvlText w:val=""/>
      <w:lvlJc w:val="left"/>
      <w:pPr>
        <w:tabs>
          <w:tab w:val="num" w:pos="3600"/>
        </w:tabs>
        <w:ind w:left="3600" w:hanging="360"/>
      </w:pPr>
      <w:rPr>
        <w:rFonts w:ascii="Wingdings" w:hAnsi="Wingdings" w:hint="default"/>
      </w:rPr>
    </w:lvl>
    <w:lvl w:ilvl="5" w:tplc="1A849F44" w:tentative="1">
      <w:start w:val="1"/>
      <w:numFmt w:val="bullet"/>
      <w:lvlText w:val=""/>
      <w:lvlJc w:val="left"/>
      <w:pPr>
        <w:tabs>
          <w:tab w:val="num" w:pos="4320"/>
        </w:tabs>
        <w:ind w:left="4320" w:hanging="360"/>
      </w:pPr>
      <w:rPr>
        <w:rFonts w:ascii="Wingdings" w:hAnsi="Wingdings" w:hint="default"/>
      </w:rPr>
    </w:lvl>
    <w:lvl w:ilvl="6" w:tplc="862836AE" w:tentative="1">
      <w:start w:val="1"/>
      <w:numFmt w:val="bullet"/>
      <w:lvlText w:val=""/>
      <w:lvlJc w:val="left"/>
      <w:pPr>
        <w:tabs>
          <w:tab w:val="num" w:pos="5040"/>
        </w:tabs>
        <w:ind w:left="5040" w:hanging="360"/>
      </w:pPr>
      <w:rPr>
        <w:rFonts w:ascii="Wingdings" w:hAnsi="Wingdings" w:hint="default"/>
      </w:rPr>
    </w:lvl>
    <w:lvl w:ilvl="7" w:tplc="3C32C8D0" w:tentative="1">
      <w:start w:val="1"/>
      <w:numFmt w:val="bullet"/>
      <w:lvlText w:val=""/>
      <w:lvlJc w:val="left"/>
      <w:pPr>
        <w:tabs>
          <w:tab w:val="num" w:pos="5760"/>
        </w:tabs>
        <w:ind w:left="5760" w:hanging="360"/>
      </w:pPr>
      <w:rPr>
        <w:rFonts w:ascii="Wingdings" w:hAnsi="Wingdings" w:hint="default"/>
      </w:rPr>
    </w:lvl>
    <w:lvl w:ilvl="8" w:tplc="632AD8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00C0"/>
    <w:multiLevelType w:val="hybridMultilevel"/>
    <w:tmpl w:val="477E12F6"/>
    <w:lvl w:ilvl="0" w:tplc="04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C0A9A"/>
    <w:multiLevelType w:val="hybridMultilevel"/>
    <w:tmpl w:val="B824E75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5234E"/>
    <w:multiLevelType w:val="hybridMultilevel"/>
    <w:tmpl w:val="2A80BEF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63754"/>
    <w:multiLevelType w:val="hybridMultilevel"/>
    <w:tmpl w:val="EB00DC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3189B"/>
    <w:multiLevelType w:val="hybridMultilevel"/>
    <w:tmpl w:val="41CC9342"/>
    <w:lvl w:ilvl="0" w:tplc="BC686580">
      <w:start w:val="1"/>
      <w:numFmt w:val="bullet"/>
      <w:lvlText w:val=""/>
      <w:lvlJc w:val="left"/>
      <w:pPr>
        <w:tabs>
          <w:tab w:val="num" w:pos="720"/>
        </w:tabs>
        <w:ind w:left="720" w:hanging="360"/>
      </w:pPr>
      <w:rPr>
        <w:rFonts w:ascii="Wingdings" w:hAnsi="Wingdings" w:hint="default"/>
      </w:rPr>
    </w:lvl>
    <w:lvl w:ilvl="1" w:tplc="64E046E6" w:tentative="1">
      <w:start w:val="1"/>
      <w:numFmt w:val="bullet"/>
      <w:lvlText w:val=""/>
      <w:lvlJc w:val="left"/>
      <w:pPr>
        <w:tabs>
          <w:tab w:val="num" w:pos="1440"/>
        </w:tabs>
        <w:ind w:left="1440" w:hanging="360"/>
      </w:pPr>
      <w:rPr>
        <w:rFonts w:ascii="Wingdings" w:hAnsi="Wingdings" w:hint="default"/>
      </w:rPr>
    </w:lvl>
    <w:lvl w:ilvl="2" w:tplc="6F021B52" w:tentative="1">
      <w:start w:val="1"/>
      <w:numFmt w:val="bullet"/>
      <w:lvlText w:val=""/>
      <w:lvlJc w:val="left"/>
      <w:pPr>
        <w:tabs>
          <w:tab w:val="num" w:pos="2160"/>
        </w:tabs>
        <w:ind w:left="2160" w:hanging="360"/>
      </w:pPr>
      <w:rPr>
        <w:rFonts w:ascii="Wingdings" w:hAnsi="Wingdings" w:hint="default"/>
      </w:rPr>
    </w:lvl>
    <w:lvl w:ilvl="3" w:tplc="646A8B50" w:tentative="1">
      <w:start w:val="1"/>
      <w:numFmt w:val="bullet"/>
      <w:lvlText w:val=""/>
      <w:lvlJc w:val="left"/>
      <w:pPr>
        <w:tabs>
          <w:tab w:val="num" w:pos="2880"/>
        </w:tabs>
        <w:ind w:left="2880" w:hanging="360"/>
      </w:pPr>
      <w:rPr>
        <w:rFonts w:ascii="Wingdings" w:hAnsi="Wingdings" w:hint="default"/>
      </w:rPr>
    </w:lvl>
    <w:lvl w:ilvl="4" w:tplc="1FDEF602" w:tentative="1">
      <w:start w:val="1"/>
      <w:numFmt w:val="bullet"/>
      <w:lvlText w:val=""/>
      <w:lvlJc w:val="left"/>
      <w:pPr>
        <w:tabs>
          <w:tab w:val="num" w:pos="3600"/>
        </w:tabs>
        <w:ind w:left="3600" w:hanging="360"/>
      </w:pPr>
      <w:rPr>
        <w:rFonts w:ascii="Wingdings" w:hAnsi="Wingdings" w:hint="default"/>
      </w:rPr>
    </w:lvl>
    <w:lvl w:ilvl="5" w:tplc="4440CCD6" w:tentative="1">
      <w:start w:val="1"/>
      <w:numFmt w:val="bullet"/>
      <w:lvlText w:val=""/>
      <w:lvlJc w:val="left"/>
      <w:pPr>
        <w:tabs>
          <w:tab w:val="num" w:pos="4320"/>
        </w:tabs>
        <w:ind w:left="4320" w:hanging="360"/>
      </w:pPr>
      <w:rPr>
        <w:rFonts w:ascii="Wingdings" w:hAnsi="Wingdings" w:hint="default"/>
      </w:rPr>
    </w:lvl>
    <w:lvl w:ilvl="6" w:tplc="B2643E8E" w:tentative="1">
      <w:start w:val="1"/>
      <w:numFmt w:val="bullet"/>
      <w:lvlText w:val=""/>
      <w:lvlJc w:val="left"/>
      <w:pPr>
        <w:tabs>
          <w:tab w:val="num" w:pos="5040"/>
        </w:tabs>
        <w:ind w:left="5040" w:hanging="360"/>
      </w:pPr>
      <w:rPr>
        <w:rFonts w:ascii="Wingdings" w:hAnsi="Wingdings" w:hint="default"/>
      </w:rPr>
    </w:lvl>
    <w:lvl w:ilvl="7" w:tplc="46B4B8A8" w:tentative="1">
      <w:start w:val="1"/>
      <w:numFmt w:val="bullet"/>
      <w:lvlText w:val=""/>
      <w:lvlJc w:val="left"/>
      <w:pPr>
        <w:tabs>
          <w:tab w:val="num" w:pos="5760"/>
        </w:tabs>
        <w:ind w:left="5760" w:hanging="360"/>
      </w:pPr>
      <w:rPr>
        <w:rFonts w:ascii="Wingdings" w:hAnsi="Wingdings" w:hint="default"/>
      </w:rPr>
    </w:lvl>
    <w:lvl w:ilvl="8" w:tplc="77A6C1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A37CD"/>
    <w:multiLevelType w:val="hybridMultilevel"/>
    <w:tmpl w:val="3B660EF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3" w15:restartNumberingAfterBreak="0">
    <w:nsid w:val="3AD54766"/>
    <w:multiLevelType w:val="hybridMultilevel"/>
    <w:tmpl w:val="D3F27EB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544"/>
    <w:multiLevelType w:val="hybridMultilevel"/>
    <w:tmpl w:val="6CC6588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72839"/>
    <w:multiLevelType w:val="hybridMultilevel"/>
    <w:tmpl w:val="74FA01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A7079"/>
    <w:multiLevelType w:val="hybridMultilevel"/>
    <w:tmpl w:val="F63CE392"/>
    <w:lvl w:ilvl="0" w:tplc="7C7AEF04">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51343"/>
    <w:multiLevelType w:val="hybridMultilevel"/>
    <w:tmpl w:val="4502B7B0"/>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3" w:tentative="1">
      <w:start w:val="1"/>
      <w:numFmt w:val="bullet"/>
      <w:lvlText w:val="o"/>
      <w:lvlJc w:val="left"/>
      <w:pPr>
        <w:tabs>
          <w:tab w:val="num" w:pos="720"/>
        </w:tabs>
        <w:ind w:left="720" w:hanging="360"/>
      </w:pPr>
      <w:rPr>
        <w:rFonts w:ascii="Courier New" w:hAnsi="Courier New" w:cs="Symbo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D236C74"/>
    <w:multiLevelType w:val="hybridMultilevel"/>
    <w:tmpl w:val="BDDEA90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422AB"/>
    <w:multiLevelType w:val="hybridMultilevel"/>
    <w:tmpl w:val="290050F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0558FE"/>
    <w:multiLevelType w:val="hybridMultilevel"/>
    <w:tmpl w:val="BB52CDCE"/>
    <w:lvl w:ilvl="0" w:tplc="1166CBDE">
      <w:start w:val="1"/>
      <w:numFmt w:val="bullet"/>
      <w:lvlText w:val=""/>
      <w:lvlJc w:val="left"/>
      <w:pPr>
        <w:tabs>
          <w:tab w:val="num" w:pos="720"/>
        </w:tabs>
        <w:ind w:left="720" w:hanging="360"/>
      </w:pPr>
      <w:rPr>
        <w:rFonts w:ascii="Wingdings" w:hAnsi="Wingdings" w:hint="default"/>
      </w:rPr>
    </w:lvl>
    <w:lvl w:ilvl="1" w:tplc="B2ACDC7C" w:tentative="1">
      <w:start w:val="1"/>
      <w:numFmt w:val="bullet"/>
      <w:lvlText w:val=""/>
      <w:lvlJc w:val="left"/>
      <w:pPr>
        <w:tabs>
          <w:tab w:val="num" w:pos="1440"/>
        </w:tabs>
        <w:ind w:left="1440" w:hanging="360"/>
      </w:pPr>
      <w:rPr>
        <w:rFonts w:ascii="Wingdings" w:hAnsi="Wingdings" w:hint="default"/>
      </w:rPr>
    </w:lvl>
    <w:lvl w:ilvl="2" w:tplc="12D00176" w:tentative="1">
      <w:start w:val="1"/>
      <w:numFmt w:val="bullet"/>
      <w:lvlText w:val=""/>
      <w:lvlJc w:val="left"/>
      <w:pPr>
        <w:tabs>
          <w:tab w:val="num" w:pos="2160"/>
        </w:tabs>
        <w:ind w:left="2160" w:hanging="360"/>
      </w:pPr>
      <w:rPr>
        <w:rFonts w:ascii="Wingdings" w:hAnsi="Wingdings" w:hint="default"/>
      </w:rPr>
    </w:lvl>
    <w:lvl w:ilvl="3" w:tplc="69D6C80E" w:tentative="1">
      <w:start w:val="1"/>
      <w:numFmt w:val="bullet"/>
      <w:lvlText w:val=""/>
      <w:lvlJc w:val="left"/>
      <w:pPr>
        <w:tabs>
          <w:tab w:val="num" w:pos="2880"/>
        </w:tabs>
        <w:ind w:left="2880" w:hanging="360"/>
      </w:pPr>
      <w:rPr>
        <w:rFonts w:ascii="Wingdings" w:hAnsi="Wingdings" w:hint="default"/>
      </w:rPr>
    </w:lvl>
    <w:lvl w:ilvl="4" w:tplc="6508623A" w:tentative="1">
      <w:start w:val="1"/>
      <w:numFmt w:val="bullet"/>
      <w:lvlText w:val=""/>
      <w:lvlJc w:val="left"/>
      <w:pPr>
        <w:tabs>
          <w:tab w:val="num" w:pos="3600"/>
        </w:tabs>
        <w:ind w:left="3600" w:hanging="360"/>
      </w:pPr>
      <w:rPr>
        <w:rFonts w:ascii="Wingdings" w:hAnsi="Wingdings" w:hint="default"/>
      </w:rPr>
    </w:lvl>
    <w:lvl w:ilvl="5" w:tplc="DBCCD1D4" w:tentative="1">
      <w:start w:val="1"/>
      <w:numFmt w:val="bullet"/>
      <w:lvlText w:val=""/>
      <w:lvlJc w:val="left"/>
      <w:pPr>
        <w:tabs>
          <w:tab w:val="num" w:pos="4320"/>
        </w:tabs>
        <w:ind w:left="4320" w:hanging="360"/>
      </w:pPr>
      <w:rPr>
        <w:rFonts w:ascii="Wingdings" w:hAnsi="Wingdings" w:hint="default"/>
      </w:rPr>
    </w:lvl>
    <w:lvl w:ilvl="6" w:tplc="5FB2C998" w:tentative="1">
      <w:start w:val="1"/>
      <w:numFmt w:val="bullet"/>
      <w:lvlText w:val=""/>
      <w:lvlJc w:val="left"/>
      <w:pPr>
        <w:tabs>
          <w:tab w:val="num" w:pos="5040"/>
        </w:tabs>
        <w:ind w:left="5040" w:hanging="360"/>
      </w:pPr>
      <w:rPr>
        <w:rFonts w:ascii="Wingdings" w:hAnsi="Wingdings" w:hint="default"/>
      </w:rPr>
    </w:lvl>
    <w:lvl w:ilvl="7" w:tplc="64BACA04" w:tentative="1">
      <w:start w:val="1"/>
      <w:numFmt w:val="bullet"/>
      <w:lvlText w:val=""/>
      <w:lvlJc w:val="left"/>
      <w:pPr>
        <w:tabs>
          <w:tab w:val="num" w:pos="5760"/>
        </w:tabs>
        <w:ind w:left="5760" w:hanging="360"/>
      </w:pPr>
      <w:rPr>
        <w:rFonts w:ascii="Wingdings" w:hAnsi="Wingdings" w:hint="default"/>
      </w:rPr>
    </w:lvl>
    <w:lvl w:ilvl="8" w:tplc="A91C32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56579"/>
    <w:multiLevelType w:val="hybridMultilevel"/>
    <w:tmpl w:val="5CC0C6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3"/>
  </w:num>
  <w:num w:numId="4">
    <w:abstractNumId w:val="20"/>
  </w:num>
  <w:num w:numId="5">
    <w:abstractNumId w:val="11"/>
  </w:num>
  <w:num w:numId="6">
    <w:abstractNumId w:val="6"/>
  </w:num>
  <w:num w:numId="7">
    <w:abstractNumId w:val="17"/>
  </w:num>
  <w:num w:numId="8">
    <w:abstractNumId w:val="4"/>
  </w:num>
  <w:num w:numId="9">
    <w:abstractNumId w:val="2"/>
  </w:num>
  <w:num w:numId="10">
    <w:abstractNumId w:val="9"/>
  </w:num>
  <w:num w:numId="11">
    <w:abstractNumId w:val="19"/>
  </w:num>
  <w:num w:numId="12">
    <w:abstractNumId w:val="8"/>
  </w:num>
  <w:num w:numId="13">
    <w:abstractNumId w:val="5"/>
  </w:num>
  <w:num w:numId="14">
    <w:abstractNumId w:val="21"/>
  </w:num>
  <w:num w:numId="15">
    <w:abstractNumId w:val="12"/>
  </w:num>
  <w:num w:numId="16">
    <w:abstractNumId w:val="7"/>
  </w:num>
  <w:num w:numId="17">
    <w:abstractNumId w:val="22"/>
  </w:num>
  <w:num w:numId="18">
    <w:abstractNumId w:val="1"/>
  </w:num>
  <w:num w:numId="19">
    <w:abstractNumId w:val="13"/>
  </w:num>
  <w:num w:numId="20">
    <w:abstractNumId w:val="10"/>
  </w:num>
  <w:num w:numId="21">
    <w:abstractNumId w:val="15"/>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7F"/>
    <w:rsid w:val="00013664"/>
    <w:rsid w:val="000277C7"/>
    <w:rsid w:val="00034BD4"/>
    <w:rsid w:val="00034D8F"/>
    <w:rsid w:val="0003762F"/>
    <w:rsid w:val="00043226"/>
    <w:rsid w:val="00047719"/>
    <w:rsid w:val="00064F37"/>
    <w:rsid w:val="000658FD"/>
    <w:rsid w:val="0006710B"/>
    <w:rsid w:val="00077F97"/>
    <w:rsid w:val="0008048B"/>
    <w:rsid w:val="0008601C"/>
    <w:rsid w:val="00087EA0"/>
    <w:rsid w:val="000A37BD"/>
    <w:rsid w:val="000B02E4"/>
    <w:rsid w:val="000D1003"/>
    <w:rsid w:val="000E5641"/>
    <w:rsid w:val="000F4BB3"/>
    <w:rsid w:val="001066EE"/>
    <w:rsid w:val="00110956"/>
    <w:rsid w:val="001119D2"/>
    <w:rsid w:val="00116A2A"/>
    <w:rsid w:val="00121CAD"/>
    <w:rsid w:val="0012523A"/>
    <w:rsid w:val="00126E23"/>
    <w:rsid w:val="00145036"/>
    <w:rsid w:val="001452BB"/>
    <w:rsid w:val="001453D1"/>
    <w:rsid w:val="00147F11"/>
    <w:rsid w:val="001501F8"/>
    <w:rsid w:val="00150FCE"/>
    <w:rsid w:val="001521C5"/>
    <w:rsid w:val="00152BB7"/>
    <w:rsid w:val="00153D4B"/>
    <w:rsid w:val="001551E1"/>
    <w:rsid w:val="00166893"/>
    <w:rsid w:val="00166AB9"/>
    <w:rsid w:val="0017411F"/>
    <w:rsid w:val="001759BD"/>
    <w:rsid w:val="001856E2"/>
    <w:rsid w:val="00187D37"/>
    <w:rsid w:val="00196402"/>
    <w:rsid w:val="00197451"/>
    <w:rsid w:val="001A178A"/>
    <w:rsid w:val="001B10D0"/>
    <w:rsid w:val="001C3161"/>
    <w:rsid w:val="001C4A80"/>
    <w:rsid w:val="001E1734"/>
    <w:rsid w:val="001E20E5"/>
    <w:rsid w:val="001E719B"/>
    <w:rsid w:val="001E7E18"/>
    <w:rsid w:val="001F12F3"/>
    <w:rsid w:val="0021010B"/>
    <w:rsid w:val="002134A7"/>
    <w:rsid w:val="002135D3"/>
    <w:rsid w:val="0022148E"/>
    <w:rsid w:val="00222DB7"/>
    <w:rsid w:val="00224720"/>
    <w:rsid w:val="00236E99"/>
    <w:rsid w:val="002479A2"/>
    <w:rsid w:val="00250F34"/>
    <w:rsid w:val="00254E9B"/>
    <w:rsid w:val="0025702E"/>
    <w:rsid w:val="00260B74"/>
    <w:rsid w:val="00270BB5"/>
    <w:rsid w:val="002720F6"/>
    <w:rsid w:val="0029671D"/>
    <w:rsid w:val="002A61E9"/>
    <w:rsid w:val="002C261F"/>
    <w:rsid w:val="002D1554"/>
    <w:rsid w:val="002E3490"/>
    <w:rsid w:val="00304639"/>
    <w:rsid w:val="00305BA8"/>
    <w:rsid w:val="00311739"/>
    <w:rsid w:val="003174B1"/>
    <w:rsid w:val="00317C5E"/>
    <w:rsid w:val="00325839"/>
    <w:rsid w:val="003359E3"/>
    <w:rsid w:val="00335EBE"/>
    <w:rsid w:val="00337BA9"/>
    <w:rsid w:val="0034152E"/>
    <w:rsid w:val="00342643"/>
    <w:rsid w:val="00345BBA"/>
    <w:rsid w:val="00347490"/>
    <w:rsid w:val="003521FC"/>
    <w:rsid w:val="00352ED6"/>
    <w:rsid w:val="00364416"/>
    <w:rsid w:val="00365203"/>
    <w:rsid w:val="00371754"/>
    <w:rsid w:val="003742C7"/>
    <w:rsid w:val="00380DA7"/>
    <w:rsid w:val="003A7B16"/>
    <w:rsid w:val="003B1070"/>
    <w:rsid w:val="003D3BCE"/>
    <w:rsid w:val="003F7A3A"/>
    <w:rsid w:val="004037E0"/>
    <w:rsid w:val="00406D36"/>
    <w:rsid w:val="00406F47"/>
    <w:rsid w:val="00411639"/>
    <w:rsid w:val="004219D9"/>
    <w:rsid w:val="00433366"/>
    <w:rsid w:val="00454E6D"/>
    <w:rsid w:val="00466C6B"/>
    <w:rsid w:val="00467AEC"/>
    <w:rsid w:val="0048318A"/>
    <w:rsid w:val="0049319F"/>
    <w:rsid w:val="00493673"/>
    <w:rsid w:val="00495935"/>
    <w:rsid w:val="004B2446"/>
    <w:rsid w:val="004B38ED"/>
    <w:rsid w:val="004C30C7"/>
    <w:rsid w:val="004C721E"/>
    <w:rsid w:val="004D066C"/>
    <w:rsid w:val="004D104C"/>
    <w:rsid w:val="004E6C9F"/>
    <w:rsid w:val="0052572C"/>
    <w:rsid w:val="00532CC7"/>
    <w:rsid w:val="00542E94"/>
    <w:rsid w:val="00545961"/>
    <w:rsid w:val="0054794E"/>
    <w:rsid w:val="0055201D"/>
    <w:rsid w:val="005632E2"/>
    <w:rsid w:val="00564082"/>
    <w:rsid w:val="00566FD4"/>
    <w:rsid w:val="00572A97"/>
    <w:rsid w:val="00584678"/>
    <w:rsid w:val="00592B39"/>
    <w:rsid w:val="005A5D40"/>
    <w:rsid w:val="005A6240"/>
    <w:rsid w:val="005A6534"/>
    <w:rsid w:val="005A65C8"/>
    <w:rsid w:val="005B26C9"/>
    <w:rsid w:val="005B2858"/>
    <w:rsid w:val="005D3107"/>
    <w:rsid w:val="005E11F0"/>
    <w:rsid w:val="005F645A"/>
    <w:rsid w:val="00601CD0"/>
    <w:rsid w:val="00601DD1"/>
    <w:rsid w:val="00610DA4"/>
    <w:rsid w:val="006111B2"/>
    <w:rsid w:val="00615E8C"/>
    <w:rsid w:val="00625FDC"/>
    <w:rsid w:val="00626C98"/>
    <w:rsid w:val="00640AD0"/>
    <w:rsid w:val="00644261"/>
    <w:rsid w:val="0065460B"/>
    <w:rsid w:val="00656846"/>
    <w:rsid w:val="006646C7"/>
    <w:rsid w:val="00664BBD"/>
    <w:rsid w:val="00672EB2"/>
    <w:rsid w:val="006738EA"/>
    <w:rsid w:val="006917D6"/>
    <w:rsid w:val="00692A19"/>
    <w:rsid w:val="006960F0"/>
    <w:rsid w:val="006A2713"/>
    <w:rsid w:val="006A3CD4"/>
    <w:rsid w:val="006B7713"/>
    <w:rsid w:val="006C2833"/>
    <w:rsid w:val="006C5DBF"/>
    <w:rsid w:val="006C6F6D"/>
    <w:rsid w:val="006D5787"/>
    <w:rsid w:val="006D7BFF"/>
    <w:rsid w:val="006F298E"/>
    <w:rsid w:val="006F3F6F"/>
    <w:rsid w:val="00710752"/>
    <w:rsid w:val="00716550"/>
    <w:rsid w:val="0071743A"/>
    <w:rsid w:val="00727807"/>
    <w:rsid w:val="00732CFE"/>
    <w:rsid w:val="007510B5"/>
    <w:rsid w:val="007541F0"/>
    <w:rsid w:val="007545A1"/>
    <w:rsid w:val="00763504"/>
    <w:rsid w:val="00777E2C"/>
    <w:rsid w:val="00784957"/>
    <w:rsid w:val="007A4D06"/>
    <w:rsid w:val="007B04D4"/>
    <w:rsid w:val="007C4819"/>
    <w:rsid w:val="007C67EB"/>
    <w:rsid w:val="007E3B9F"/>
    <w:rsid w:val="007F6940"/>
    <w:rsid w:val="008055AB"/>
    <w:rsid w:val="00811339"/>
    <w:rsid w:val="00820C39"/>
    <w:rsid w:val="00823C32"/>
    <w:rsid w:val="0083110A"/>
    <w:rsid w:val="00832ED5"/>
    <w:rsid w:val="00857C0C"/>
    <w:rsid w:val="00857EFF"/>
    <w:rsid w:val="00886E21"/>
    <w:rsid w:val="008936A1"/>
    <w:rsid w:val="008A2843"/>
    <w:rsid w:val="008A3562"/>
    <w:rsid w:val="008A71BC"/>
    <w:rsid w:val="008A76EB"/>
    <w:rsid w:val="008B24AD"/>
    <w:rsid w:val="008C1E73"/>
    <w:rsid w:val="008C5E6E"/>
    <w:rsid w:val="008C6A9C"/>
    <w:rsid w:val="008C7564"/>
    <w:rsid w:val="008D1519"/>
    <w:rsid w:val="008D6792"/>
    <w:rsid w:val="008E4CB0"/>
    <w:rsid w:val="008E72CE"/>
    <w:rsid w:val="008F5FC9"/>
    <w:rsid w:val="008F70AF"/>
    <w:rsid w:val="00900E98"/>
    <w:rsid w:val="00906D66"/>
    <w:rsid w:val="0092124C"/>
    <w:rsid w:val="00922927"/>
    <w:rsid w:val="00930A0A"/>
    <w:rsid w:val="009327B5"/>
    <w:rsid w:val="009327FB"/>
    <w:rsid w:val="0093753D"/>
    <w:rsid w:val="009424FD"/>
    <w:rsid w:val="00942BBC"/>
    <w:rsid w:val="0095039D"/>
    <w:rsid w:val="0095339E"/>
    <w:rsid w:val="00953B39"/>
    <w:rsid w:val="00956CA5"/>
    <w:rsid w:val="009714DE"/>
    <w:rsid w:val="00973539"/>
    <w:rsid w:val="00976D04"/>
    <w:rsid w:val="009770C5"/>
    <w:rsid w:val="00985F67"/>
    <w:rsid w:val="00997D18"/>
    <w:rsid w:val="009A5E0F"/>
    <w:rsid w:val="009A72B4"/>
    <w:rsid w:val="009B0FFC"/>
    <w:rsid w:val="009B119E"/>
    <w:rsid w:val="009B3CB7"/>
    <w:rsid w:val="009C0DD5"/>
    <w:rsid w:val="009C1E37"/>
    <w:rsid w:val="009C5FA3"/>
    <w:rsid w:val="009E7B85"/>
    <w:rsid w:val="009F266B"/>
    <w:rsid w:val="009F266D"/>
    <w:rsid w:val="009F3C73"/>
    <w:rsid w:val="009F44D1"/>
    <w:rsid w:val="00A11F09"/>
    <w:rsid w:val="00A13992"/>
    <w:rsid w:val="00A14035"/>
    <w:rsid w:val="00A441BD"/>
    <w:rsid w:val="00A53259"/>
    <w:rsid w:val="00A53B53"/>
    <w:rsid w:val="00A626CE"/>
    <w:rsid w:val="00A74C1C"/>
    <w:rsid w:val="00A85276"/>
    <w:rsid w:val="00A866F5"/>
    <w:rsid w:val="00A9647D"/>
    <w:rsid w:val="00AA394D"/>
    <w:rsid w:val="00AB3F58"/>
    <w:rsid w:val="00AE1B18"/>
    <w:rsid w:val="00AE28DC"/>
    <w:rsid w:val="00AE2EDC"/>
    <w:rsid w:val="00AF09BE"/>
    <w:rsid w:val="00AF0CDF"/>
    <w:rsid w:val="00AF2F7D"/>
    <w:rsid w:val="00AF4611"/>
    <w:rsid w:val="00AF51EA"/>
    <w:rsid w:val="00B071F6"/>
    <w:rsid w:val="00B11315"/>
    <w:rsid w:val="00B3311E"/>
    <w:rsid w:val="00B37AA3"/>
    <w:rsid w:val="00B400D9"/>
    <w:rsid w:val="00B52D4A"/>
    <w:rsid w:val="00B63250"/>
    <w:rsid w:val="00B909A7"/>
    <w:rsid w:val="00B96C68"/>
    <w:rsid w:val="00B97132"/>
    <w:rsid w:val="00B97BAD"/>
    <w:rsid w:val="00BB2C97"/>
    <w:rsid w:val="00BB44CA"/>
    <w:rsid w:val="00BC2FA9"/>
    <w:rsid w:val="00BC76D9"/>
    <w:rsid w:val="00BD549A"/>
    <w:rsid w:val="00BD57AA"/>
    <w:rsid w:val="00BD5B79"/>
    <w:rsid w:val="00BD7076"/>
    <w:rsid w:val="00BE1BEB"/>
    <w:rsid w:val="00BE5476"/>
    <w:rsid w:val="00BE719E"/>
    <w:rsid w:val="00C006C5"/>
    <w:rsid w:val="00C13798"/>
    <w:rsid w:val="00C138BD"/>
    <w:rsid w:val="00C1584C"/>
    <w:rsid w:val="00C21508"/>
    <w:rsid w:val="00C3277F"/>
    <w:rsid w:val="00C354D4"/>
    <w:rsid w:val="00C406EC"/>
    <w:rsid w:val="00C43D90"/>
    <w:rsid w:val="00C7237E"/>
    <w:rsid w:val="00C73BDB"/>
    <w:rsid w:val="00C825C6"/>
    <w:rsid w:val="00C83F6E"/>
    <w:rsid w:val="00C9174F"/>
    <w:rsid w:val="00C92B7C"/>
    <w:rsid w:val="00CA454C"/>
    <w:rsid w:val="00CA7B88"/>
    <w:rsid w:val="00CB096B"/>
    <w:rsid w:val="00CC0C99"/>
    <w:rsid w:val="00CC2EB4"/>
    <w:rsid w:val="00CC2F3B"/>
    <w:rsid w:val="00CD0BED"/>
    <w:rsid w:val="00CD2D05"/>
    <w:rsid w:val="00CE0B34"/>
    <w:rsid w:val="00CE51FC"/>
    <w:rsid w:val="00CF20F7"/>
    <w:rsid w:val="00D00A6F"/>
    <w:rsid w:val="00D03117"/>
    <w:rsid w:val="00D11116"/>
    <w:rsid w:val="00D17145"/>
    <w:rsid w:val="00D20FEC"/>
    <w:rsid w:val="00D30A9D"/>
    <w:rsid w:val="00D33A48"/>
    <w:rsid w:val="00D42515"/>
    <w:rsid w:val="00D4594E"/>
    <w:rsid w:val="00D47730"/>
    <w:rsid w:val="00D51941"/>
    <w:rsid w:val="00D65FA2"/>
    <w:rsid w:val="00D77686"/>
    <w:rsid w:val="00D86820"/>
    <w:rsid w:val="00D970F6"/>
    <w:rsid w:val="00DA311E"/>
    <w:rsid w:val="00DA5B86"/>
    <w:rsid w:val="00DB0550"/>
    <w:rsid w:val="00DB4154"/>
    <w:rsid w:val="00DB44E3"/>
    <w:rsid w:val="00DC2307"/>
    <w:rsid w:val="00DD0D2B"/>
    <w:rsid w:val="00DE40DB"/>
    <w:rsid w:val="00DF518E"/>
    <w:rsid w:val="00E03362"/>
    <w:rsid w:val="00E04F65"/>
    <w:rsid w:val="00E07B91"/>
    <w:rsid w:val="00E10787"/>
    <w:rsid w:val="00E16E51"/>
    <w:rsid w:val="00E17E59"/>
    <w:rsid w:val="00E205A9"/>
    <w:rsid w:val="00E228B1"/>
    <w:rsid w:val="00E22B68"/>
    <w:rsid w:val="00E313BD"/>
    <w:rsid w:val="00E33997"/>
    <w:rsid w:val="00E35F4E"/>
    <w:rsid w:val="00E369EB"/>
    <w:rsid w:val="00E36EED"/>
    <w:rsid w:val="00E44387"/>
    <w:rsid w:val="00E47B1F"/>
    <w:rsid w:val="00E55341"/>
    <w:rsid w:val="00E613F1"/>
    <w:rsid w:val="00E64007"/>
    <w:rsid w:val="00E7214A"/>
    <w:rsid w:val="00E72C2D"/>
    <w:rsid w:val="00EB2516"/>
    <w:rsid w:val="00EB6E03"/>
    <w:rsid w:val="00EE1CE8"/>
    <w:rsid w:val="00EF3256"/>
    <w:rsid w:val="00EF3FE2"/>
    <w:rsid w:val="00EF6148"/>
    <w:rsid w:val="00F03EF3"/>
    <w:rsid w:val="00F04447"/>
    <w:rsid w:val="00F22EC9"/>
    <w:rsid w:val="00F250B8"/>
    <w:rsid w:val="00F27700"/>
    <w:rsid w:val="00F3533A"/>
    <w:rsid w:val="00F3634D"/>
    <w:rsid w:val="00F36B65"/>
    <w:rsid w:val="00F41DBC"/>
    <w:rsid w:val="00F41E3B"/>
    <w:rsid w:val="00F47337"/>
    <w:rsid w:val="00F525A5"/>
    <w:rsid w:val="00F6141E"/>
    <w:rsid w:val="00F627C3"/>
    <w:rsid w:val="00F633F2"/>
    <w:rsid w:val="00F7163B"/>
    <w:rsid w:val="00F7357D"/>
    <w:rsid w:val="00F82E56"/>
    <w:rsid w:val="00F917A8"/>
    <w:rsid w:val="00F91F57"/>
    <w:rsid w:val="00FA2AB3"/>
    <w:rsid w:val="00FD628E"/>
    <w:rsid w:val="00FE0276"/>
    <w:rsid w:val="00FF7CFF"/>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1A91B88-1FF0-47EE-BCBA-D2FEEFE0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79A2"/>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479A2"/>
    <w:pPr>
      <w:spacing w:after="160" w:line="240" w:lineRule="exact"/>
    </w:pPr>
  </w:style>
  <w:style w:type="paragraph" w:styleId="Footer">
    <w:name w:val="footer"/>
    <w:basedOn w:val="Normal"/>
    <w:rsid w:val="002479A2"/>
    <w:pPr>
      <w:tabs>
        <w:tab w:val="center" w:pos="4320"/>
        <w:tab w:val="right" w:pos="8640"/>
      </w:tabs>
    </w:pPr>
  </w:style>
  <w:style w:type="character" w:styleId="PageNumber">
    <w:name w:val="page number"/>
    <w:basedOn w:val="DefaultParagraphFont"/>
    <w:rsid w:val="002479A2"/>
  </w:style>
  <w:style w:type="paragraph" w:styleId="BalloonText">
    <w:name w:val="Balloon Text"/>
    <w:basedOn w:val="Normal"/>
    <w:semiHidden/>
    <w:rsid w:val="002479A2"/>
    <w:rPr>
      <w:rFonts w:ascii="Tahoma" w:hAnsi="Tahoma" w:cs="Tahoma"/>
      <w:sz w:val="16"/>
      <w:szCs w:val="16"/>
    </w:rPr>
  </w:style>
  <w:style w:type="paragraph" w:customStyle="1" w:styleId="Default">
    <w:name w:val="Default"/>
    <w:rsid w:val="002479A2"/>
    <w:pPr>
      <w:autoSpaceDE w:val="0"/>
      <w:autoSpaceDN w:val="0"/>
      <w:adjustRightInd w:val="0"/>
    </w:pPr>
    <w:rPr>
      <w:color w:val="000000"/>
      <w:sz w:val="24"/>
      <w:szCs w:val="24"/>
      <w:lang w:val="en-GB" w:eastAsia="en-GB"/>
    </w:rPr>
  </w:style>
  <w:style w:type="paragraph" w:styleId="Header">
    <w:name w:val="header"/>
    <w:basedOn w:val="Normal"/>
    <w:rsid w:val="002479A2"/>
    <w:pPr>
      <w:tabs>
        <w:tab w:val="center" w:pos="4153"/>
        <w:tab w:val="right" w:pos="8306"/>
      </w:tabs>
    </w:pPr>
  </w:style>
  <w:style w:type="character" w:styleId="Hyperlink">
    <w:name w:val="Hyperlink"/>
    <w:basedOn w:val="DefaultParagraphFont"/>
    <w:rsid w:val="002479A2"/>
    <w:rPr>
      <w:color w:val="0000FF"/>
      <w:u w:val="single"/>
    </w:rPr>
  </w:style>
  <w:style w:type="character" w:styleId="Strong">
    <w:name w:val="Strong"/>
    <w:basedOn w:val="DefaultParagraphFont"/>
    <w:qFormat/>
    <w:rsid w:val="002479A2"/>
    <w:rPr>
      <w:b/>
      <w:bCs/>
    </w:rPr>
  </w:style>
  <w:style w:type="paragraph" w:styleId="PlainText">
    <w:name w:val="Plain Text"/>
    <w:basedOn w:val="Normal"/>
    <w:unhideWhenUsed/>
    <w:rsid w:val="002479A2"/>
    <w:rPr>
      <w:rFonts w:ascii="Bookman Old Style" w:eastAsia="Calibri" w:hAnsi="Bookman Old Style"/>
      <w:sz w:val="22"/>
      <w:szCs w:val="22"/>
    </w:rPr>
  </w:style>
  <w:style w:type="character" w:customStyle="1" w:styleId="CharChar">
    <w:name w:val="Char Char"/>
    <w:basedOn w:val="DefaultParagraphFont"/>
    <w:rsid w:val="002479A2"/>
    <w:rPr>
      <w:rFonts w:ascii="Bookman Old Style" w:eastAsia="Calibri" w:hAnsi="Bookman Old Style"/>
      <w:sz w:val="22"/>
      <w:szCs w:val="22"/>
      <w:lang w:val="en-GB" w:eastAsia="en-GB" w:bidi="ar-SA"/>
    </w:rPr>
  </w:style>
  <w:style w:type="paragraph" w:styleId="ListParagraph">
    <w:name w:val="List Paragraph"/>
    <w:basedOn w:val="Normal"/>
    <w:qFormat/>
    <w:rsid w:val="002479A2"/>
    <w:pPr>
      <w:ind w:left="720"/>
    </w:pPr>
    <w:rPr>
      <w:rFonts w:ascii="Times New Roman" w:hAnsi="Times New Roman"/>
      <w:sz w:val="24"/>
      <w:szCs w:val="24"/>
      <w:lang w:val="en-US" w:eastAsia="en-US"/>
    </w:rPr>
  </w:style>
  <w:style w:type="character" w:styleId="CommentReference">
    <w:name w:val="annotation reference"/>
    <w:basedOn w:val="DefaultParagraphFont"/>
    <w:semiHidden/>
    <w:rsid w:val="002479A2"/>
    <w:rPr>
      <w:sz w:val="16"/>
      <w:szCs w:val="16"/>
    </w:rPr>
  </w:style>
  <w:style w:type="paragraph" w:styleId="CommentText">
    <w:name w:val="annotation text"/>
    <w:basedOn w:val="Normal"/>
    <w:semiHidden/>
    <w:rsid w:val="002479A2"/>
    <w:rPr>
      <w:rFonts w:ascii="Times New Roman" w:hAnsi="Times New Roman"/>
    </w:rPr>
  </w:style>
  <w:style w:type="paragraph" w:styleId="CommentSubject">
    <w:name w:val="annotation subject"/>
    <w:basedOn w:val="CommentText"/>
    <w:next w:val="CommentText"/>
    <w:semiHidden/>
    <w:rsid w:val="002479A2"/>
    <w:rPr>
      <w:rFonts w:ascii="Arial" w:hAnsi="Arial"/>
      <w:b/>
      <w:bCs/>
    </w:rPr>
  </w:style>
  <w:style w:type="paragraph" w:styleId="FootnoteText">
    <w:name w:val="footnote text"/>
    <w:basedOn w:val="Normal"/>
    <w:semiHidden/>
    <w:rsid w:val="002479A2"/>
  </w:style>
  <w:style w:type="character" w:styleId="FootnoteReference">
    <w:name w:val="footnote reference"/>
    <w:basedOn w:val="DefaultParagraphFont"/>
    <w:semiHidden/>
    <w:rsid w:val="002479A2"/>
    <w:rPr>
      <w:vertAlign w:val="superscript"/>
    </w:rPr>
  </w:style>
  <w:style w:type="character" w:styleId="FollowedHyperlink">
    <w:name w:val="FollowedHyperlink"/>
    <w:basedOn w:val="DefaultParagraphFont"/>
    <w:rsid w:val="002479A2"/>
    <w:rPr>
      <w:color w:val="800080"/>
      <w:u w:val="single"/>
    </w:rPr>
  </w:style>
  <w:style w:type="paragraph" w:styleId="BodyText2">
    <w:name w:val="Body Text 2"/>
    <w:basedOn w:val="Normal"/>
    <w:link w:val="BodyText2Char"/>
    <w:uiPriority w:val="99"/>
    <w:rsid w:val="002479A2"/>
    <w:pPr>
      <w:jc w:val="both"/>
    </w:pPr>
    <w:rPr>
      <w:rFonts w:ascii="Times New Roman" w:hAnsi="Times New Roman"/>
      <w:sz w:val="24"/>
      <w:lang w:val="en-US"/>
    </w:rPr>
  </w:style>
  <w:style w:type="character" w:customStyle="1" w:styleId="BodyText2Char">
    <w:name w:val="Body Text 2 Char"/>
    <w:basedOn w:val="DefaultParagraphFont"/>
    <w:link w:val="BodyText2"/>
    <w:uiPriority w:val="99"/>
    <w:rsid w:val="001452BB"/>
    <w:rPr>
      <w:sz w:val="24"/>
      <w:lang w:eastAsia="en-GB"/>
    </w:rPr>
  </w:style>
  <w:style w:type="table" w:styleId="TableGrid">
    <w:name w:val="Table Grid"/>
    <w:basedOn w:val="TableNormal"/>
    <w:uiPriority w:val="59"/>
    <w:rsid w:val="00153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261F"/>
    <w:pPr>
      <w:widowControl w:val="0"/>
      <w:autoSpaceDE w:val="0"/>
      <w:autoSpaceDN w:val="0"/>
      <w:adjustRightInd w:val="0"/>
    </w:pPr>
    <w:rPr>
      <w:rFonts w:ascii="Times New Roman" w:eastAsiaTheme="minorEastAsia" w:hAnsi="Times New Roman"/>
      <w:sz w:val="24"/>
      <w:szCs w:val="24"/>
    </w:rPr>
  </w:style>
  <w:style w:type="character" w:customStyle="1" w:styleId="en">
    <w:name w:val="en"/>
    <w:basedOn w:val="DefaultParagraphFont"/>
    <w:rsid w:val="004C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7180">
      <w:bodyDiv w:val="1"/>
      <w:marLeft w:val="0"/>
      <w:marRight w:val="0"/>
      <w:marTop w:val="0"/>
      <w:marBottom w:val="0"/>
      <w:divBdr>
        <w:top w:val="none" w:sz="0" w:space="0" w:color="auto"/>
        <w:left w:val="none" w:sz="0" w:space="0" w:color="auto"/>
        <w:bottom w:val="none" w:sz="0" w:space="0" w:color="auto"/>
        <w:right w:val="none" w:sz="0" w:space="0" w:color="auto"/>
      </w:divBdr>
    </w:div>
    <w:div w:id="65105250">
      <w:bodyDiv w:val="1"/>
      <w:marLeft w:val="0"/>
      <w:marRight w:val="0"/>
      <w:marTop w:val="0"/>
      <w:marBottom w:val="0"/>
      <w:divBdr>
        <w:top w:val="none" w:sz="0" w:space="0" w:color="auto"/>
        <w:left w:val="none" w:sz="0" w:space="0" w:color="auto"/>
        <w:bottom w:val="none" w:sz="0" w:space="0" w:color="auto"/>
        <w:right w:val="none" w:sz="0" w:space="0" w:color="auto"/>
      </w:divBdr>
    </w:div>
    <w:div w:id="114906620">
      <w:bodyDiv w:val="1"/>
      <w:marLeft w:val="0"/>
      <w:marRight w:val="0"/>
      <w:marTop w:val="0"/>
      <w:marBottom w:val="0"/>
      <w:divBdr>
        <w:top w:val="none" w:sz="0" w:space="0" w:color="auto"/>
        <w:left w:val="none" w:sz="0" w:space="0" w:color="auto"/>
        <w:bottom w:val="none" w:sz="0" w:space="0" w:color="auto"/>
        <w:right w:val="none" w:sz="0" w:space="0" w:color="auto"/>
      </w:divBdr>
      <w:divsChild>
        <w:div w:id="1960987820">
          <w:marLeft w:val="0"/>
          <w:marRight w:val="0"/>
          <w:marTop w:val="0"/>
          <w:marBottom w:val="75"/>
          <w:divBdr>
            <w:top w:val="none" w:sz="0" w:space="0" w:color="auto"/>
            <w:left w:val="none" w:sz="0" w:space="0" w:color="auto"/>
            <w:bottom w:val="none" w:sz="0" w:space="0" w:color="auto"/>
            <w:right w:val="none" w:sz="0" w:space="0" w:color="auto"/>
          </w:divBdr>
          <w:divsChild>
            <w:div w:id="641230685">
              <w:marLeft w:val="0"/>
              <w:marRight w:val="0"/>
              <w:marTop w:val="0"/>
              <w:marBottom w:val="0"/>
              <w:divBdr>
                <w:top w:val="none" w:sz="0" w:space="0" w:color="auto"/>
                <w:left w:val="none" w:sz="0" w:space="0" w:color="auto"/>
                <w:bottom w:val="none" w:sz="0" w:space="0" w:color="auto"/>
                <w:right w:val="none" w:sz="0" w:space="0" w:color="auto"/>
              </w:divBdr>
              <w:divsChild>
                <w:div w:id="991955269">
                  <w:marLeft w:val="0"/>
                  <w:marRight w:val="0"/>
                  <w:marTop w:val="0"/>
                  <w:marBottom w:val="0"/>
                  <w:divBdr>
                    <w:top w:val="none" w:sz="0" w:space="0" w:color="auto"/>
                    <w:left w:val="none" w:sz="0" w:space="0" w:color="auto"/>
                    <w:bottom w:val="none" w:sz="0" w:space="0" w:color="auto"/>
                    <w:right w:val="none" w:sz="0" w:space="0" w:color="auto"/>
                  </w:divBdr>
                  <w:divsChild>
                    <w:div w:id="1066027031">
                      <w:marLeft w:val="0"/>
                      <w:marRight w:val="0"/>
                      <w:marTop w:val="0"/>
                      <w:marBottom w:val="0"/>
                      <w:divBdr>
                        <w:top w:val="none" w:sz="0" w:space="0" w:color="auto"/>
                        <w:left w:val="none" w:sz="0" w:space="0" w:color="auto"/>
                        <w:bottom w:val="none" w:sz="0" w:space="0" w:color="auto"/>
                        <w:right w:val="none" w:sz="0" w:space="0" w:color="auto"/>
                      </w:divBdr>
                      <w:divsChild>
                        <w:div w:id="244148316">
                          <w:marLeft w:val="0"/>
                          <w:marRight w:val="150"/>
                          <w:marTop w:val="30"/>
                          <w:marBottom w:val="0"/>
                          <w:divBdr>
                            <w:top w:val="none" w:sz="0" w:space="0" w:color="auto"/>
                            <w:left w:val="none" w:sz="0" w:space="0" w:color="auto"/>
                            <w:bottom w:val="none" w:sz="0" w:space="0" w:color="auto"/>
                            <w:right w:val="none" w:sz="0" w:space="0" w:color="auto"/>
                          </w:divBdr>
                          <w:divsChild>
                            <w:div w:id="1505587839">
                              <w:marLeft w:val="0"/>
                              <w:marRight w:val="0"/>
                              <w:marTop w:val="0"/>
                              <w:marBottom w:val="0"/>
                              <w:divBdr>
                                <w:top w:val="none" w:sz="0" w:space="0" w:color="auto"/>
                                <w:left w:val="none" w:sz="0" w:space="0" w:color="auto"/>
                                <w:bottom w:val="none" w:sz="0" w:space="0" w:color="auto"/>
                                <w:right w:val="none" w:sz="0" w:space="0" w:color="auto"/>
                              </w:divBdr>
                              <w:divsChild>
                                <w:div w:id="98641414">
                                  <w:marLeft w:val="0"/>
                                  <w:marRight w:val="0"/>
                                  <w:marTop w:val="0"/>
                                  <w:marBottom w:val="0"/>
                                  <w:divBdr>
                                    <w:top w:val="none" w:sz="0" w:space="0" w:color="auto"/>
                                    <w:left w:val="none" w:sz="0" w:space="0" w:color="auto"/>
                                    <w:bottom w:val="none" w:sz="0" w:space="0" w:color="auto"/>
                                    <w:right w:val="none" w:sz="0" w:space="0" w:color="auto"/>
                                  </w:divBdr>
                                  <w:divsChild>
                                    <w:div w:id="1739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22796">
      <w:bodyDiv w:val="1"/>
      <w:marLeft w:val="0"/>
      <w:marRight w:val="0"/>
      <w:marTop w:val="0"/>
      <w:marBottom w:val="0"/>
      <w:divBdr>
        <w:top w:val="none" w:sz="0" w:space="0" w:color="auto"/>
        <w:left w:val="none" w:sz="0" w:space="0" w:color="auto"/>
        <w:bottom w:val="none" w:sz="0" w:space="0" w:color="auto"/>
        <w:right w:val="none" w:sz="0" w:space="0" w:color="auto"/>
      </w:divBdr>
    </w:div>
    <w:div w:id="450711595">
      <w:bodyDiv w:val="1"/>
      <w:marLeft w:val="0"/>
      <w:marRight w:val="0"/>
      <w:marTop w:val="0"/>
      <w:marBottom w:val="0"/>
      <w:divBdr>
        <w:top w:val="none" w:sz="0" w:space="0" w:color="auto"/>
        <w:left w:val="none" w:sz="0" w:space="0" w:color="auto"/>
        <w:bottom w:val="none" w:sz="0" w:space="0" w:color="auto"/>
        <w:right w:val="none" w:sz="0" w:space="0" w:color="auto"/>
      </w:divBdr>
    </w:div>
    <w:div w:id="689599566">
      <w:bodyDiv w:val="1"/>
      <w:marLeft w:val="0"/>
      <w:marRight w:val="0"/>
      <w:marTop w:val="0"/>
      <w:marBottom w:val="0"/>
      <w:divBdr>
        <w:top w:val="none" w:sz="0" w:space="0" w:color="auto"/>
        <w:left w:val="none" w:sz="0" w:space="0" w:color="auto"/>
        <w:bottom w:val="none" w:sz="0" w:space="0" w:color="auto"/>
        <w:right w:val="none" w:sz="0" w:space="0" w:color="auto"/>
      </w:divBdr>
    </w:div>
    <w:div w:id="770592753">
      <w:bodyDiv w:val="1"/>
      <w:marLeft w:val="0"/>
      <w:marRight w:val="0"/>
      <w:marTop w:val="0"/>
      <w:marBottom w:val="0"/>
      <w:divBdr>
        <w:top w:val="none" w:sz="0" w:space="0" w:color="auto"/>
        <w:left w:val="none" w:sz="0" w:space="0" w:color="auto"/>
        <w:bottom w:val="none" w:sz="0" w:space="0" w:color="auto"/>
        <w:right w:val="none" w:sz="0" w:space="0" w:color="auto"/>
      </w:divBdr>
    </w:div>
    <w:div w:id="786387936">
      <w:bodyDiv w:val="1"/>
      <w:marLeft w:val="0"/>
      <w:marRight w:val="0"/>
      <w:marTop w:val="0"/>
      <w:marBottom w:val="0"/>
      <w:divBdr>
        <w:top w:val="none" w:sz="0" w:space="0" w:color="auto"/>
        <w:left w:val="none" w:sz="0" w:space="0" w:color="auto"/>
        <w:bottom w:val="none" w:sz="0" w:space="0" w:color="auto"/>
        <w:right w:val="none" w:sz="0" w:space="0" w:color="auto"/>
      </w:divBdr>
    </w:div>
    <w:div w:id="820073804">
      <w:bodyDiv w:val="1"/>
      <w:marLeft w:val="0"/>
      <w:marRight w:val="0"/>
      <w:marTop w:val="0"/>
      <w:marBottom w:val="0"/>
      <w:divBdr>
        <w:top w:val="none" w:sz="0" w:space="0" w:color="auto"/>
        <w:left w:val="none" w:sz="0" w:space="0" w:color="auto"/>
        <w:bottom w:val="none" w:sz="0" w:space="0" w:color="auto"/>
        <w:right w:val="none" w:sz="0" w:space="0" w:color="auto"/>
      </w:divBdr>
    </w:div>
    <w:div w:id="845555063">
      <w:bodyDiv w:val="1"/>
      <w:marLeft w:val="0"/>
      <w:marRight w:val="0"/>
      <w:marTop w:val="0"/>
      <w:marBottom w:val="0"/>
      <w:divBdr>
        <w:top w:val="none" w:sz="0" w:space="0" w:color="auto"/>
        <w:left w:val="none" w:sz="0" w:space="0" w:color="auto"/>
        <w:bottom w:val="none" w:sz="0" w:space="0" w:color="auto"/>
        <w:right w:val="none" w:sz="0" w:space="0" w:color="auto"/>
      </w:divBdr>
    </w:div>
    <w:div w:id="865407142">
      <w:bodyDiv w:val="1"/>
      <w:marLeft w:val="0"/>
      <w:marRight w:val="0"/>
      <w:marTop w:val="0"/>
      <w:marBottom w:val="0"/>
      <w:divBdr>
        <w:top w:val="none" w:sz="0" w:space="0" w:color="auto"/>
        <w:left w:val="none" w:sz="0" w:space="0" w:color="auto"/>
        <w:bottom w:val="none" w:sz="0" w:space="0" w:color="auto"/>
        <w:right w:val="none" w:sz="0" w:space="0" w:color="auto"/>
      </w:divBdr>
    </w:div>
    <w:div w:id="971642618">
      <w:bodyDiv w:val="1"/>
      <w:marLeft w:val="0"/>
      <w:marRight w:val="0"/>
      <w:marTop w:val="0"/>
      <w:marBottom w:val="0"/>
      <w:divBdr>
        <w:top w:val="none" w:sz="0" w:space="0" w:color="auto"/>
        <w:left w:val="none" w:sz="0" w:space="0" w:color="auto"/>
        <w:bottom w:val="none" w:sz="0" w:space="0" w:color="auto"/>
        <w:right w:val="none" w:sz="0" w:space="0" w:color="auto"/>
      </w:divBdr>
    </w:div>
    <w:div w:id="1066876275">
      <w:bodyDiv w:val="1"/>
      <w:marLeft w:val="0"/>
      <w:marRight w:val="0"/>
      <w:marTop w:val="0"/>
      <w:marBottom w:val="0"/>
      <w:divBdr>
        <w:top w:val="none" w:sz="0" w:space="0" w:color="auto"/>
        <w:left w:val="none" w:sz="0" w:space="0" w:color="auto"/>
        <w:bottom w:val="none" w:sz="0" w:space="0" w:color="auto"/>
        <w:right w:val="none" w:sz="0" w:space="0" w:color="auto"/>
      </w:divBdr>
    </w:div>
    <w:div w:id="1089736934">
      <w:bodyDiv w:val="1"/>
      <w:marLeft w:val="0"/>
      <w:marRight w:val="0"/>
      <w:marTop w:val="0"/>
      <w:marBottom w:val="0"/>
      <w:divBdr>
        <w:top w:val="none" w:sz="0" w:space="0" w:color="auto"/>
        <w:left w:val="none" w:sz="0" w:space="0" w:color="auto"/>
        <w:bottom w:val="none" w:sz="0" w:space="0" w:color="auto"/>
        <w:right w:val="none" w:sz="0" w:space="0" w:color="auto"/>
      </w:divBdr>
    </w:div>
    <w:div w:id="1192647067">
      <w:bodyDiv w:val="1"/>
      <w:marLeft w:val="0"/>
      <w:marRight w:val="0"/>
      <w:marTop w:val="0"/>
      <w:marBottom w:val="0"/>
      <w:divBdr>
        <w:top w:val="none" w:sz="0" w:space="0" w:color="auto"/>
        <w:left w:val="none" w:sz="0" w:space="0" w:color="auto"/>
        <w:bottom w:val="none" w:sz="0" w:space="0" w:color="auto"/>
        <w:right w:val="none" w:sz="0" w:space="0" w:color="auto"/>
      </w:divBdr>
    </w:div>
    <w:div w:id="1242762362">
      <w:bodyDiv w:val="1"/>
      <w:marLeft w:val="0"/>
      <w:marRight w:val="0"/>
      <w:marTop w:val="0"/>
      <w:marBottom w:val="0"/>
      <w:divBdr>
        <w:top w:val="none" w:sz="0" w:space="0" w:color="auto"/>
        <w:left w:val="none" w:sz="0" w:space="0" w:color="auto"/>
        <w:bottom w:val="none" w:sz="0" w:space="0" w:color="auto"/>
        <w:right w:val="none" w:sz="0" w:space="0" w:color="auto"/>
      </w:divBdr>
    </w:div>
    <w:div w:id="1400784218">
      <w:bodyDiv w:val="1"/>
      <w:marLeft w:val="0"/>
      <w:marRight w:val="0"/>
      <w:marTop w:val="0"/>
      <w:marBottom w:val="0"/>
      <w:divBdr>
        <w:top w:val="none" w:sz="0" w:space="0" w:color="auto"/>
        <w:left w:val="none" w:sz="0" w:space="0" w:color="auto"/>
        <w:bottom w:val="none" w:sz="0" w:space="0" w:color="auto"/>
        <w:right w:val="none" w:sz="0" w:space="0" w:color="auto"/>
      </w:divBdr>
    </w:div>
    <w:div w:id="1416784922">
      <w:bodyDiv w:val="1"/>
      <w:marLeft w:val="0"/>
      <w:marRight w:val="0"/>
      <w:marTop w:val="0"/>
      <w:marBottom w:val="0"/>
      <w:divBdr>
        <w:top w:val="none" w:sz="0" w:space="0" w:color="auto"/>
        <w:left w:val="none" w:sz="0" w:space="0" w:color="auto"/>
        <w:bottom w:val="none" w:sz="0" w:space="0" w:color="auto"/>
        <w:right w:val="none" w:sz="0" w:space="0" w:color="auto"/>
      </w:divBdr>
    </w:div>
    <w:div w:id="1617567263">
      <w:bodyDiv w:val="1"/>
      <w:marLeft w:val="0"/>
      <w:marRight w:val="0"/>
      <w:marTop w:val="0"/>
      <w:marBottom w:val="0"/>
      <w:divBdr>
        <w:top w:val="none" w:sz="0" w:space="0" w:color="auto"/>
        <w:left w:val="none" w:sz="0" w:space="0" w:color="auto"/>
        <w:bottom w:val="none" w:sz="0" w:space="0" w:color="auto"/>
        <w:right w:val="none" w:sz="0" w:space="0" w:color="auto"/>
      </w:divBdr>
    </w:div>
    <w:div w:id="1631520896">
      <w:bodyDiv w:val="1"/>
      <w:marLeft w:val="0"/>
      <w:marRight w:val="0"/>
      <w:marTop w:val="0"/>
      <w:marBottom w:val="0"/>
      <w:divBdr>
        <w:top w:val="none" w:sz="0" w:space="0" w:color="auto"/>
        <w:left w:val="none" w:sz="0" w:space="0" w:color="auto"/>
        <w:bottom w:val="none" w:sz="0" w:space="0" w:color="auto"/>
        <w:right w:val="none" w:sz="0" w:space="0" w:color="auto"/>
      </w:divBdr>
    </w:div>
    <w:div w:id="1673609465">
      <w:bodyDiv w:val="1"/>
      <w:marLeft w:val="0"/>
      <w:marRight w:val="0"/>
      <w:marTop w:val="0"/>
      <w:marBottom w:val="0"/>
      <w:divBdr>
        <w:top w:val="none" w:sz="0" w:space="0" w:color="auto"/>
        <w:left w:val="none" w:sz="0" w:space="0" w:color="auto"/>
        <w:bottom w:val="none" w:sz="0" w:space="0" w:color="auto"/>
        <w:right w:val="none" w:sz="0" w:space="0" w:color="auto"/>
      </w:divBdr>
    </w:div>
    <w:div w:id="1755198079">
      <w:bodyDiv w:val="1"/>
      <w:marLeft w:val="0"/>
      <w:marRight w:val="0"/>
      <w:marTop w:val="0"/>
      <w:marBottom w:val="0"/>
      <w:divBdr>
        <w:top w:val="none" w:sz="0" w:space="0" w:color="auto"/>
        <w:left w:val="none" w:sz="0" w:space="0" w:color="auto"/>
        <w:bottom w:val="none" w:sz="0" w:space="0" w:color="auto"/>
        <w:right w:val="none" w:sz="0" w:space="0" w:color="auto"/>
      </w:divBdr>
    </w:div>
    <w:div w:id="1849371113">
      <w:bodyDiv w:val="1"/>
      <w:marLeft w:val="0"/>
      <w:marRight w:val="0"/>
      <w:marTop w:val="0"/>
      <w:marBottom w:val="0"/>
      <w:divBdr>
        <w:top w:val="none" w:sz="0" w:space="0" w:color="auto"/>
        <w:left w:val="none" w:sz="0" w:space="0" w:color="auto"/>
        <w:bottom w:val="none" w:sz="0" w:space="0" w:color="auto"/>
        <w:right w:val="none" w:sz="0" w:space="0" w:color="auto"/>
      </w:divBdr>
    </w:div>
    <w:div w:id="1907109992">
      <w:bodyDiv w:val="1"/>
      <w:marLeft w:val="0"/>
      <w:marRight w:val="0"/>
      <w:marTop w:val="0"/>
      <w:marBottom w:val="0"/>
      <w:divBdr>
        <w:top w:val="none" w:sz="0" w:space="0" w:color="auto"/>
        <w:left w:val="none" w:sz="0" w:space="0" w:color="auto"/>
        <w:bottom w:val="none" w:sz="0" w:space="0" w:color="auto"/>
        <w:right w:val="none" w:sz="0" w:space="0" w:color="auto"/>
      </w:divBdr>
    </w:div>
    <w:div w:id="20841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5ADD-9666-4819-A11B-C7ED00C8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2057</Words>
  <Characters>12039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FOR IMMEDIATE RELEASE                                                                   13 May 2008</vt:lpstr>
    </vt:vector>
  </TitlesOfParts>
  <Company>Cairn Energy India Ltd</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13 May 2008</dc:title>
  <dc:subject/>
  <dc:creator>David</dc:creator>
  <cp:keywords/>
  <dc:description/>
  <cp:lastModifiedBy>Maryth Guild</cp:lastModifiedBy>
  <cp:revision>2</cp:revision>
  <cp:lastPrinted>2019-03-07T10:54:00Z</cp:lastPrinted>
  <dcterms:created xsi:type="dcterms:W3CDTF">2020-07-27T19:19:00Z</dcterms:created>
  <dcterms:modified xsi:type="dcterms:W3CDTF">2020-07-27T19:19:00Z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C0210.329 69393530 2 ROC </vt:lpwstr>
  </property>
  <property fmtid="{D5CDD505-2E9C-101B-9397-08002B2CF9AE}" pid="3" name="AuthorJobDescription">
    <vt:lpwstr>Partner</vt:lpwstr>
  </property>
  <property fmtid="{D5CDD505-2E9C-101B-9397-08002B2CF9AE}" pid="4" name="AuthorDepartment">
    <vt:lpwstr>CF50 - Corporate - Share Schemes</vt:lpwstr>
  </property>
  <property fmtid="{D5CDD505-2E9C-101B-9397-08002B2CF9AE}" pid="5" name="AuthorEmail">
    <vt:lpwstr>rodger.cairns@shepwedd.co.uk</vt:lpwstr>
  </property>
  <property fmtid="{D5CDD505-2E9C-101B-9397-08002B2CF9AE}" pid="6" name="AuthorFaxNumber">
    <vt:lpwstr/>
  </property>
  <property fmtid="{D5CDD505-2E9C-101B-9397-08002B2CF9AE}" pid="7" name="AuthorFullName">
    <vt:lpwstr>Rodger Cairns</vt:lpwstr>
  </property>
  <property fmtid="{D5CDD505-2E9C-101B-9397-08002B2CF9AE}" pid="8" name="AuthorLastName">
    <vt:lpwstr> </vt:lpwstr>
  </property>
  <property fmtid="{D5CDD505-2E9C-101B-9397-08002B2CF9AE}" pid="9" name="AuthorFirstName">
    <vt:lpwstr> </vt:lpwstr>
  </property>
  <property fmtid="{D5CDD505-2E9C-101B-9397-08002B2CF9AE}" pid="10" name="SWDocinfo">
    <vt:lpwstr>24157427 1   </vt:lpwstr>
  </property>
  <property fmtid="{D5CDD505-2E9C-101B-9397-08002B2CF9AE}" pid="11" name="DocRef">
    <vt:lpwstr>C0210.295 24157427_1 LTIP exercise announcement - S&amp;W draft (version 2)</vt:lpwstr>
  </property>
  <property fmtid="{D5CDD505-2E9C-101B-9397-08002B2CF9AE}" pid="12" name="OurRef">
    <vt:lpwstr>C0210.295/ROC</vt:lpwstr>
  </property>
</Properties>
</file>