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713ED" w14:textId="07B5150D" w:rsidR="005D67B3" w:rsidRDefault="005D67B3" w:rsidP="00A67B28">
      <w:pPr>
        <w:spacing w:after="0" w:line="240" w:lineRule="auto"/>
        <w:jc w:val="both"/>
        <w:rPr>
          <w:rFonts w:ascii="Arial" w:eastAsia="Times New Roman" w:hAnsi="Arial" w:cs="Arial"/>
          <w:b/>
          <w:bCs/>
          <w:sz w:val="20"/>
          <w:szCs w:val="20"/>
        </w:rPr>
      </w:pPr>
      <w:bookmarkStart w:id="0" w:name="_GoBack"/>
      <w:bookmarkEnd w:id="0"/>
      <w:r>
        <w:rPr>
          <w:noProof/>
          <w:lang w:eastAsia="en-GB"/>
        </w:rPr>
        <w:drawing>
          <wp:anchor distT="0" distB="0" distL="114300" distR="114300" simplePos="0" relativeHeight="251676672" behindDoc="0" locked="0" layoutInCell="1" allowOverlap="1" wp14:anchorId="78715044" wp14:editId="02577259">
            <wp:simplePos x="0" y="0"/>
            <wp:positionH relativeFrom="column">
              <wp:posOffset>4641850</wp:posOffset>
            </wp:positionH>
            <wp:positionV relativeFrom="paragraph">
              <wp:posOffset>-575945</wp:posOffset>
            </wp:positionV>
            <wp:extent cx="1118235" cy="588645"/>
            <wp:effectExtent l="19050" t="0" r="5715" b="0"/>
            <wp:wrapNone/>
            <wp:docPr id="7" name="Picture 7" descr="CairnPLC%20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irnPLC%20logo_WEB"/>
                    <pic:cNvPicPr>
                      <a:picLocks noChangeAspect="1" noChangeArrowheads="1"/>
                    </pic:cNvPicPr>
                  </pic:nvPicPr>
                  <pic:blipFill>
                    <a:blip r:embed="rId11" cstate="print"/>
                    <a:srcRect/>
                    <a:stretch>
                      <a:fillRect/>
                    </a:stretch>
                  </pic:blipFill>
                  <pic:spPr bwMode="auto">
                    <a:xfrm>
                      <a:off x="0" y="0"/>
                      <a:ext cx="1118235" cy="588645"/>
                    </a:xfrm>
                    <a:prstGeom prst="rect">
                      <a:avLst/>
                    </a:prstGeom>
                    <a:noFill/>
                    <a:ln w="9525">
                      <a:noFill/>
                      <a:miter lim="800000"/>
                      <a:headEnd/>
                      <a:tailEnd/>
                    </a:ln>
                  </pic:spPr>
                </pic:pic>
              </a:graphicData>
            </a:graphic>
          </wp:anchor>
        </w:drawing>
      </w:r>
    </w:p>
    <w:p w14:paraId="48C22B03" w14:textId="77777777" w:rsidR="005D67B3" w:rsidRDefault="005D67B3" w:rsidP="00A67B28">
      <w:pPr>
        <w:spacing w:after="0" w:line="240" w:lineRule="auto"/>
        <w:jc w:val="both"/>
        <w:rPr>
          <w:rFonts w:ascii="Arial" w:eastAsia="Times New Roman" w:hAnsi="Arial" w:cs="Arial"/>
          <w:b/>
          <w:bCs/>
          <w:sz w:val="20"/>
          <w:szCs w:val="20"/>
        </w:rPr>
      </w:pPr>
    </w:p>
    <w:p w14:paraId="4A59E941" w14:textId="63E44F46" w:rsidR="00A67B28" w:rsidRPr="00C10A1B" w:rsidRDefault="00A67B28" w:rsidP="00A67B28">
      <w:pPr>
        <w:spacing w:after="0" w:line="240" w:lineRule="auto"/>
        <w:jc w:val="both"/>
        <w:rPr>
          <w:rFonts w:ascii="Arial" w:eastAsia="Times New Roman" w:hAnsi="Arial" w:cs="Arial"/>
          <w:b/>
          <w:bCs/>
          <w:sz w:val="20"/>
          <w:szCs w:val="20"/>
        </w:rPr>
      </w:pPr>
      <w:r w:rsidRPr="00C10A1B">
        <w:rPr>
          <w:rFonts w:ascii="Arial" w:eastAsia="Times New Roman" w:hAnsi="Arial" w:cs="Arial"/>
          <w:b/>
          <w:bCs/>
          <w:sz w:val="20"/>
          <w:szCs w:val="20"/>
        </w:rPr>
        <w:t>NOT FOR RELEASE, PUBLICATION OR DISTRIBUTION IN, OR INTO, THE UNITED STATES, CANADA, AUSTRALIA OR JAPAN</w:t>
      </w:r>
    </w:p>
    <w:p w14:paraId="76562EE3" w14:textId="77777777" w:rsidR="00A67B28" w:rsidRPr="00C10A1B" w:rsidRDefault="00A67B28" w:rsidP="00A67B28">
      <w:pPr>
        <w:spacing w:after="0" w:line="240" w:lineRule="auto"/>
        <w:jc w:val="both"/>
        <w:rPr>
          <w:rFonts w:ascii="Arial" w:eastAsia="Times New Roman" w:hAnsi="Arial" w:cs="Arial"/>
          <w:b/>
          <w:bCs/>
          <w:sz w:val="20"/>
          <w:szCs w:val="20"/>
        </w:rPr>
      </w:pPr>
    </w:p>
    <w:p w14:paraId="6351B738" w14:textId="40F44E19" w:rsidR="00A67B28" w:rsidRPr="00C10A1B" w:rsidRDefault="00A67B28" w:rsidP="00A67B28">
      <w:pPr>
        <w:spacing w:after="0" w:line="240" w:lineRule="auto"/>
        <w:jc w:val="both"/>
        <w:rPr>
          <w:rFonts w:ascii="Arial" w:eastAsia="Times New Roman" w:hAnsi="Arial" w:cs="Arial"/>
          <w:b/>
          <w:bCs/>
          <w:sz w:val="20"/>
          <w:szCs w:val="20"/>
        </w:rPr>
      </w:pPr>
      <w:r w:rsidRPr="00C10A1B">
        <w:rPr>
          <w:rFonts w:ascii="Arial" w:eastAsia="Times New Roman" w:hAnsi="Arial" w:cs="Arial"/>
          <w:b/>
          <w:bCs/>
          <w:sz w:val="20"/>
          <w:szCs w:val="20"/>
        </w:rPr>
        <w:t xml:space="preserve">THIS ANNOUNCEMENT CONTAINS INSIDE INFORMATION </w:t>
      </w:r>
    </w:p>
    <w:p w14:paraId="7764E6D3" w14:textId="77777777" w:rsidR="00C10A1B" w:rsidRPr="00C10A1B" w:rsidRDefault="00C10A1B" w:rsidP="00A67B28">
      <w:pPr>
        <w:spacing w:after="0" w:line="240" w:lineRule="auto"/>
        <w:jc w:val="both"/>
        <w:rPr>
          <w:rFonts w:ascii="Arial" w:eastAsia="Times New Roman" w:hAnsi="Arial" w:cs="Arial"/>
          <w:b/>
          <w:bCs/>
          <w:sz w:val="20"/>
          <w:szCs w:val="20"/>
        </w:rPr>
      </w:pPr>
    </w:p>
    <w:p w14:paraId="3D1D659F" w14:textId="2BD04A72" w:rsidR="00C10A1B" w:rsidRPr="00C10A1B" w:rsidRDefault="00C10A1B" w:rsidP="00A67B28">
      <w:pPr>
        <w:spacing w:after="0" w:line="240" w:lineRule="auto"/>
        <w:jc w:val="both"/>
        <w:rPr>
          <w:rFonts w:ascii="Arial" w:eastAsia="Times New Roman" w:hAnsi="Arial" w:cs="Arial"/>
          <w:b/>
          <w:bCs/>
          <w:sz w:val="20"/>
          <w:szCs w:val="20"/>
        </w:rPr>
      </w:pPr>
    </w:p>
    <w:p w14:paraId="561C7981" w14:textId="5DBF1046" w:rsidR="00A67B28" w:rsidRPr="00C10A1B" w:rsidRDefault="00C10A1B" w:rsidP="00C10A1B">
      <w:pPr>
        <w:spacing w:after="0" w:line="240" w:lineRule="auto"/>
        <w:jc w:val="both"/>
        <w:rPr>
          <w:rFonts w:ascii="Arial" w:eastAsia="Times New Roman" w:hAnsi="Arial" w:cs="Arial"/>
          <w:b/>
          <w:bCs/>
          <w:sz w:val="20"/>
          <w:szCs w:val="20"/>
        </w:rPr>
      </w:pPr>
      <w:r w:rsidRPr="00C10A1B">
        <w:rPr>
          <w:rFonts w:ascii="Arial" w:eastAsia="Times New Roman" w:hAnsi="Arial" w:cs="Arial"/>
          <w:b/>
          <w:bCs/>
          <w:sz w:val="20"/>
          <w:szCs w:val="20"/>
        </w:rPr>
        <w:t>F</w:t>
      </w:r>
      <w:r w:rsidR="00AA6016">
        <w:rPr>
          <w:rFonts w:ascii="Arial" w:eastAsia="Times New Roman" w:hAnsi="Arial" w:cs="Arial"/>
          <w:b/>
          <w:bCs/>
          <w:sz w:val="20"/>
          <w:szCs w:val="20"/>
        </w:rPr>
        <w:t>OR IMMEDIATE RELEASE</w:t>
      </w:r>
      <w:r w:rsidRPr="00C10A1B">
        <w:rPr>
          <w:rFonts w:ascii="Arial" w:eastAsia="Times New Roman" w:hAnsi="Arial" w:cs="Arial"/>
          <w:b/>
          <w:bCs/>
          <w:sz w:val="20"/>
          <w:szCs w:val="20"/>
        </w:rPr>
        <w:tab/>
      </w:r>
      <w:r w:rsidRPr="00C10A1B">
        <w:rPr>
          <w:rFonts w:ascii="Arial" w:eastAsia="Times New Roman" w:hAnsi="Arial" w:cs="Arial"/>
          <w:b/>
          <w:bCs/>
          <w:sz w:val="20"/>
          <w:szCs w:val="20"/>
        </w:rPr>
        <w:tab/>
      </w:r>
      <w:r w:rsidRPr="00C10A1B">
        <w:rPr>
          <w:rFonts w:ascii="Arial" w:eastAsia="Times New Roman" w:hAnsi="Arial" w:cs="Arial"/>
          <w:b/>
          <w:bCs/>
          <w:sz w:val="20"/>
          <w:szCs w:val="20"/>
        </w:rPr>
        <w:tab/>
      </w:r>
      <w:r w:rsidRPr="00C10A1B">
        <w:rPr>
          <w:rFonts w:ascii="Arial" w:eastAsia="Times New Roman" w:hAnsi="Arial" w:cs="Arial"/>
          <w:b/>
          <w:bCs/>
          <w:sz w:val="20"/>
          <w:szCs w:val="20"/>
        </w:rPr>
        <w:tab/>
      </w:r>
      <w:r w:rsidRPr="00C10A1B">
        <w:rPr>
          <w:rFonts w:ascii="Arial" w:eastAsia="Times New Roman" w:hAnsi="Arial" w:cs="Arial"/>
          <w:b/>
          <w:bCs/>
          <w:sz w:val="20"/>
          <w:szCs w:val="20"/>
        </w:rPr>
        <w:tab/>
      </w:r>
      <w:r w:rsidRPr="00C10A1B">
        <w:rPr>
          <w:rFonts w:ascii="Arial" w:eastAsia="Times New Roman" w:hAnsi="Arial" w:cs="Arial"/>
          <w:b/>
          <w:bCs/>
          <w:sz w:val="20"/>
          <w:szCs w:val="20"/>
        </w:rPr>
        <w:tab/>
      </w:r>
      <w:r w:rsidRPr="00C10A1B">
        <w:rPr>
          <w:rFonts w:ascii="Arial" w:eastAsia="Times New Roman" w:hAnsi="Arial" w:cs="Arial"/>
          <w:b/>
          <w:bCs/>
          <w:sz w:val="20"/>
          <w:szCs w:val="20"/>
        </w:rPr>
        <w:tab/>
      </w:r>
      <w:r w:rsidR="00E764B4" w:rsidRPr="00E764B4">
        <w:rPr>
          <w:rFonts w:ascii="Arial" w:eastAsia="Times New Roman" w:hAnsi="Arial" w:cs="Arial"/>
          <w:b/>
          <w:bCs/>
          <w:sz w:val="20"/>
          <w:szCs w:val="20"/>
        </w:rPr>
        <w:t>27</w:t>
      </w:r>
      <w:r w:rsidR="00B46D2A" w:rsidRPr="00E764B4">
        <w:rPr>
          <w:rFonts w:ascii="Arial" w:eastAsia="Times New Roman" w:hAnsi="Arial" w:cs="Arial"/>
          <w:b/>
          <w:bCs/>
          <w:sz w:val="20"/>
          <w:szCs w:val="20"/>
        </w:rPr>
        <w:t xml:space="preserve"> July</w:t>
      </w:r>
      <w:r w:rsidR="00A67B28" w:rsidRPr="00E764B4">
        <w:rPr>
          <w:rFonts w:ascii="Arial" w:eastAsia="Times New Roman" w:hAnsi="Arial" w:cs="Arial"/>
          <w:b/>
          <w:bCs/>
          <w:sz w:val="20"/>
          <w:szCs w:val="20"/>
        </w:rPr>
        <w:t xml:space="preserve"> 20</w:t>
      </w:r>
      <w:r w:rsidR="00BF232D" w:rsidRPr="00E764B4">
        <w:rPr>
          <w:rFonts w:ascii="Arial" w:eastAsia="Times New Roman" w:hAnsi="Arial" w:cs="Arial"/>
          <w:b/>
          <w:bCs/>
          <w:sz w:val="20"/>
          <w:szCs w:val="20"/>
        </w:rPr>
        <w:t>20</w:t>
      </w:r>
    </w:p>
    <w:p w14:paraId="24990ADC" w14:textId="77777777" w:rsidR="00A67B28" w:rsidRPr="00C10A1B" w:rsidRDefault="00A67B28" w:rsidP="00A67B28">
      <w:pPr>
        <w:spacing w:after="0" w:line="240" w:lineRule="auto"/>
        <w:jc w:val="both"/>
        <w:rPr>
          <w:rFonts w:ascii="Arial" w:eastAsia="Times New Roman" w:hAnsi="Arial" w:cs="Arial"/>
          <w:sz w:val="20"/>
          <w:szCs w:val="20"/>
        </w:rPr>
      </w:pPr>
      <w:r w:rsidRPr="00C10A1B">
        <w:rPr>
          <w:rFonts w:ascii="Arial" w:eastAsia="Times New Roman" w:hAnsi="Arial" w:cs="Arial"/>
          <w:sz w:val="20"/>
          <w:szCs w:val="20"/>
        </w:rPr>
        <w:t>                               </w:t>
      </w:r>
    </w:p>
    <w:p w14:paraId="1E4258A4" w14:textId="00D3EF96" w:rsidR="00A67B28" w:rsidRPr="00C10A1B" w:rsidRDefault="00A67B28" w:rsidP="00A67B28">
      <w:pPr>
        <w:spacing w:after="0" w:line="240" w:lineRule="auto"/>
        <w:jc w:val="center"/>
        <w:rPr>
          <w:rFonts w:ascii="Arial" w:eastAsia="Times New Roman" w:hAnsi="Arial" w:cs="Arial"/>
          <w:b/>
          <w:bCs/>
          <w:sz w:val="20"/>
          <w:szCs w:val="20"/>
        </w:rPr>
      </w:pPr>
      <w:bookmarkStart w:id="1" w:name="_Hlk40721595"/>
      <w:r w:rsidRPr="00C10A1B">
        <w:rPr>
          <w:rFonts w:ascii="Arial" w:eastAsia="Times New Roman" w:hAnsi="Arial" w:cs="Arial"/>
          <w:b/>
          <w:bCs/>
          <w:sz w:val="20"/>
          <w:szCs w:val="20"/>
        </w:rPr>
        <w:t>CAIRN ENERGY PLC ("Cairn")</w:t>
      </w:r>
    </w:p>
    <w:p w14:paraId="5D9AFD85" w14:textId="77777777" w:rsidR="00C10A1B" w:rsidRPr="00C10A1B" w:rsidRDefault="00C10A1B" w:rsidP="00A67B28">
      <w:pPr>
        <w:spacing w:after="0" w:line="240" w:lineRule="auto"/>
        <w:jc w:val="center"/>
        <w:rPr>
          <w:rFonts w:ascii="Arial" w:eastAsia="Times New Roman" w:hAnsi="Arial" w:cs="Arial"/>
          <w:b/>
          <w:bCs/>
          <w:sz w:val="20"/>
          <w:szCs w:val="20"/>
        </w:rPr>
      </w:pPr>
    </w:p>
    <w:p w14:paraId="054FA45F" w14:textId="59410717" w:rsidR="00FB71CD" w:rsidRPr="00024F22" w:rsidRDefault="001945F6" w:rsidP="00910798">
      <w:pPr>
        <w:spacing w:after="0" w:line="240" w:lineRule="auto"/>
        <w:ind w:left="360"/>
        <w:jc w:val="center"/>
        <w:rPr>
          <w:rFonts w:ascii="Arial" w:eastAsia="Times New Roman" w:hAnsi="Arial" w:cs="Arial"/>
          <w:b/>
          <w:sz w:val="20"/>
          <w:szCs w:val="20"/>
        </w:rPr>
      </w:pPr>
      <w:r w:rsidRPr="00024F22">
        <w:rPr>
          <w:rFonts w:ascii="Arial" w:eastAsia="Times New Roman" w:hAnsi="Arial" w:cs="Arial"/>
          <w:b/>
          <w:sz w:val="20"/>
          <w:szCs w:val="20"/>
        </w:rPr>
        <w:t>Sale of Senegal interests and planned special dividend of at least</w:t>
      </w:r>
      <w:r w:rsidR="00C10A1B" w:rsidRPr="00024F22">
        <w:rPr>
          <w:rFonts w:ascii="Arial" w:eastAsia="Times New Roman" w:hAnsi="Arial" w:cs="Arial"/>
          <w:b/>
          <w:sz w:val="20"/>
          <w:szCs w:val="20"/>
        </w:rPr>
        <w:t xml:space="preserve"> </w:t>
      </w:r>
      <w:r w:rsidR="00076CC4" w:rsidRPr="00E764B4">
        <w:rPr>
          <w:rFonts w:ascii="Arial" w:eastAsia="Times New Roman" w:hAnsi="Arial" w:cs="Arial"/>
          <w:b/>
          <w:sz w:val="20"/>
          <w:szCs w:val="20"/>
        </w:rPr>
        <w:t>US</w:t>
      </w:r>
      <w:r w:rsidR="0020636F" w:rsidRPr="00E764B4">
        <w:rPr>
          <w:rFonts w:ascii="Arial" w:eastAsia="Times New Roman" w:hAnsi="Arial" w:cs="Arial"/>
          <w:b/>
          <w:sz w:val="20"/>
          <w:szCs w:val="20"/>
        </w:rPr>
        <w:t>$</w:t>
      </w:r>
      <w:r w:rsidR="00E764B4">
        <w:rPr>
          <w:rFonts w:ascii="Arial" w:eastAsia="Times New Roman" w:hAnsi="Arial" w:cs="Arial"/>
          <w:b/>
          <w:sz w:val="20"/>
          <w:szCs w:val="20"/>
        </w:rPr>
        <w:t>250</w:t>
      </w:r>
      <w:r w:rsidR="00127FD5">
        <w:rPr>
          <w:rFonts w:ascii="Arial" w:eastAsia="Times New Roman" w:hAnsi="Arial" w:cs="Arial"/>
          <w:b/>
          <w:sz w:val="20"/>
          <w:szCs w:val="20"/>
        </w:rPr>
        <w:t xml:space="preserve"> </w:t>
      </w:r>
      <w:r w:rsidR="0020636F" w:rsidRPr="00E764B4">
        <w:rPr>
          <w:rFonts w:ascii="Arial" w:eastAsia="Times New Roman" w:hAnsi="Arial" w:cs="Arial"/>
          <w:b/>
          <w:sz w:val="20"/>
          <w:szCs w:val="20"/>
        </w:rPr>
        <w:t>m</w:t>
      </w:r>
      <w:bookmarkStart w:id="2" w:name="_Hlk29823666"/>
      <w:r w:rsidR="00E764B4">
        <w:rPr>
          <w:rFonts w:ascii="Arial" w:eastAsia="Times New Roman" w:hAnsi="Arial" w:cs="Arial"/>
          <w:b/>
          <w:sz w:val="20"/>
          <w:szCs w:val="20"/>
        </w:rPr>
        <w:t>illion</w:t>
      </w:r>
      <w:r w:rsidR="0008430E" w:rsidRPr="00024F22">
        <w:rPr>
          <w:rFonts w:ascii="Arial" w:eastAsia="Times New Roman" w:hAnsi="Arial" w:cs="Arial"/>
          <w:b/>
          <w:bCs/>
          <w:sz w:val="20"/>
          <w:szCs w:val="20"/>
        </w:rPr>
        <w:t xml:space="preserve"> </w:t>
      </w:r>
      <w:bookmarkEnd w:id="2"/>
    </w:p>
    <w:p w14:paraId="6563AB8F" w14:textId="7C8A47DA" w:rsidR="00A67B28" w:rsidRPr="00024F22" w:rsidRDefault="00A67B28" w:rsidP="00A67B28">
      <w:pPr>
        <w:spacing w:after="0" w:line="240" w:lineRule="auto"/>
        <w:jc w:val="both"/>
        <w:rPr>
          <w:rFonts w:ascii="Arial" w:eastAsia="Times New Roman" w:hAnsi="Arial" w:cs="Arial"/>
          <w:sz w:val="20"/>
          <w:szCs w:val="20"/>
        </w:rPr>
      </w:pPr>
      <w:r w:rsidRPr="00024F22">
        <w:rPr>
          <w:rFonts w:ascii="Arial" w:eastAsia="Times New Roman" w:hAnsi="Arial" w:cs="Arial"/>
          <w:sz w:val="20"/>
          <w:szCs w:val="20"/>
        </w:rPr>
        <w:t> </w:t>
      </w:r>
    </w:p>
    <w:p w14:paraId="2A0C05B4" w14:textId="01D100C7" w:rsidR="0020636F" w:rsidRPr="00C10A1B" w:rsidRDefault="008931A0" w:rsidP="00C10A1B">
      <w:pPr>
        <w:tabs>
          <w:tab w:val="left" w:pos="2835"/>
        </w:tabs>
        <w:spacing w:before="240"/>
        <w:jc w:val="both"/>
        <w:rPr>
          <w:rFonts w:ascii="Arial" w:eastAsia="Times New Roman" w:hAnsi="Arial" w:cs="Arial"/>
          <w:iCs/>
          <w:sz w:val="20"/>
          <w:szCs w:val="20"/>
        </w:rPr>
      </w:pPr>
      <w:r w:rsidRPr="00C10A1B">
        <w:rPr>
          <w:rFonts w:ascii="Arial" w:eastAsia="Times New Roman" w:hAnsi="Arial" w:cs="Arial"/>
          <w:sz w:val="20"/>
          <w:szCs w:val="20"/>
        </w:rPr>
        <w:t>Cairn is pleased to announce that it has entered int</w:t>
      </w:r>
      <w:r w:rsidR="009D2320" w:rsidRPr="00C10A1B">
        <w:rPr>
          <w:rFonts w:ascii="Arial" w:eastAsia="Times New Roman" w:hAnsi="Arial" w:cs="Arial"/>
          <w:sz w:val="20"/>
          <w:szCs w:val="20"/>
        </w:rPr>
        <w:t>o</w:t>
      </w:r>
      <w:r w:rsidRPr="00C10A1B">
        <w:rPr>
          <w:rFonts w:ascii="Arial" w:eastAsia="Times New Roman" w:hAnsi="Arial" w:cs="Arial"/>
          <w:sz w:val="20"/>
          <w:szCs w:val="20"/>
        </w:rPr>
        <w:t xml:space="preserve"> a</w:t>
      </w:r>
      <w:r w:rsidR="009D2320" w:rsidRPr="00C10A1B">
        <w:rPr>
          <w:rFonts w:ascii="Arial" w:eastAsia="Times New Roman" w:hAnsi="Arial" w:cs="Arial"/>
          <w:sz w:val="20"/>
          <w:szCs w:val="20"/>
        </w:rPr>
        <w:t>n</w:t>
      </w:r>
      <w:r w:rsidRPr="00C10A1B">
        <w:rPr>
          <w:rFonts w:ascii="Arial" w:eastAsia="Times New Roman" w:hAnsi="Arial" w:cs="Arial"/>
          <w:sz w:val="20"/>
          <w:szCs w:val="20"/>
        </w:rPr>
        <w:t xml:space="preserve"> agreement to sell to </w:t>
      </w:r>
      <w:r w:rsidR="00600193" w:rsidRPr="00C10A1B">
        <w:rPr>
          <w:rFonts w:ascii="Arial" w:hAnsi="Arial" w:cs="Arial"/>
          <w:sz w:val="20"/>
          <w:szCs w:val="20"/>
        </w:rPr>
        <w:t>LUKOIL</w:t>
      </w:r>
      <w:r w:rsidR="00DF44C9" w:rsidRPr="00C10A1B">
        <w:rPr>
          <w:rFonts w:ascii="Arial" w:eastAsia="Times New Roman" w:hAnsi="Arial" w:cs="Arial"/>
          <w:sz w:val="20"/>
          <w:szCs w:val="20"/>
        </w:rPr>
        <w:t xml:space="preserve"> </w:t>
      </w:r>
      <w:r w:rsidR="006D4309" w:rsidRPr="00C10A1B">
        <w:rPr>
          <w:rFonts w:ascii="Arial" w:eastAsia="Times New Roman" w:hAnsi="Arial" w:cs="Arial"/>
          <w:sz w:val="20"/>
          <w:szCs w:val="20"/>
        </w:rPr>
        <w:t>its entire</w:t>
      </w:r>
      <w:r w:rsidR="00DF44C9" w:rsidRPr="00C10A1B">
        <w:rPr>
          <w:rFonts w:ascii="Arial" w:eastAsia="Times New Roman" w:hAnsi="Arial" w:cs="Arial"/>
          <w:sz w:val="20"/>
          <w:szCs w:val="20"/>
        </w:rPr>
        <w:t xml:space="preserve"> </w:t>
      </w:r>
      <w:r w:rsidR="00BF232D" w:rsidRPr="00C10A1B">
        <w:rPr>
          <w:rFonts w:ascii="Arial" w:eastAsia="Times New Roman" w:hAnsi="Arial" w:cs="Arial"/>
          <w:sz w:val="20"/>
          <w:szCs w:val="20"/>
        </w:rPr>
        <w:t>4</w:t>
      </w:r>
      <w:r w:rsidR="00DF44C9" w:rsidRPr="00C10A1B">
        <w:rPr>
          <w:rFonts w:ascii="Arial" w:eastAsia="Times New Roman" w:hAnsi="Arial" w:cs="Arial"/>
          <w:sz w:val="20"/>
          <w:szCs w:val="20"/>
        </w:rPr>
        <w:t xml:space="preserve">0 per cent interest in the </w:t>
      </w:r>
      <w:proofErr w:type="spellStart"/>
      <w:r w:rsidR="00C10A1B" w:rsidRPr="00C10A1B">
        <w:rPr>
          <w:rFonts w:ascii="Arial" w:hAnsi="Arial" w:cs="Arial"/>
          <w:iCs/>
          <w:sz w:val="20"/>
          <w:szCs w:val="20"/>
        </w:rPr>
        <w:t>Rufisque</w:t>
      </w:r>
      <w:proofErr w:type="spellEnd"/>
      <w:r w:rsidR="00C10A1B" w:rsidRPr="00C10A1B">
        <w:rPr>
          <w:rFonts w:ascii="Arial" w:hAnsi="Arial" w:cs="Arial"/>
          <w:iCs/>
          <w:sz w:val="20"/>
          <w:szCs w:val="20"/>
        </w:rPr>
        <w:t xml:space="preserve"> Offshore, </w:t>
      </w:r>
      <w:proofErr w:type="spellStart"/>
      <w:r w:rsidR="00C10A1B" w:rsidRPr="00C10A1B">
        <w:rPr>
          <w:rFonts w:ascii="Arial" w:hAnsi="Arial" w:cs="Arial"/>
          <w:iCs/>
          <w:sz w:val="20"/>
          <w:szCs w:val="20"/>
        </w:rPr>
        <w:t>Sangomar</w:t>
      </w:r>
      <w:proofErr w:type="spellEnd"/>
      <w:r w:rsidR="00C10A1B" w:rsidRPr="00C10A1B">
        <w:rPr>
          <w:rFonts w:ascii="Arial" w:hAnsi="Arial" w:cs="Arial"/>
          <w:iCs/>
          <w:sz w:val="20"/>
          <w:szCs w:val="20"/>
        </w:rPr>
        <w:t xml:space="preserve"> Offshore and </w:t>
      </w:r>
      <w:proofErr w:type="spellStart"/>
      <w:r w:rsidR="00C10A1B" w:rsidRPr="00C10A1B">
        <w:rPr>
          <w:rFonts w:ascii="Arial" w:hAnsi="Arial" w:cs="Arial"/>
          <w:iCs/>
          <w:sz w:val="20"/>
          <w:szCs w:val="20"/>
        </w:rPr>
        <w:t>Sangomar</w:t>
      </w:r>
      <w:proofErr w:type="spellEnd"/>
      <w:r w:rsidR="00C10A1B" w:rsidRPr="00C10A1B">
        <w:rPr>
          <w:rFonts w:ascii="Arial" w:hAnsi="Arial" w:cs="Arial"/>
          <w:iCs/>
          <w:sz w:val="20"/>
          <w:szCs w:val="20"/>
        </w:rPr>
        <w:t xml:space="preserve"> Deep Offshore (</w:t>
      </w:r>
      <w:r w:rsidR="00DF44C9" w:rsidRPr="00C10A1B">
        <w:rPr>
          <w:rFonts w:ascii="Arial" w:eastAsia="Times New Roman" w:hAnsi="Arial" w:cs="Arial"/>
          <w:sz w:val="20"/>
          <w:szCs w:val="20"/>
        </w:rPr>
        <w:t>RSSD</w:t>
      </w:r>
      <w:r w:rsidR="00C10A1B" w:rsidRPr="00C10A1B">
        <w:rPr>
          <w:rFonts w:ascii="Arial" w:eastAsia="Times New Roman" w:hAnsi="Arial" w:cs="Arial"/>
          <w:sz w:val="20"/>
          <w:szCs w:val="20"/>
        </w:rPr>
        <w:t>)</w:t>
      </w:r>
      <w:r w:rsidR="00D03F29" w:rsidRPr="00C10A1B">
        <w:rPr>
          <w:rFonts w:ascii="Arial" w:eastAsia="Times New Roman" w:hAnsi="Arial" w:cs="Arial"/>
          <w:sz w:val="20"/>
          <w:szCs w:val="20"/>
        </w:rPr>
        <w:t xml:space="preserve"> Contract Area, including the </w:t>
      </w:r>
      <w:proofErr w:type="spellStart"/>
      <w:r w:rsidR="00D03F29" w:rsidRPr="00C10A1B">
        <w:rPr>
          <w:rFonts w:ascii="Arial" w:eastAsia="Times New Roman" w:hAnsi="Arial" w:cs="Arial"/>
          <w:sz w:val="20"/>
          <w:szCs w:val="20"/>
        </w:rPr>
        <w:t>Sangomar</w:t>
      </w:r>
      <w:proofErr w:type="spellEnd"/>
      <w:r w:rsidR="00D03F29" w:rsidRPr="00C10A1B">
        <w:rPr>
          <w:rFonts w:ascii="Arial" w:eastAsia="Times New Roman" w:hAnsi="Arial" w:cs="Arial"/>
          <w:sz w:val="20"/>
          <w:szCs w:val="20"/>
        </w:rPr>
        <w:t xml:space="preserve"> development,</w:t>
      </w:r>
      <w:r w:rsidR="00DF44C9" w:rsidRPr="00C10A1B">
        <w:rPr>
          <w:rFonts w:ascii="Arial" w:eastAsia="Times New Roman" w:hAnsi="Arial" w:cs="Arial"/>
          <w:sz w:val="20"/>
          <w:szCs w:val="20"/>
        </w:rPr>
        <w:t xml:space="preserve"> offshore Senegal</w:t>
      </w:r>
      <w:r w:rsidR="008A5F66" w:rsidRPr="00C10A1B">
        <w:rPr>
          <w:rFonts w:ascii="Arial" w:eastAsia="Times New Roman" w:hAnsi="Arial" w:cs="Arial"/>
          <w:sz w:val="20"/>
          <w:szCs w:val="20"/>
        </w:rPr>
        <w:t>,</w:t>
      </w:r>
      <w:r w:rsidR="00DF44C9" w:rsidRPr="00C10A1B">
        <w:rPr>
          <w:rFonts w:ascii="Arial" w:eastAsia="Times New Roman" w:hAnsi="Arial" w:cs="Arial"/>
          <w:sz w:val="20"/>
          <w:szCs w:val="20"/>
        </w:rPr>
        <w:t xml:space="preserve"> for a </w:t>
      </w:r>
      <w:r w:rsidR="00B750CE" w:rsidRPr="00C10A1B">
        <w:rPr>
          <w:rFonts w:ascii="Arial" w:eastAsia="Times New Roman" w:hAnsi="Arial" w:cs="Arial"/>
          <w:sz w:val="20"/>
          <w:szCs w:val="20"/>
        </w:rPr>
        <w:t xml:space="preserve">cash </w:t>
      </w:r>
      <w:r w:rsidR="00DF44C9" w:rsidRPr="00C10A1B">
        <w:rPr>
          <w:rFonts w:ascii="Arial" w:eastAsia="Times New Roman" w:hAnsi="Arial" w:cs="Arial"/>
          <w:sz w:val="20"/>
          <w:szCs w:val="20"/>
        </w:rPr>
        <w:t>consideration of</w:t>
      </w:r>
      <w:r w:rsidR="00E21345" w:rsidRPr="00C10A1B">
        <w:rPr>
          <w:rFonts w:ascii="Arial" w:eastAsia="Times New Roman" w:hAnsi="Arial" w:cs="Arial"/>
          <w:sz w:val="20"/>
          <w:szCs w:val="20"/>
        </w:rPr>
        <w:t xml:space="preserve"> </w:t>
      </w:r>
      <w:r w:rsidR="00016CDC" w:rsidRPr="00C10A1B">
        <w:rPr>
          <w:rFonts w:ascii="Arial" w:eastAsia="Times New Roman" w:hAnsi="Arial" w:cs="Arial"/>
          <w:sz w:val="20"/>
          <w:szCs w:val="20"/>
        </w:rPr>
        <w:t xml:space="preserve">up to </w:t>
      </w:r>
      <w:r w:rsidR="00DF44C9" w:rsidRPr="00C10A1B">
        <w:rPr>
          <w:rFonts w:ascii="Arial" w:eastAsia="Times New Roman" w:hAnsi="Arial" w:cs="Arial"/>
          <w:sz w:val="20"/>
          <w:szCs w:val="20"/>
        </w:rPr>
        <w:t>US</w:t>
      </w:r>
      <w:r w:rsidR="00526E66" w:rsidRPr="00C10A1B">
        <w:rPr>
          <w:rFonts w:ascii="Arial" w:eastAsia="Times New Roman" w:hAnsi="Arial" w:cs="Arial"/>
          <w:sz w:val="20"/>
          <w:szCs w:val="20"/>
        </w:rPr>
        <w:t>$</w:t>
      </w:r>
      <w:r w:rsidR="00B46D2A" w:rsidRPr="00C10A1B">
        <w:rPr>
          <w:rFonts w:ascii="Arial" w:eastAsia="Times New Roman" w:hAnsi="Arial" w:cs="Arial"/>
          <w:sz w:val="20"/>
          <w:szCs w:val="20"/>
        </w:rPr>
        <w:t>400</w:t>
      </w:r>
      <w:r w:rsidR="00526E66" w:rsidRPr="00C10A1B">
        <w:rPr>
          <w:rFonts w:ascii="Arial" w:eastAsia="Times New Roman" w:hAnsi="Arial" w:cs="Arial"/>
          <w:sz w:val="20"/>
          <w:szCs w:val="20"/>
        </w:rPr>
        <w:t xml:space="preserve"> </w:t>
      </w:r>
      <w:r w:rsidR="00DF44C9" w:rsidRPr="00C10A1B">
        <w:rPr>
          <w:rFonts w:ascii="Arial" w:eastAsia="Times New Roman" w:hAnsi="Arial" w:cs="Arial"/>
          <w:sz w:val="20"/>
          <w:szCs w:val="20"/>
        </w:rPr>
        <w:t>million</w:t>
      </w:r>
      <w:r w:rsidR="00AA3F33">
        <w:rPr>
          <w:rFonts w:ascii="Arial" w:eastAsia="Times New Roman" w:hAnsi="Arial" w:cs="Arial"/>
          <w:sz w:val="20"/>
          <w:szCs w:val="20"/>
        </w:rPr>
        <w:t xml:space="preserve"> (m)</w:t>
      </w:r>
      <w:r w:rsidR="00817E42" w:rsidRPr="00C10A1B">
        <w:rPr>
          <w:rFonts w:ascii="Arial" w:eastAsia="Times New Roman" w:hAnsi="Arial" w:cs="Arial"/>
          <w:sz w:val="20"/>
          <w:szCs w:val="20"/>
        </w:rPr>
        <w:t xml:space="preserve"> plus reimbursement of development capital expenditure incurred since 1</w:t>
      </w:r>
      <w:r w:rsidR="00817E42" w:rsidRPr="00C10A1B">
        <w:rPr>
          <w:rFonts w:ascii="Arial" w:eastAsia="Times New Roman" w:hAnsi="Arial" w:cs="Arial"/>
          <w:sz w:val="20"/>
          <w:szCs w:val="20"/>
          <w:vertAlign w:val="superscript"/>
        </w:rPr>
        <w:t>st</w:t>
      </w:r>
      <w:r w:rsidR="00817E42" w:rsidRPr="00C10A1B">
        <w:rPr>
          <w:rFonts w:ascii="Arial" w:eastAsia="Times New Roman" w:hAnsi="Arial" w:cs="Arial"/>
          <w:sz w:val="20"/>
          <w:szCs w:val="20"/>
        </w:rPr>
        <w:t xml:space="preserve"> January 2020</w:t>
      </w:r>
      <w:r w:rsidR="00DF44C9" w:rsidRPr="00C10A1B">
        <w:rPr>
          <w:rFonts w:ascii="Arial" w:eastAsia="Times New Roman" w:hAnsi="Arial" w:cs="Arial"/>
          <w:sz w:val="20"/>
          <w:szCs w:val="20"/>
        </w:rPr>
        <w:t>.</w:t>
      </w:r>
      <w:r w:rsidR="0020636F" w:rsidRPr="00C10A1B">
        <w:rPr>
          <w:rFonts w:ascii="Arial" w:eastAsia="Times New Roman" w:hAnsi="Arial" w:cs="Arial"/>
          <w:iCs/>
          <w:sz w:val="20"/>
          <w:szCs w:val="20"/>
        </w:rPr>
        <w:t xml:space="preserve"> </w:t>
      </w:r>
      <w:r w:rsidR="00E05F4C">
        <w:rPr>
          <w:rFonts w:ascii="Arial" w:eastAsia="Times New Roman" w:hAnsi="Arial" w:cs="Arial"/>
          <w:iCs/>
          <w:sz w:val="20"/>
          <w:szCs w:val="20"/>
        </w:rPr>
        <w:t>Following Completion, Cairn intends to return at least</w:t>
      </w:r>
      <w:r w:rsidR="007C24FF">
        <w:rPr>
          <w:rFonts w:ascii="Arial" w:eastAsia="Times New Roman" w:hAnsi="Arial" w:cs="Arial"/>
          <w:iCs/>
          <w:sz w:val="20"/>
          <w:szCs w:val="20"/>
        </w:rPr>
        <w:t xml:space="preserve"> US</w:t>
      </w:r>
      <w:r w:rsidR="00E05F4C" w:rsidRPr="00E764B4">
        <w:rPr>
          <w:rFonts w:ascii="Arial" w:eastAsia="Times New Roman" w:hAnsi="Arial" w:cs="Arial"/>
          <w:iCs/>
          <w:sz w:val="20"/>
          <w:szCs w:val="20"/>
        </w:rPr>
        <w:t>$250</w:t>
      </w:r>
      <w:r w:rsidR="00AA3F33">
        <w:rPr>
          <w:rFonts w:ascii="Arial" w:eastAsia="Times New Roman" w:hAnsi="Arial" w:cs="Arial"/>
          <w:iCs/>
          <w:sz w:val="20"/>
          <w:szCs w:val="20"/>
        </w:rPr>
        <w:t>m</w:t>
      </w:r>
      <w:r w:rsidR="00127FD5">
        <w:rPr>
          <w:rFonts w:ascii="Arial" w:eastAsia="Times New Roman" w:hAnsi="Arial" w:cs="Arial"/>
          <w:iCs/>
          <w:sz w:val="20"/>
          <w:szCs w:val="20"/>
        </w:rPr>
        <w:t xml:space="preserve"> </w:t>
      </w:r>
      <w:r w:rsidR="00E05F4C">
        <w:rPr>
          <w:rFonts w:ascii="Arial" w:eastAsia="Times New Roman" w:hAnsi="Arial" w:cs="Arial"/>
          <w:iCs/>
          <w:sz w:val="20"/>
          <w:szCs w:val="20"/>
        </w:rPr>
        <w:t>to shareholders.</w:t>
      </w:r>
    </w:p>
    <w:p w14:paraId="7B90D030" w14:textId="77777777" w:rsidR="0020636F" w:rsidRPr="00C10A1B" w:rsidRDefault="0020636F" w:rsidP="0020636F">
      <w:pPr>
        <w:spacing w:after="0" w:line="240" w:lineRule="auto"/>
        <w:jc w:val="both"/>
        <w:rPr>
          <w:rFonts w:ascii="Arial" w:eastAsia="Times New Roman" w:hAnsi="Arial" w:cs="Arial"/>
          <w:iCs/>
          <w:sz w:val="20"/>
          <w:szCs w:val="20"/>
        </w:rPr>
      </w:pPr>
    </w:p>
    <w:p w14:paraId="09CD9B08" w14:textId="52D7AA59" w:rsidR="0020636F" w:rsidRPr="00C10A1B" w:rsidRDefault="0020636F" w:rsidP="00A67B28">
      <w:pPr>
        <w:spacing w:after="0" w:line="240" w:lineRule="auto"/>
        <w:jc w:val="both"/>
        <w:rPr>
          <w:rFonts w:ascii="Arial" w:eastAsia="Times New Roman" w:hAnsi="Arial" w:cs="Arial"/>
          <w:sz w:val="20"/>
          <w:szCs w:val="20"/>
        </w:rPr>
      </w:pPr>
      <w:r w:rsidRPr="00C10A1B">
        <w:rPr>
          <w:rFonts w:ascii="Arial" w:hAnsi="Arial" w:cs="Arial"/>
          <w:sz w:val="20"/>
          <w:szCs w:val="20"/>
        </w:rPr>
        <w:t>The Transaction</w:t>
      </w:r>
      <w:r w:rsidR="00B43F81">
        <w:rPr>
          <w:rFonts w:ascii="Arial" w:hAnsi="Arial" w:cs="Arial"/>
          <w:sz w:val="20"/>
          <w:szCs w:val="20"/>
        </w:rPr>
        <w:t>, which follows a comprehensive sales process,</w:t>
      </w:r>
      <w:r w:rsidRPr="00C10A1B">
        <w:rPr>
          <w:rFonts w:ascii="Arial" w:hAnsi="Arial" w:cs="Arial"/>
          <w:sz w:val="20"/>
          <w:szCs w:val="20"/>
        </w:rPr>
        <w:t xml:space="preserve"> is consistent with Cairn’s </w:t>
      </w:r>
      <w:r w:rsidR="008A5F66" w:rsidRPr="00C10A1B">
        <w:rPr>
          <w:rFonts w:ascii="Arial" w:hAnsi="Arial" w:cs="Arial"/>
          <w:sz w:val="20"/>
          <w:szCs w:val="20"/>
        </w:rPr>
        <w:t xml:space="preserve">disciplined approach to portfolio management and capital allocation, and its </w:t>
      </w:r>
      <w:r w:rsidRPr="00C10A1B">
        <w:rPr>
          <w:rFonts w:ascii="Arial" w:hAnsi="Arial" w:cs="Arial"/>
          <w:sz w:val="20"/>
          <w:szCs w:val="20"/>
        </w:rPr>
        <w:t xml:space="preserve">long-term strategy to return capital to </w:t>
      </w:r>
      <w:r w:rsidR="00162006" w:rsidRPr="00C10A1B">
        <w:rPr>
          <w:rFonts w:ascii="Arial" w:hAnsi="Arial" w:cs="Arial"/>
          <w:sz w:val="20"/>
          <w:szCs w:val="20"/>
        </w:rPr>
        <w:t>s</w:t>
      </w:r>
      <w:r w:rsidRPr="00C10A1B">
        <w:rPr>
          <w:rFonts w:ascii="Arial" w:hAnsi="Arial" w:cs="Arial"/>
          <w:sz w:val="20"/>
          <w:szCs w:val="20"/>
        </w:rPr>
        <w:t>hareholders</w:t>
      </w:r>
      <w:r w:rsidR="008A5F66" w:rsidRPr="00C10A1B">
        <w:rPr>
          <w:rFonts w:ascii="Arial" w:hAnsi="Arial" w:cs="Arial"/>
          <w:sz w:val="20"/>
          <w:szCs w:val="20"/>
        </w:rPr>
        <w:t xml:space="preserve">. It will also enhance the Group’s </w:t>
      </w:r>
      <w:r w:rsidRPr="00C10A1B">
        <w:rPr>
          <w:rFonts w:ascii="Arial" w:eastAsia="Times New Roman" w:hAnsi="Arial" w:cs="Arial"/>
          <w:iCs/>
          <w:sz w:val="20"/>
          <w:szCs w:val="20"/>
        </w:rPr>
        <w:t>financial flexibility</w:t>
      </w:r>
      <w:r w:rsidR="008A5F66" w:rsidRPr="00C10A1B">
        <w:rPr>
          <w:rFonts w:ascii="Arial" w:eastAsia="Times New Roman" w:hAnsi="Arial" w:cs="Arial"/>
          <w:iCs/>
          <w:sz w:val="20"/>
          <w:szCs w:val="20"/>
        </w:rPr>
        <w:t xml:space="preserve"> to sustain and grow a balanced and robust portfolio during the </w:t>
      </w:r>
      <w:r w:rsidRPr="00C10A1B">
        <w:rPr>
          <w:rFonts w:ascii="Arial" w:eastAsia="Times New Roman" w:hAnsi="Arial" w:cs="Arial"/>
          <w:iCs/>
          <w:sz w:val="20"/>
          <w:szCs w:val="20"/>
        </w:rPr>
        <w:t>current challenging and uncertain oil market conditions.</w:t>
      </w:r>
    </w:p>
    <w:p w14:paraId="3BB96D15" w14:textId="77777777" w:rsidR="00F078ED" w:rsidRPr="00C10A1B" w:rsidRDefault="00F078ED" w:rsidP="00A67B28">
      <w:pPr>
        <w:spacing w:after="0" w:line="240" w:lineRule="auto"/>
        <w:jc w:val="both"/>
        <w:rPr>
          <w:rFonts w:ascii="Arial" w:eastAsia="Times New Roman" w:hAnsi="Arial" w:cs="Arial"/>
          <w:b/>
          <w:bCs/>
          <w:sz w:val="20"/>
          <w:szCs w:val="20"/>
        </w:rPr>
      </w:pPr>
    </w:p>
    <w:p w14:paraId="539A9A31" w14:textId="100E830B" w:rsidR="00A67B28" w:rsidRPr="00C10A1B" w:rsidRDefault="00A67B28" w:rsidP="00A67B28">
      <w:pPr>
        <w:spacing w:after="0" w:line="240" w:lineRule="auto"/>
        <w:jc w:val="both"/>
        <w:rPr>
          <w:rFonts w:ascii="Arial" w:eastAsia="Times New Roman" w:hAnsi="Arial" w:cs="Arial"/>
          <w:b/>
          <w:bCs/>
          <w:sz w:val="20"/>
          <w:szCs w:val="20"/>
        </w:rPr>
      </w:pPr>
      <w:r w:rsidRPr="00C10A1B">
        <w:rPr>
          <w:rFonts w:ascii="Arial" w:eastAsia="Times New Roman" w:hAnsi="Arial" w:cs="Arial"/>
          <w:b/>
          <w:bCs/>
          <w:sz w:val="20"/>
          <w:szCs w:val="20"/>
        </w:rPr>
        <w:t>T</w:t>
      </w:r>
      <w:r w:rsidR="00817E42" w:rsidRPr="00C10A1B">
        <w:rPr>
          <w:rFonts w:ascii="Arial" w:eastAsia="Times New Roman" w:hAnsi="Arial" w:cs="Arial"/>
          <w:b/>
          <w:bCs/>
          <w:sz w:val="20"/>
          <w:szCs w:val="20"/>
        </w:rPr>
        <w:t>ransaction</w:t>
      </w:r>
      <w:r w:rsidRPr="00C10A1B">
        <w:rPr>
          <w:rFonts w:ascii="Arial" w:eastAsia="Times New Roman" w:hAnsi="Arial" w:cs="Arial"/>
          <w:b/>
          <w:bCs/>
          <w:sz w:val="20"/>
          <w:szCs w:val="20"/>
        </w:rPr>
        <w:t xml:space="preserve"> Highlights</w:t>
      </w:r>
    </w:p>
    <w:p w14:paraId="6D1A224A" w14:textId="77777777" w:rsidR="00A67B28" w:rsidRPr="00C10A1B" w:rsidRDefault="00A67B28" w:rsidP="00A67B28">
      <w:pPr>
        <w:spacing w:after="0" w:line="240" w:lineRule="auto"/>
        <w:jc w:val="both"/>
        <w:rPr>
          <w:rFonts w:ascii="Arial" w:eastAsia="Times New Roman" w:hAnsi="Arial" w:cs="Arial"/>
          <w:sz w:val="20"/>
          <w:szCs w:val="20"/>
        </w:rPr>
      </w:pPr>
      <w:r w:rsidRPr="00C10A1B">
        <w:rPr>
          <w:rFonts w:ascii="Arial" w:eastAsia="Times New Roman" w:hAnsi="Arial" w:cs="Arial"/>
          <w:sz w:val="20"/>
          <w:szCs w:val="20"/>
        </w:rPr>
        <w:t> </w:t>
      </w:r>
    </w:p>
    <w:p w14:paraId="679DBCDE" w14:textId="065EEE72" w:rsidR="00E43EAE" w:rsidRPr="00C10A1B" w:rsidRDefault="00A67B28" w:rsidP="00E43EAE">
      <w:pPr>
        <w:pStyle w:val="ListParagraph"/>
        <w:numPr>
          <w:ilvl w:val="0"/>
          <w:numId w:val="21"/>
        </w:numPr>
        <w:spacing w:after="240" w:line="260" w:lineRule="atLeast"/>
        <w:jc w:val="both"/>
        <w:rPr>
          <w:rFonts w:ascii="Arial" w:eastAsia="Times New Roman" w:hAnsi="Arial" w:cs="Arial"/>
          <w:sz w:val="20"/>
          <w:szCs w:val="20"/>
        </w:rPr>
      </w:pPr>
      <w:r w:rsidRPr="00C10A1B">
        <w:rPr>
          <w:rFonts w:ascii="Arial" w:eastAsia="Times New Roman" w:hAnsi="Arial" w:cs="Arial"/>
          <w:sz w:val="20"/>
          <w:szCs w:val="20"/>
        </w:rPr>
        <w:t xml:space="preserve">Cairn to sell </w:t>
      </w:r>
      <w:r w:rsidR="00F6723D" w:rsidRPr="00C10A1B">
        <w:rPr>
          <w:rFonts w:ascii="Arial" w:eastAsia="Times New Roman" w:hAnsi="Arial" w:cs="Arial"/>
          <w:sz w:val="20"/>
          <w:szCs w:val="20"/>
        </w:rPr>
        <w:t xml:space="preserve">its entire </w:t>
      </w:r>
      <w:r w:rsidR="00BF232D" w:rsidRPr="00C10A1B">
        <w:rPr>
          <w:rFonts w:ascii="Arial" w:eastAsia="Times New Roman" w:hAnsi="Arial" w:cs="Arial"/>
          <w:sz w:val="20"/>
          <w:szCs w:val="20"/>
        </w:rPr>
        <w:t>4</w:t>
      </w:r>
      <w:r w:rsidRPr="00C10A1B">
        <w:rPr>
          <w:rFonts w:ascii="Arial" w:eastAsia="Times New Roman" w:hAnsi="Arial" w:cs="Arial"/>
          <w:sz w:val="20"/>
          <w:szCs w:val="20"/>
        </w:rPr>
        <w:t xml:space="preserve">0 per cent interest in the RSSD </w:t>
      </w:r>
      <w:r w:rsidR="00817E42" w:rsidRPr="00C10A1B">
        <w:rPr>
          <w:rFonts w:ascii="Arial" w:eastAsia="Times New Roman" w:hAnsi="Arial" w:cs="Arial"/>
          <w:sz w:val="20"/>
          <w:szCs w:val="20"/>
        </w:rPr>
        <w:t>assets</w:t>
      </w:r>
      <w:r w:rsidR="00F6723D" w:rsidRPr="00C10A1B">
        <w:rPr>
          <w:rFonts w:ascii="Arial" w:eastAsia="Times New Roman" w:hAnsi="Arial" w:cs="Arial"/>
          <w:sz w:val="20"/>
          <w:szCs w:val="20"/>
        </w:rPr>
        <w:t xml:space="preserve"> </w:t>
      </w:r>
      <w:r w:rsidRPr="00C10A1B">
        <w:rPr>
          <w:rFonts w:ascii="Arial" w:eastAsia="Times New Roman" w:hAnsi="Arial" w:cs="Arial"/>
          <w:sz w:val="20"/>
          <w:szCs w:val="20"/>
        </w:rPr>
        <w:t>to</w:t>
      </w:r>
      <w:r w:rsidR="003243B6" w:rsidRPr="00C10A1B">
        <w:rPr>
          <w:rFonts w:ascii="Arial" w:eastAsia="Times New Roman" w:hAnsi="Arial" w:cs="Arial"/>
          <w:sz w:val="20"/>
          <w:szCs w:val="20"/>
        </w:rPr>
        <w:t xml:space="preserve"> </w:t>
      </w:r>
      <w:r w:rsidR="00B46D2A" w:rsidRPr="00C10A1B">
        <w:rPr>
          <w:rFonts w:ascii="Arial" w:hAnsi="Arial" w:cs="Arial"/>
          <w:sz w:val="20"/>
          <w:szCs w:val="20"/>
        </w:rPr>
        <w:t>LUKOIL</w:t>
      </w:r>
      <w:r w:rsidR="003243B6" w:rsidRPr="00C10A1B">
        <w:rPr>
          <w:rFonts w:ascii="Arial" w:eastAsia="Times New Roman" w:hAnsi="Arial" w:cs="Arial"/>
          <w:sz w:val="20"/>
          <w:szCs w:val="20"/>
        </w:rPr>
        <w:t xml:space="preserve"> </w:t>
      </w:r>
      <w:r w:rsidR="00817E42" w:rsidRPr="00C10A1B">
        <w:rPr>
          <w:rFonts w:ascii="Arial" w:eastAsia="Times New Roman" w:hAnsi="Arial" w:cs="Arial"/>
          <w:sz w:val="20"/>
          <w:szCs w:val="20"/>
        </w:rPr>
        <w:t>with effective date of 1</w:t>
      </w:r>
      <w:r w:rsidR="00817E42" w:rsidRPr="00C10A1B">
        <w:rPr>
          <w:rFonts w:ascii="Arial" w:eastAsia="Times New Roman" w:hAnsi="Arial" w:cs="Arial"/>
          <w:sz w:val="20"/>
          <w:szCs w:val="20"/>
          <w:vertAlign w:val="superscript"/>
        </w:rPr>
        <w:t>st</w:t>
      </w:r>
      <w:r w:rsidR="00817E42" w:rsidRPr="00C10A1B">
        <w:rPr>
          <w:rFonts w:ascii="Arial" w:eastAsia="Times New Roman" w:hAnsi="Arial" w:cs="Arial"/>
          <w:sz w:val="20"/>
          <w:szCs w:val="20"/>
        </w:rPr>
        <w:t xml:space="preserve"> January 2020</w:t>
      </w:r>
      <w:r w:rsidR="00E43EAE">
        <w:rPr>
          <w:rFonts w:ascii="Arial" w:eastAsia="Times New Roman" w:hAnsi="Arial" w:cs="Arial"/>
          <w:sz w:val="20"/>
          <w:szCs w:val="20"/>
        </w:rPr>
        <w:t>, subject to required JV partner and government of Senegal consents</w:t>
      </w:r>
      <w:r w:rsidR="00CE12E6">
        <w:rPr>
          <w:rFonts w:ascii="Arial" w:eastAsia="Times New Roman" w:hAnsi="Arial" w:cs="Arial"/>
          <w:sz w:val="20"/>
          <w:szCs w:val="20"/>
        </w:rPr>
        <w:t>;</w:t>
      </w:r>
    </w:p>
    <w:p w14:paraId="30A9CB5C" w14:textId="02EE524D" w:rsidR="00817E42" w:rsidRPr="00C10A1B" w:rsidRDefault="00817E42" w:rsidP="00C10A1B">
      <w:pPr>
        <w:pStyle w:val="ListParagraph"/>
        <w:numPr>
          <w:ilvl w:val="0"/>
          <w:numId w:val="21"/>
        </w:numPr>
        <w:spacing w:after="240" w:line="260" w:lineRule="atLeast"/>
        <w:jc w:val="both"/>
        <w:rPr>
          <w:rFonts w:ascii="Arial" w:eastAsia="Times New Roman" w:hAnsi="Arial" w:cs="Arial"/>
          <w:sz w:val="20"/>
          <w:szCs w:val="20"/>
        </w:rPr>
      </w:pPr>
      <w:r w:rsidRPr="00C10A1B">
        <w:rPr>
          <w:rFonts w:ascii="Arial" w:eastAsia="Times New Roman" w:hAnsi="Arial" w:cs="Arial"/>
          <w:sz w:val="20"/>
          <w:szCs w:val="20"/>
        </w:rPr>
        <w:t>Completion currently expected in Q4 2020</w:t>
      </w:r>
      <w:r w:rsidR="00CE12E6">
        <w:rPr>
          <w:rFonts w:ascii="Arial" w:eastAsia="Times New Roman" w:hAnsi="Arial" w:cs="Arial"/>
          <w:sz w:val="20"/>
          <w:szCs w:val="20"/>
        </w:rPr>
        <w:t>;</w:t>
      </w:r>
    </w:p>
    <w:p w14:paraId="75EF64FE" w14:textId="61BB6F85" w:rsidR="00817E42" w:rsidRPr="00C10A1B" w:rsidRDefault="00817E42" w:rsidP="00C10A1B">
      <w:pPr>
        <w:pStyle w:val="ListParagraph"/>
        <w:numPr>
          <w:ilvl w:val="0"/>
          <w:numId w:val="21"/>
        </w:numPr>
        <w:spacing w:after="240" w:line="260" w:lineRule="atLeast"/>
        <w:jc w:val="both"/>
        <w:rPr>
          <w:rFonts w:ascii="Arial" w:eastAsia="Times New Roman" w:hAnsi="Arial" w:cs="Arial"/>
          <w:sz w:val="20"/>
          <w:szCs w:val="20"/>
        </w:rPr>
      </w:pPr>
      <w:r w:rsidRPr="00C10A1B">
        <w:rPr>
          <w:rFonts w:ascii="Arial" w:eastAsia="Times New Roman" w:hAnsi="Arial" w:cs="Arial"/>
          <w:sz w:val="20"/>
          <w:szCs w:val="20"/>
        </w:rPr>
        <w:t xml:space="preserve">Cash consideration payable on </w:t>
      </w:r>
      <w:r w:rsidR="00A04EAB">
        <w:rPr>
          <w:rFonts w:ascii="Arial" w:eastAsia="Times New Roman" w:hAnsi="Arial" w:cs="Arial"/>
          <w:sz w:val="20"/>
          <w:szCs w:val="20"/>
        </w:rPr>
        <w:t>C</w:t>
      </w:r>
      <w:r w:rsidRPr="00C10A1B">
        <w:rPr>
          <w:rFonts w:ascii="Arial" w:eastAsia="Times New Roman" w:hAnsi="Arial" w:cs="Arial"/>
          <w:sz w:val="20"/>
          <w:szCs w:val="20"/>
        </w:rPr>
        <w:t>ompletion of US$300m plus working capital adjustments including reimbursement of development capital expenditure incurred since 1</w:t>
      </w:r>
      <w:r w:rsidRPr="00C10A1B">
        <w:rPr>
          <w:rFonts w:ascii="Arial" w:eastAsia="Times New Roman" w:hAnsi="Arial" w:cs="Arial"/>
          <w:sz w:val="20"/>
          <w:szCs w:val="20"/>
          <w:vertAlign w:val="superscript"/>
        </w:rPr>
        <w:t>st</w:t>
      </w:r>
      <w:r w:rsidRPr="00C10A1B">
        <w:rPr>
          <w:rFonts w:ascii="Arial" w:eastAsia="Times New Roman" w:hAnsi="Arial" w:cs="Arial"/>
          <w:sz w:val="20"/>
          <w:szCs w:val="20"/>
        </w:rPr>
        <w:t xml:space="preserve"> January 2020 (Cairn</w:t>
      </w:r>
      <w:r w:rsidR="003352C1">
        <w:rPr>
          <w:rFonts w:ascii="Arial" w:eastAsia="Times New Roman" w:hAnsi="Arial" w:cs="Arial"/>
          <w:sz w:val="20"/>
          <w:szCs w:val="20"/>
        </w:rPr>
        <w:t>’s</w:t>
      </w:r>
      <w:r w:rsidRPr="00C10A1B">
        <w:rPr>
          <w:rFonts w:ascii="Arial" w:eastAsia="Times New Roman" w:hAnsi="Arial" w:cs="Arial"/>
          <w:sz w:val="20"/>
          <w:szCs w:val="20"/>
        </w:rPr>
        <w:t xml:space="preserve"> net capex guidance for </w:t>
      </w:r>
      <w:proofErr w:type="spellStart"/>
      <w:r w:rsidRPr="00C10A1B">
        <w:rPr>
          <w:rFonts w:ascii="Arial" w:eastAsia="Times New Roman" w:hAnsi="Arial" w:cs="Arial"/>
          <w:sz w:val="20"/>
          <w:szCs w:val="20"/>
        </w:rPr>
        <w:t>Sangomar</w:t>
      </w:r>
      <w:proofErr w:type="spellEnd"/>
      <w:r w:rsidRPr="00C10A1B">
        <w:rPr>
          <w:rFonts w:ascii="Arial" w:eastAsia="Times New Roman" w:hAnsi="Arial" w:cs="Arial"/>
          <w:sz w:val="20"/>
          <w:szCs w:val="20"/>
        </w:rPr>
        <w:t xml:space="preserve"> in 2020 </w:t>
      </w:r>
      <w:r w:rsidR="003352C1">
        <w:rPr>
          <w:rFonts w:ascii="Arial" w:eastAsia="Times New Roman" w:hAnsi="Arial" w:cs="Arial"/>
          <w:sz w:val="20"/>
          <w:szCs w:val="20"/>
        </w:rPr>
        <w:t xml:space="preserve">is </w:t>
      </w:r>
      <w:r w:rsidR="00AF76A4">
        <w:rPr>
          <w:rFonts w:ascii="Arial" w:eastAsia="Times New Roman" w:hAnsi="Arial" w:cs="Arial"/>
          <w:sz w:val="20"/>
          <w:szCs w:val="20"/>
        </w:rPr>
        <w:t>US</w:t>
      </w:r>
      <w:r w:rsidRPr="00C10A1B">
        <w:rPr>
          <w:rFonts w:ascii="Arial" w:eastAsia="Times New Roman" w:hAnsi="Arial" w:cs="Arial"/>
          <w:sz w:val="20"/>
          <w:szCs w:val="20"/>
        </w:rPr>
        <w:t>$330</w:t>
      </w:r>
      <w:r w:rsidR="00213FC8">
        <w:rPr>
          <w:rFonts w:ascii="Arial" w:eastAsia="Times New Roman" w:hAnsi="Arial" w:cs="Arial"/>
          <w:sz w:val="20"/>
          <w:szCs w:val="20"/>
        </w:rPr>
        <w:t>m</w:t>
      </w:r>
      <w:r w:rsidRPr="00C10A1B">
        <w:rPr>
          <w:rFonts w:ascii="Arial" w:eastAsia="Times New Roman" w:hAnsi="Arial" w:cs="Arial"/>
          <w:sz w:val="20"/>
          <w:szCs w:val="20"/>
        </w:rPr>
        <w:t>)</w:t>
      </w:r>
      <w:r w:rsidR="00CE12E6">
        <w:rPr>
          <w:rFonts w:ascii="Arial" w:eastAsia="Times New Roman" w:hAnsi="Arial" w:cs="Arial"/>
          <w:sz w:val="20"/>
          <w:szCs w:val="20"/>
        </w:rPr>
        <w:t>;</w:t>
      </w:r>
    </w:p>
    <w:p w14:paraId="768B9E63" w14:textId="15BED38C" w:rsidR="005F1A4B" w:rsidRDefault="00C84F2F" w:rsidP="00C10A1B">
      <w:pPr>
        <w:pStyle w:val="ListParagraph"/>
        <w:numPr>
          <w:ilvl w:val="0"/>
          <w:numId w:val="21"/>
        </w:numPr>
        <w:spacing w:after="240" w:line="260" w:lineRule="atLeast"/>
        <w:jc w:val="both"/>
        <w:rPr>
          <w:rFonts w:ascii="Arial" w:eastAsia="Times New Roman" w:hAnsi="Arial" w:cs="Arial"/>
          <w:sz w:val="20"/>
          <w:szCs w:val="20"/>
        </w:rPr>
      </w:pPr>
      <w:r w:rsidRPr="00C10A1B">
        <w:rPr>
          <w:rFonts w:ascii="Arial" w:eastAsia="Times New Roman" w:hAnsi="Arial" w:cs="Arial"/>
          <w:sz w:val="20"/>
          <w:szCs w:val="20"/>
        </w:rPr>
        <w:t>Further c</w:t>
      </w:r>
      <w:r w:rsidR="003243B6" w:rsidRPr="00C10A1B">
        <w:rPr>
          <w:rFonts w:ascii="Arial" w:eastAsia="Times New Roman" w:hAnsi="Arial" w:cs="Arial"/>
          <w:sz w:val="20"/>
          <w:szCs w:val="20"/>
        </w:rPr>
        <w:t>ontingent consideration of up to US</w:t>
      </w:r>
      <w:r w:rsidR="00676EDB" w:rsidRPr="00C10A1B">
        <w:rPr>
          <w:rFonts w:ascii="Arial" w:eastAsia="Times New Roman" w:hAnsi="Arial" w:cs="Arial"/>
          <w:sz w:val="20"/>
          <w:szCs w:val="20"/>
        </w:rPr>
        <w:t>$100</w:t>
      </w:r>
      <w:r w:rsidR="003243B6" w:rsidRPr="00C10A1B">
        <w:rPr>
          <w:rFonts w:ascii="Arial" w:eastAsia="Times New Roman" w:hAnsi="Arial" w:cs="Arial"/>
          <w:sz w:val="20"/>
          <w:szCs w:val="20"/>
        </w:rPr>
        <w:t>m</w:t>
      </w:r>
      <w:r w:rsidR="006055B1" w:rsidRPr="00C10A1B">
        <w:rPr>
          <w:rFonts w:ascii="Arial" w:eastAsia="Times New Roman" w:hAnsi="Arial" w:cs="Arial"/>
          <w:sz w:val="20"/>
          <w:szCs w:val="20"/>
        </w:rPr>
        <w:t xml:space="preserve">, </w:t>
      </w:r>
      <w:r w:rsidR="00676EDB" w:rsidRPr="00C10A1B">
        <w:rPr>
          <w:rFonts w:ascii="Arial" w:eastAsia="Times New Roman" w:hAnsi="Arial" w:cs="Arial"/>
          <w:sz w:val="20"/>
          <w:szCs w:val="20"/>
        </w:rPr>
        <w:t xml:space="preserve">dependent on the timing of first oil and the average Brent oil price during the first </w:t>
      </w:r>
      <w:r w:rsidR="0035053C" w:rsidRPr="00C10A1B">
        <w:rPr>
          <w:rFonts w:ascii="Arial" w:eastAsia="Times New Roman" w:hAnsi="Arial" w:cs="Arial"/>
          <w:sz w:val="20"/>
          <w:szCs w:val="20"/>
        </w:rPr>
        <w:t>six</w:t>
      </w:r>
      <w:r w:rsidR="00676EDB" w:rsidRPr="00C10A1B">
        <w:rPr>
          <w:rFonts w:ascii="Arial" w:eastAsia="Times New Roman" w:hAnsi="Arial" w:cs="Arial"/>
          <w:sz w:val="20"/>
          <w:szCs w:val="20"/>
        </w:rPr>
        <w:t xml:space="preserve"> months of production</w:t>
      </w:r>
      <w:r w:rsidR="00CE12E6">
        <w:rPr>
          <w:rFonts w:ascii="Arial" w:eastAsia="Times New Roman" w:hAnsi="Arial" w:cs="Arial"/>
          <w:sz w:val="20"/>
          <w:szCs w:val="20"/>
        </w:rPr>
        <w:t>;</w:t>
      </w:r>
    </w:p>
    <w:p w14:paraId="2FAAD4A4" w14:textId="7BFA6785" w:rsidR="0088535A" w:rsidRDefault="0088535A" w:rsidP="0088535A">
      <w:pPr>
        <w:pStyle w:val="ListParagraph"/>
        <w:numPr>
          <w:ilvl w:val="0"/>
          <w:numId w:val="21"/>
        </w:numPr>
        <w:spacing w:after="240" w:line="260" w:lineRule="atLeast"/>
        <w:jc w:val="both"/>
        <w:rPr>
          <w:rFonts w:ascii="Arial" w:eastAsia="Times New Roman" w:hAnsi="Arial" w:cs="Arial"/>
          <w:sz w:val="20"/>
          <w:szCs w:val="20"/>
        </w:rPr>
      </w:pPr>
      <w:r>
        <w:rPr>
          <w:rFonts w:ascii="Arial" w:eastAsia="Times New Roman" w:hAnsi="Arial" w:cs="Arial"/>
          <w:sz w:val="20"/>
          <w:szCs w:val="20"/>
        </w:rPr>
        <w:t xml:space="preserve">Realises value and reduces concentration of development risk, financing risk and the need for significant capital expenditure over </w:t>
      </w:r>
      <w:r w:rsidRPr="006562D8">
        <w:rPr>
          <w:rFonts w:ascii="Arial" w:eastAsia="Times New Roman" w:hAnsi="Arial" w:cs="Arial"/>
          <w:sz w:val="20"/>
          <w:szCs w:val="20"/>
        </w:rPr>
        <w:t>four</w:t>
      </w:r>
      <w:r>
        <w:rPr>
          <w:rFonts w:ascii="Arial" w:eastAsia="Times New Roman" w:hAnsi="Arial" w:cs="Arial"/>
          <w:sz w:val="20"/>
          <w:szCs w:val="20"/>
        </w:rPr>
        <w:t xml:space="preserve"> years; </w:t>
      </w:r>
    </w:p>
    <w:p w14:paraId="47AC62CE" w14:textId="36AA0178" w:rsidR="0088535A" w:rsidRPr="000127A8" w:rsidRDefault="0088535A" w:rsidP="0088535A">
      <w:pPr>
        <w:pStyle w:val="ListParagraph"/>
        <w:numPr>
          <w:ilvl w:val="0"/>
          <w:numId w:val="21"/>
        </w:numPr>
        <w:spacing w:after="240" w:line="260" w:lineRule="atLeast"/>
        <w:jc w:val="both"/>
        <w:rPr>
          <w:rFonts w:ascii="Arial" w:eastAsia="Times New Roman" w:hAnsi="Arial" w:cs="Arial"/>
          <w:sz w:val="20"/>
          <w:szCs w:val="20"/>
        </w:rPr>
      </w:pPr>
      <w:r w:rsidRPr="000127A8">
        <w:rPr>
          <w:rFonts w:ascii="Arial" w:eastAsia="Times New Roman" w:hAnsi="Arial" w:cs="Arial"/>
          <w:sz w:val="20"/>
          <w:szCs w:val="20"/>
        </w:rPr>
        <w:t xml:space="preserve">Further strengthens Cairn’s balance sheet and provides </w:t>
      </w:r>
      <w:bookmarkStart w:id="3" w:name="_Hlk41030637"/>
      <w:r w:rsidRPr="000127A8">
        <w:rPr>
          <w:rFonts w:ascii="Arial" w:eastAsia="Times New Roman" w:hAnsi="Arial" w:cs="Arial"/>
          <w:sz w:val="20"/>
          <w:szCs w:val="20"/>
        </w:rPr>
        <w:t>flexibility to invest in and grow the business</w:t>
      </w:r>
      <w:r w:rsidR="0059492D">
        <w:rPr>
          <w:rFonts w:ascii="Arial" w:eastAsia="Times New Roman" w:hAnsi="Arial" w:cs="Arial"/>
          <w:sz w:val="20"/>
          <w:szCs w:val="20"/>
        </w:rPr>
        <w:t>; and</w:t>
      </w:r>
    </w:p>
    <w:bookmarkEnd w:id="3"/>
    <w:p w14:paraId="68DE2820" w14:textId="345D3174" w:rsidR="000127A8" w:rsidRDefault="00C84F2F" w:rsidP="00ED12F7">
      <w:pPr>
        <w:pStyle w:val="ListParagraph"/>
        <w:numPr>
          <w:ilvl w:val="0"/>
          <w:numId w:val="31"/>
        </w:numPr>
        <w:spacing w:after="240" w:line="260" w:lineRule="atLeast"/>
        <w:jc w:val="both"/>
        <w:rPr>
          <w:rFonts w:ascii="Arial" w:eastAsia="Times New Roman" w:hAnsi="Arial" w:cs="Arial"/>
          <w:sz w:val="20"/>
          <w:szCs w:val="20"/>
        </w:rPr>
      </w:pPr>
      <w:r w:rsidRPr="000127A8">
        <w:rPr>
          <w:rFonts w:ascii="Arial" w:eastAsia="Times New Roman" w:hAnsi="Arial" w:cs="Arial"/>
          <w:sz w:val="20"/>
          <w:szCs w:val="20"/>
        </w:rPr>
        <w:t xml:space="preserve">Intention to provide a substantial and certain return of </w:t>
      </w:r>
      <w:r w:rsidR="00EA3F42" w:rsidRPr="000127A8">
        <w:rPr>
          <w:rFonts w:ascii="Arial" w:eastAsia="Times New Roman" w:hAnsi="Arial" w:cs="Arial"/>
          <w:sz w:val="20"/>
          <w:szCs w:val="20"/>
        </w:rPr>
        <w:t xml:space="preserve">capital </w:t>
      </w:r>
      <w:r w:rsidRPr="000127A8">
        <w:rPr>
          <w:rFonts w:ascii="Arial" w:eastAsia="Times New Roman" w:hAnsi="Arial" w:cs="Arial"/>
          <w:sz w:val="20"/>
          <w:szCs w:val="20"/>
        </w:rPr>
        <w:t xml:space="preserve">to Shareholders of </w:t>
      </w:r>
      <w:r w:rsidR="00AC269A" w:rsidRPr="000127A8">
        <w:rPr>
          <w:rFonts w:ascii="Arial" w:eastAsia="Times New Roman" w:hAnsi="Arial" w:cs="Arial"/>
          <w:sz w:val="20"/>
          <w:szCs w:val="20"/>
        </w:rPr>
        <w:t>at least</w:t>
      </w:r>
      <w:r w:rsidRPr="000127A8">
        <w:rPr>
          <w:rFonts w:ascii="Arial" w:eastAsia="Times New Roman" w:hAnsi="Arial" w:cs="Arial"/>
          <w:sz w:val="20"/>
          <w:szCs w:val="20"/>
        </w:rPr>
        <w:t xml:space="preserve"> </w:t>
      </w:r>
      <w:r w:rsidR="00AF76A4" w:rsidRPr="000127A8">
        <w:rPr>
          <w:rFonts w:ascii="Arial" w:eastAsia="Times New Roman" w:hAnsi="Arial" w:cs="Arial"/>
          <w:sz w:val="20"/>
          <w:szCs w:val="20"/>
        </w:rPr>
        <w:t>US</w:t>
      </w:r>
      <w:r w:rsidRPr="006562D8">
        <w:rPr>
          <w:rFonts w:ascii="Arial" w:eastAsia="Times New Roman" w:hAnsi="Arial" w:cs="Arial"/>
          <w:sz w:val="20"/>
          <w:szCs w:val="20"/>
        </w:rPr>
        <w:t>$250</w:t>
      </w:r>
      <w:r w:rsidRPr="000127A8">
        <w:rPr>
          <w:rFonts w:ascii="Arial" w:eastAsia="Times New Roman" w:hAnsi="Arial" w:cs="Arial"/>
          <w:sz w:val="20"/>
          <w:szCs w:val="20"/>
        </w:rPr>
        <w:t>m</w:t>
      </w:r>
      <w:r w:rsidR="00F263DD">
        <w:rPr>
          <w:rFonts w:ascii="Arial" w:eastAsia="Times New Roman" w:hAnsi="Arial" w:cs="Arial"/>
          <w:sz w:val="20"/>
          <w:szCs w:val="20"/>
        </w:rPr>
        <w:t xml:space="preserve"> </w:t>
      </w:r>
      <w:r w:rsidRPr="000127A8">
        <w:rPr>
          <w:rFonts w:ascii="Arial" w:eastAsia="Times New Roman" w:hAnsi="Arial" w:cs="Arial"/>
          <w:sz w:val="20"/>
          <w:szCs w:val="20"/>
        </w:rPr>
        <w:t>by special dividend following Completion</w:t>
      </w:r>
      <w:r w:rsidR="007171D7" w:rsidRPr="000127A8">
        <w:rPr>
          <w:rFonts w:ascii="Arial" w:eastAsia="Times New Roman" w:hAnsi="Arial" w:cs="Arial"/>
          <w:sz w:val="20"/>
          <w:szCs w:val="20"/>
        </w:rPr>
        <w:t xml:space="preserve">, consistent with </w:t>
      </w:r>
      <w:r w:rsidR="0020636F" w:rsidRPr="000127A8">
        <w:rPr>
          <w:rFonts w:ascii="Arial" w:eastAsia="Times New Roman" w:hAnsi="Arial" w:cs="Arial"/>
          <w:sz w:val="20"/>
          <w:szCs w:val="20"/>
        </w:rPr>
        <w:t>Cairn’s approach</w:t>
      </w:r>
      <w:r w:rsidR="007171D7" w:rsidRPr="000127A8">
        <w:rPr>
          <w:rFonts w:ascii="Arial" w:eastAsia="Times New Roman" w:hAnsi="Arial" w:cs="Arial"/>
          <w:sz w:val="20"/>
          <w:szCs w:val="20"/>
        </w:rPr>
        <w:t xml:space="preserve"> to capital </w:t>
      </w:r>
      <w:r w:rsidR="0059492D">
        <w:rPr>
          <w:rFonts w:ascii="Arial" w:eastAsia="Times New Roman" w:hAnsi="Arial" w:cs="Arial"/>
          <w:sz w:val="20"/>
          <w:szCs w:val="20"/>
        </w:rPr>
        <w:t>allocation.</w:t>
      </w:r>
      <w:r w:rsidR="00CE12E6" w:rsidRPr="000127A8">
        <w:rPr>
          <w:rFonts w:ascii="Arial" w:eastAsia="Times New Roman" w:hAnsi="Arial" w:cs="Arial"/>
          <w:sz w:val="20"/>
          <w:szCs w:val="20"/>
        </w:rPr>
        <w:t xml:space="preserve"> </w:t>
      </w:r>
    </w:p>
    <w:p w14:paraId="1D14407C" w14:textId="77777777" w:rsidR="00A67B28" w:rsidRPr="00C10A1B" w:rsidRDefault="00A67B28" w:rsidP="00A67B28">
      <w:pPr>
        <w:spacing w:after="0" w:line="240" w:lineRule="auto"/>
        <w:jc w:val="both"/>
        <w:rPr>
          <w:rFonts w:ascii="Arial" w:eastAsia="Times New Roman" w:hAnsi="Arial" w:cs="Arial"/>
          <w:sz w:val="20"/>
          <w:szCs w:val="20"/>
        </w:rPr>
      </w:pPr>
      <w:r w:rsidRPr="00C10A1B">
        <w:rPr>
          <w:rFonts w:ascii="Arial" w:eastAsia="Times New Roman" w:hAnsi="Arial" w:cs="Arial"/>
          <w:sz w:val="20"/>
          <w:szCs w:val="20"/>
        </w:rPr>
        <w:t> </w:t>
      </w:r>
    </w:p>
    <w:p w14:paraId="0130A443" w14:textId="665C4FD4" w:rsidR="004D3EF3" w:rsidRPr="00C10A1B" w:rsidRDefault="00A97ED9" w:rsidP="00A67B28">
      <w:pPr>
        <w:spacing w:after="0" w:line="240" w:lineRule="auto"/>
        <w:jc w:val="both"/>
        <w:rPr>
          <w:rFonts w:ascii="Arial" w:eastAsia="Times New Roman" w:hAnsi="Arial" w:cs="Arial"/>
          <w:b/>
          <w:bCs/>
          <w:sz w:val="20"/>
          <w:szCs w:val="20"/>
        </w:rPr>
      </w:pPr>
      <w:r w:rsidRPr="00C10A1B">
        <w:rPr>
          <w:rFonts w:ascii="Arial" w:eastAsia="Times New Roman" w:hAnsi="Arial" w:cs="Arial"/>
          <w:b/>
          <w:bCs/>
          <w:sz w:val="20"/>
          <w:szCs w:val="20"/>
        </w:rPr>
        <w:t>Simon Thomson</w:t>
      </w:r>
      <w:r w:rsidR="00A67B28" w:rsidRPr="00C10A1B">
        <w:rPr>
          <w:rFonts w:ascii="Arial" w:eastAsia="Times New Roman" w:hAnsi="Arial" w:cs="Arial"/>
          <w:b/>
          <w:bCs/>
          <w:sz w:val="20"/>
          <w:szCs w:val="20"/>
        </w:rPr>
        <w:t>, Chief Executive of Cairn said:</w:t>
      </w:r>
      <w:r w:rsidR="0008430E" w:rsidRPr="00C10A1B">
        <w:rPr>
          <w:rFonts w:ascii="Arial" w:eastAsia="Times New Roman" w:hAnsi="Arial" w:cs="Arial"/>
          <w:b/>
          <w:bCs/>
          <w:sz w:val="20"/>
          <w:szCs w:val="20"/>
        </w:rPr>
        <w:t xml:space="preserve"> </w:t>
      </w:r>
    </w:p>
    <w:p w14:paraId="1BD7EB77" w14:textId="77777777" w:rsidR="00C2613E" w:rsidRPr="00C10A1B" w:rsidRDefault="00C2613E" w:rsidP="00C2613E">
      <w:pPr>
        <w:spacing w:after="0" w:line="240" w:lineRule="auto"/>
        <w:jc w:val="both"/>
        <w:rPr>
          <w:rFonts w:ascii="Arial" w:hAnsi="Arial" w:cs="Arial"/>
          <w:sz w:val="20"/>
          <w:szCs w:val="20"/>
        </w:rPr>
      </w:pPr>
      <w:bookmarkStart w:id="4" w:name="_Hlk40707970"/>
    </w:p>
    <w:p w14:paraId="282EC67E" w14:textId="2B10E1AD" w:rsidR="00C2613E" w:rsidRPr="00C10A1B" w:rsidRDefault="00C2613E" w:rsidP="00E265F0">
      <w:pPr>
        <w:spacing w:after="0" w:line="240" w:lineRule="auto"/>
        <w:jc w:val="both"/>
        <w:rPr>
          <w:rFonts w:ascii="Arial" w:eastAsiaTheme="minorHAnsi" w:hAnsi="Arial" w:cs="Arial"/>
          <w:i/>
          <w:iCs/>
          <w:sz w:val="20"/>
          <w:szCs w:val="20"/>
          <w:lang w:eastAsia="en-US"/>
        </w:rPr>
      </w:pPr>
      <w:bookmarkStart w:id="5" w:name="_Hlk40714437"/>
      <w:bookmarkEnd w:id="4"/>
      <w:r w:rsidRPr="00C10A1B">
        <w:rPr>
          <w:rFonts w:ascii="Arial" w:hAnsi="Arial" w:cs="Arial"/>
          <w:i/>
          <w:iCs/>
          <w:sz w:val="20"/>
          <w:szCs w:val="20"/>
        </w:rPr>
        <w:t>“</w:t>
      </w:r>
      <w:r w:rsidR="00C84F2F" w:rsidRPr="00C10A1B">
        <w:rPr>
          <w:rFonts w:ascii="Arial" w:eastAsia="Times New Roman" w:hAnsi="Arial" w:cs="Arial"/>
          <w:i/>
          <w:iCs/>
          <w:sz w:val="20"/>
          <w:szCs w:val="20"/>
        </w:rPr>
        <w:t xml:space="preserve">We are proud of what Cairn has achieved in Senegal. Our </w:t>
      </w:r>
      <w:r w:rsidRPr="00C10A1B">
        <w:rPr>
          <w:rFonts w:ascii="Arial" w:eastAsia="Times New Roman" w:hAnsi="Arial" w:cs="Arial"/>
          <w:i/>
          <w:iCs/>
          <w:sz w:val="20"/>
          <w:szCs w:val="20"/>
        </w:rPr>
        <w:t>discoveries were the country’s first deep</w:t>
      </w:r>
      <w:r w:rsidR="00522ECA" w:rsidRPr="00C10A1B">
        <w:rPr>
          <w:rFonts w:ascii="Arial" w:eastAsia="Times New Roman" w:hAnsi="Arial" w:cs="Arial"/>
          <w:i/>
          <w:iCs/>
          <w:sz w:val="20"/>
          <w:szCs w:val="20"/>
        </w:rPr>
        <w:t>-</w:t>
      </w:r>
      <w:r w:rsidRPr="00C10A1B">
        <w:rPr>
          <w:rFonts w:ascii="Arial" w:eastAsia="Times New Roman" w:hAnsi="Arial" w:cs="Arial"/>
          <w:i/>
          <w:iCs/>
          <w:sz w:val="20"/>
          <w:szCs w:val="20"/>
        </w:rPr>
        <w:t>water wells</w:t>
      </w:r>
      <w:r w:rsidR="005205E6" w:rsidRPr="00C10A1B">
        <w:rPr>
          <w:rFonts w:ascii="Arial" w:eastAsia="Times New Roman" w:hAnsi="Arial" w:cs="Arial"/>
          <w:i/>
          <w:iCs/>
          <w:sz w:val="20"/>
          <w:szCs w:val="20"/>
        </w:rPr>
        <w:t xml:space="preserve"> and opened </w:t>
      </w:r>
      <w:r w:rsidRPr="00C10A1B">
        <w:rPr>
          <w:rFonts w:ascii="Arial" w:eastAsia="Times New Roman" w:hAnsi="Arial" w:cs="Arial"/>
          <w:i/>
          <w:iCs/>
          <w:sz w:val="20"/>
          <w:szCs w:val="20"/>
        </w:rPr>
        <w:t>up a new basin play on the Atlantic Margin</w:t>
      </w:r>
      <w:r w:rsidR="005205E6" w:rsidRPr="00C10A1B">
        <w:rPr>
          <w:rFonts w:ascii="Arial" w:eastAsia="Times New Roman" w:hAnsi="Arial" w:cs="Arial"/>
          <w:i/>
          <w:iCs/>
          <w:sz w:val="20"/>
          <w:szCs w:val="20"/>
        </w:rPr>
        <w:t>. What’s more,</w:t>
      </w:r>
      <w:r w:rsidRPr="00C10A1B">
        <w:rPr>
          <w:rFonts w:ascii="Arial" w:eastAsia="Times New Roman" w:hAnsi="Arial" w:cs="Arial"/>
          <w:i/>
          <w:iCs/>
          <w:sz w:val="20"/>
          <w:szCs w:val="20"/>
        </w:rPr>
        <w:t xml:space="preserve"> </w:t>
      </w:r>
      <w:r w:rsidR="00817E42" w:rsidRPr="00C10A1B">
        <w:rPr>
          <w:rFonts w:ascii="Arial" w:eastAsia="Times New Roman" w:hAnsi="Arial" w:cs="Arial"/>
          <w:i/>
          <w:iCs/>
          <w:sz w:val="20"/>
          <w:szCs w:val="20"/>
        </w:rPr>
        <w:t>they</w:t>
      </w:r>
      <w:r w:rsidR="005205E6" w:rsidRPr="00C10A1B">
        <w:rPr>
          <w:rFonts w:ascii="Arial" w:eastAsia="Times New Roman" w:hAnsi="Arial" w:cs="Arial"/>
          <w:i/>
          <w:iCs/>
          <w:sz w:val="20"/>
          <w:szCs w:val="20"/>
        </w:rPr>
        <w:t xml:space="preserve"> successfully laid</w:t>
      </w:r>
      <w:r w:rsidRPr="00C10A1B">
        <w:rPr>
          <w:rFonts w:ascii="Arial" w:eastAsia="Times New Roman" w:hAnsi="Arial" w:cs="Arial"/>
          <w:i/>
          <w:iCs/>
          <w:sz w:val="20"/>
          <w:szCs w:val="20"/>
        </w:rPr>
        <w:t xml:space="preserve"> the foundations for Senegal’s first oil and gas development</w:t>
      </w:r>
      <w:r w:rsidR="009611A9">
        <w:rPr>
          <w:rFonts w:ascii="Arial" w:eastAsia="Times New Roman" w:hAnsi="Arial" w:cs="Arial"/>
          <w:i/>
          <w:iCs/>
          <w:sz w:val="20"/>
          <w:szCs w:val="20"/>
        </w:rPr>
        <w:t>,</w:t>
      </w:r>
      <w:r w:rsidRPr="00C10A1B">
        <w:rPr>
          <w:rFonts w:ascii="Arial" w:eastAsia="Times New Roman" w:hAnsi="Arial" w:cs="Arial"/>
          <w:i/>
          <w:iCs/>
          <w:sz w:val="20"/>
          <w:szCs w:val="20"/>
        </w:rPr>
        <w:t xml:space="preserve"> which will deliver enduring benefits to its people.</w:t>
      </w:r>
    </w:p>
    <w:p w14:paraId="25818533" w14:textId="77777777" w:rsidR="00C2613E" w:rsidRPr="00C10A1B" w:rsidRDefault="00C2613E" w:rsidP="00E265F0">
      <w:pPr>
        <w:spacing w:after="0" w:line="240" w:lineRule="auto"/>
        <w:jc w:val="both"/>
        <w:rPr>
          <w:rFonts w:ascii="Arial" w:hAnsi="Arial" w:cs="Arial"/>
          <w:i/>
          <w:iCs/>
          <w:sz w:val="20"/>
          <w:szCs w:val="20"/>
        </w:rPr>
      </w:pPr>
    </w:p>
    <w:p w14:paraId="261BDED9" w14:textId="158E6FC8" w:rsidR="00390066" w:rsidRDefault="008A18C9" w:rsidP="00497C85">
      <w:pPr>
        <w:spacing w:after="0" w:line="240" w:lineRule="auto"/>
        <w:jc w:val="both"/>
        <w:rPr>
          <w:rFonts w:ascii="Arial" w:eastAsia="Times New Roman" w:hAnsi="Arial" w:cs="Arial"/>
          <w:i/>
          <w:iCs/>
          <w:sz w:val="20"/>
          <w:szCs w:val="20"/>
        </w:rPr>
      </w:pPr>
      <w:r w:rsidRPr="00C10A1B">
        <w:rPr>
          <w:rFonts w:ascii="Arial" w:eastAsia="Times New Roman" w:hAnsi="Arial" w:cs="Arial"/>
          <w:i/>
          <w:iCs/>
          <w:sz w:val="20"/>
          <w:szCs w:val="20"/>
        </w:rPr>
        <w:t>With a strong balance sheet, low breakeven production and limited capital commitments, Cairn will have enhanced financial flexibility to invest in and grow the business whilst always remaining committed to returning excess cash to shareholders.</w:t>
      </w:r>
    </w:p>
    <w:p w14:paraId="1462F911" w14:textId="77777777" w:rsidR="00450CFA" w:rsidRDefault="00450CFA" w:rsidP="00497C85">
      <w:pPr>
        <w:spacing w:after="0" w:line="240" w:lineRule="auto"/>
        <w:jc w:val="both"/>
        <w:rPr>
          <w:rFonts w:ascii="Arial" w:eastAsia="Times New Roman" w:hAnsi="Arial" w:cs="Arial"/>
          <w:i/>
          <w:iCs/>
          <w:sz w:val="20"/>
          <w:szCs w:val="20"/>
        </w:rPr>
      </w:pPr>
    </w:p>
    <w:p w14:paraId="59D88559" w14:textId="77777777" w:rsidR="001478BB" w:rsidRDefault="00390066" w:rsidP="00497C85">
      <w:pPr>
        <w:spacing w:after="0" w:line="240" w:lineRule="auto"/>
        <w:jc w:val="both"/>
        <w:rPr>
          <w:rFonts w:ascii="Arial" w:hAnsi="Arial" w:cs="Arial"/>
          <w:i/>
          <w:iCs/>
          <w:sz w:val="20"/>
          <w:szCs w:val="20"/>
        </w:rPr>
      </w:pPr>
      <w:r w:rsidRPr="00C10A1B">
        <w:rPr>
          <w:rFonts w:ascii="Arial" w:hAnsi="Arial" w:cs="Arial"/>
          <w:i/>
          <w:iCs/>
          <w:sz w:val="20"/>
          <w:szCs w:val="20"/>
        </w:rPr>
        <w:lastRenderedPageBreak/>
        <w:t xml:space="preserve">The planned special dividend from the sale of the </w:t>
      </w:r>
      <w:proofErr w:type="spellStart"/>
      <w:r w:rsidRPr="00C10A1B">
        <w:rPr>
          <w:rFonts w:ascii="Arial" w:hAnsi="Arial" w:cs="Arial"/>
          <w:i/>
          <w:iCs/>
          <w:sz w:val="20"/>
          <w:szCs w:val="20"/>
        </w:rPr>
        <w:t>Sangomar</w:t>
      </w:r>
      <w:proofErr w:type="spellEnd"/>
      <w:r w:rsidRPr="00C10A1B">
        <w:rPr>
          <w:rFonts w:ascii="Arial" w:hAnsi="Arial" w:cs="Arial"/>
          <w:i/>
          <w:iCs/>
          <w:sz w:val="20"/>
          <w:szCs w:val="20"/>
        </w:rPr>
        <w:t xml:space="preserve"> asset reflects Cairn’s long-standing strict capital allocation strategy of active portfolio management and returning cash to shareholders.</w:t>
      </w:r>
    </w:p>
    <w:p w14:paraId="799D077C" w14:textId="77777777" w:rsidR="001478BB" w:rsidRDefault="001478BB" w:rsidP="00497C85">
      <w:pPr>
        <w:spacing w:after="0" w:line="240" w:lineRule="auto"/>
        <w:jc w:val="both"/>
        <w:rPr>
          <w:rFonts w:ascii="Arial" w:hAnsi="Arial" w:cs="Arial"/>
          <w:i/>
          <w:iCs/>
          <w:sz w:val="20"/>
          <w:szCs w:val="20"/>
        </w:rPr>
      </w:pPr>
    </w:p>
    <w:bookmarkEnd w:id="5"/>
    <w:p w14:paraId="18352413" w14:textId="0A65FC30" w:rsidR="001478BB" w:rsidRPr="00C10A1B" w:rsidRDefault="001478BB" w:rsidP="001478BB">
      <w:pPr>
        <w:jc w:val="both"/>
        <w:rPr>
          <w:rFonts w:ascii="Arial" w:hAnsi="Arial" w:cs="Arial"/>
          <w:i/>
          <w:iCs/>
          <w:sz w:val="20"/>
          <w:szCs w:val="20"/>
        </w:rPr>
      </w:pPr>
      <w:r w:rsidRPr="00C10A1B">
        <w:rPr>
          <w:rFonts w:ascii="Arial" w:hAnsi="Arial" w:cs="Arial"/>
          <w:i/>
          <w:iCs/>
          <w:sz w:val="20"/>
          <w:szCs w:val="20"/>
        </w:rPr>
        <w:t>We will work closely with the Government of Senegal, LUKOIL and joint venture partners to ensure the transaction is completed as soon as possible.</w:t>
      </w:r>
      <w:r>
        <w:rPr>
          <w:rFonts w:ascii="Arial" w:hAnsi="Arial" w:cs="Arial"/>
          <w:i/>
          <w:iCs/>
          <w:sz w:val="20"/>
          <w:szCs w:val="20"/>
        </w:rPr>
        <w:t>”</w:t>
      </w:r>
    </w:p>
    <w:p w14:paraId="0C7A488F" w14:textId="6280933A" w:rsidR="00497C85" w:rsidRPr="00C10A1B" w:rsidRDefault="00497C85" w:rsidP="00497C85">
      <w:pPr>
        <w:spacing w:after="0" w:line="240" w:lineRule="auto"/>
        <w:jc w:val="both"/>
        <w:rPr>
          <w:rFonts w:ascii="Arial" w:eastAsia="Times New Roman" w:hAnsi="Arial" w:cs="Arial"/>
          <w:b/>
          <w:i/>
          <w:iCs/>
          <w:sz w:val="20"/>
          <w:szCs w:val="20"/>
        </w:rPr>
      </w:pPr>
    </w:p>
    <w:p w14:paraId="452D6C0E" w14:textId="77777777" w:rsidR="005749A4" w:rsidRPr="00C10A1B" w:rsidRDefault="005749A4" w:rsidP="00497C85">
      <w:pPr>
        <w:spacing w:after="0" w:line="240" w:lineRule="auto"/>
        <w:jc w:val="both"/>
        <w:rPr>
          <w:rFonts w:ascii="Arial" w:eastAsia="Times New Roman" w:hAnsi="Arial" w:cs="Arial"/>
          <w:b/>
          <w:bCs/>
          <w:sz w:val="20"/>
          <w:szCs w:val="20"/>
        </w:rPr>
      </w:pPr>
    </w:p>
    <w:p w14:paraId="4A3E3DF6" w14:textId="4236A38F" w:rsidR="00497C85" w:rsidRPr="00C10A1B" w:rsidRDefault="00497C85" w:rsidP="00497C85">
      <w:pPr>
        <w:spacing w:after="0" w:line="240" w:lineRule="auto"/>
        <w:jc w:val="both"/>
        <w:rPr>
          <w:rFonts w:ascii="Arial" w:eastAsia="Times New Roman" w:hAnsi="Arial" w:cs="Arial"/>
          <w:b/>
          <w:bCs/>
          <w:sz w:val="20"/>
          <w:szCs w:val="20"/>
        </w:rPr>
      </w:pPr>
      <w:r w:rsidRPr="00C10A1B">
        <w:rPr>
          <w:rFonts w:ascii="Arial" w:eastAsia="Times New Roman" w:hAnsi="Arial" w:cs="Arial"/>
          <w:b/>
          <w:bCs/>
          <w:sz w:val="20"/>
          <w:szCs w:val="20"/>
        </w:rPr>
        <w:t>Circular</w:t>
      </w:r>
    </w:p>
    <w:p w14:paraId="50DBE00E" w14:textId="77777777" w:rsidR="00497C85" w:rsidRPr="00C10A1B" w:rsidRDefault="00497C85" w:rsidP="00497C85">
      <w:pPr>
        <w:spacing w:after="0" w:line="240" w:lineRule="auto"/>
        <w:jc w:val="both"/>
        <w:rPr>
          <w:rFonts w:ascii="Arial" w:eastAsia="Times New Roman" w:hAnsi="Arial" w:cs="Arial"/>
          <w:b/>
          <w:bCs/>
          <w:sz w:val="20"/>
          <w:szCs w:val="20"/>
        </w:rPr>
      </w:pPr>
      <w:r w:rsidRPr="00C10A1B">
        <w:rPr>
          <w:rFonts w:ascii="Arial" w:eastAsia="Times New Roman" w:hAnsi="Arial" w:cs="Arial"/>
          <w:b/>
          <w:bCs/>
          <w:sz w:val="20"/>
          <w:szCs w:val="20"/>
        </w:rPr>
        <w:t> </w:t>
      </w:r>
    </w:p>
    <w:p w14:paraId="1E2F6330" w14:textId="4EEB1645" w:rsidR="00497C85" w:rsidRPr="00C10A1B" w:rsidRDefault="007171D7" w:rsidP="00497C85">
      <w:pPr>
        <w:spacing w:after="0" w:line="240" w:lineRule="auto"/>
        <w:jc w:val="both"/>
        <w:rPr>
          <w:rFonts w:ascii="Arial" w:eastAsia="Times New Roman" w:hAnsi="Arial" w:cs="Arial"/>
          <w:sz w:val="20"/>
          <w:szCs w:val="20"/>
        </w:rPr>
      </w:pPr>
      <w:r w:rsidRPr="00C10A1B">
        <w:rPr>
          <w:rFonts w:ascii="Arial" w:eastAsia="Times New Roman" w:hAnsi="Arial" w:cs="Arial"/>
          <w:sz w:val="20"/>
          <w:szCs w:val="20"/>
        </w:rPr>
        <w:t xml:space="preserve">The disposal is a Class 1 </w:t>
      </w:r>
      <w:r w:rsidR="0020636F" w:rsidRPr="00C10A1B">
        <w:rPr>
          <w:rFonts w:ascii="Arial" w:eastAsia="Times New Roman" w:hAnsi="Arial" w:cs="Arial"/>
          <w:sz w:val="20"/>
          <w:szCs w:val="20"/>
        </w:rPr>
        <w:t>transaction</w:t>
      </w:r>
      <w:r w:rsidRPr="00C10A1B">
        <w:rPr>
          <w:rFonts w:ascii="Arial" w:eastAsia="Times New Roman" w:hAnsi="Arial" w:cs="Arial"/>
          <w:sz w:val="20"/>
          <w:szCs w:val="20"/>
        </w:rPr>
        <w:t xml:space="preserve"> and subject to shareholder approval. </w:t>
      </w:r>
      <w:r w:rsidR="00497C85" w:rsidRPr="00C10A1B">
        <w:rPr>
          <w:rFonts w:ascii="Arial" w:eastAsia="Times New Roman" w:hAnsi="Arial" w:cs="Arial"/>
          <w:sz w:val="20"/>
          <w:szCs w:val="20"/>
        </w:rPr>
        <w:t xml:space="preserve">Cairn will </w:t>
      </w:r>
      <w:r w:rsidR="00233273">
        <w:rPr>
          <w:rFonts w:ascii="Arial" w:eastAsia="Times New Roman" w:hAnsi="Arial" w:cs="Arial"/>
          <w:sz w:val="20"/>
          <w:szCs w:val="20"/>
        </w:rPr>
        <w:t>publish</w:t>
      </w:r>
      <w:r w:rsidR="00497C85" w:rsidRPr="00C10A1B">
        <w:rPr>
          <w:rFonts w:ascii="Arial" w:eastAsia="Times New Roman" w:hAnsi="Arial" w:cs="Arial"/>
          <w:sz w:val="20"/>
          <w:szCs w:val="20"/>
        </w:rPr>
        <w:t xml:space="preserve"> a circular to shareholders in due course setting out further details of the Transaction and convening </w:t>
      </w:r>
      <w:r w:rsidR="00BC1D87" w:rsidRPr="00C10A1B">
        <w:rPr>
          <w:rFonts w:ascii="Arial" w:eastAsia="Times New Roman" w:hAnsi="Arial" w:cs="Arial"/>
          <w:sz w:val="20"/>
          <w:szCs w:val="20"/>
        </w:rPr>
        <w:t>the</w:t>
      </w:r>
      <w:r w:rsidR="00497C85" w:rsidRPr="00C10A1B">
        <w:rPr>
          <w:rFonts w:ascii="Arial" w:eastAsia="Times New Roman" w:hAnsi="Arial" w:cs="Arial"/>
          <w:sz w:val="20"/>
          <w:szCs w:val="20"/>
        </w:rPr>
        <w:t xml:space="preserve"> </w:t>
      </w:r>
      <w:r w:rsidR="00BC1D87" w:rsidRPr="00C10A1B">
        <w:rPr>
          <w:rFonts w:ascii="Arial" w:eastAsia="Times New Roman" w:hAnsi="Arial" w:cs="Arial"/>
          <w:sz w:val="20"/>
          <w:szCs w:val="20"/>
        </w:rPr>
        <w:t>G</w:t>
      </w:r>
      <w:r w:rsidR="00497C85" w:rsidRPr="00C10A1B">
        <w:rPr>
          <w:rFonts w:ascii="Arial" w:eastAsia="Times New Roman" w:hAnsi="Arial" w:cs="Arial"/>
          <w:sz w:val="20"/>
          <w:szCs w:val="20"/>
        </w:rPr>
        <w:t xml:space="preserve">eneral </w:t>
      </w:r>
      <w:r w:rsidR="00BC1D87" w:rsidRPr="00C10A1B">
        <w:rPr>
          <w:rFonts w:ascii="Arial" w:eastAsia="Times New Roman" w:hAnsi="Arial" w:cs="Arial"/>
          <w:sz w:val="20"/>
          <w:szCs w:val="20"/>
        </w:rPr>
        <w:t>M</w:t>
      </w:r>
      <w:r w:rsidR="00497C85" w:rsidRPr="00C10A1B">
        <w:rPr>
          <w:rFonts w:ascii="Arial" w:eastAsia="Times New Roman" w:hAnsi="Arial" w:cs="Arial"/>
          <w:sz w:val="20"/>
          <w:szCs w:val="20"/>
        </w:rPr>
        <w:t>eeting, at which shareholder approval will be sought for the Transaction.</w:t>
      </w:r>
    </w:p>
    <w:p w14:paraId="2216E581" w14:textId="636F3823" w:rsidR="008E2295" w:rsidRPr="00C10A1B" w:rsidRDefault="008E2295" w:rsidP="00497C85">
      <w:pPr>
        <w:spacing w:after="0" w:line="240" w:lineRule="auto"/>
        <w:jc w:val="both"/>
        <w:rPr>
          <w:rFonts w:ascii="Arial" w:eastAsia="Times New Roman" w:hAnsi="Arial" w:cs="Arial"/>
          <w:sz w:val="20"/>
          <w:szCs w:val="20"/>
        </w:rPr>
      </w:pPr>
    </w:p>
    <w:p w14:paraId="1A9B3A4B" w14:textId="0F6B2EAF" w:rsidR="00104C12" w:rsidRDefault="00104C12" w:rsidP="00104C12">
      <w:pPr>
        <w:jc w:val="both"/>
        <w:rPr>
          <w:rFonts w:ascii="Arial" w:eastAsia="Times New Roman" w:hAnsi="Arial" w:cs="Arial"/>
          <w:sz w:val="20"/>
          <w:szCs w:val="20"/>
        </w:rPr>
      </w:pPr>
      <w:r>
        <w:rPr>
          <w:rFonts w:ascii="Arial" w:eastAsia="Times New Roman" w:hAnsi="Arial" w:cs="Arial"/>
          <w:sz w:val="20"/>
          <w:szCs w:val="20"/>
        </w:rPr>
        <w:t>Rothschild &amp; Co is acting as sponsor and financial advisor to Cairn in connection with the Transaction.</w:t>
      </w:r>
    </w:p>
    <w:p w14:paraId="0B2A1F9F" w14:textId="5376C5D1" w:rsidR="00104C12" w:rsidRDefault="00104C12" w:rsidP="00E265F0">
      <w:pPr>
        <w:spacing w:after="0" w:line="240" w:lineRule="auto"/>
        <w:jc w:val="both"/>
        <w:rPr>
          <w:rFonts w:ascii="Arial" w:eastAsia="Times New Roman" w:hAnsi="Arial" w:cs="Arial"/>
          <w:sz w:val="20"/>
          <w:szCs w:val="20"/>
        </w:rPr>
      </w:pPr>
      <w:r>
        <w:rPr>
          <w:rFonts w:ascii="Arial" w:eastAsia="Times New Roman" w:hAnsi="Arial" w:cs="Arial"/>
          <w:sz w:val="20"/>
          <w:szCs w:val="20"/>
        </w:rPr>
        <w:t>Jefferies International Limited is acting as financial advisor to Cairn in connection with the Transaction.</w:t>
      </w:r>
    </w:p>
    <w:p w14:paraId="61FB5097" w14:textId="77777777" w:rsidR="00104C12" w:rsidRDefault="00104C12" w:rsidP="00E265F0">
      <w:pPr>
        <w:spacing w:after="0" w:line="240" w:lineRule="auto"/>
        <w:jc w:val="both"/>
        <w:rPr>
          <w:rFonts w:ascii="Arial" w:eastAsia="Times New Roman" w:hAnsi="Arial" w:cs="Arial"/>
          <w:sz w:val="20"/>
          <w:szCs w:val="20"/>
        </w:rPr>
      </w:pPr>
    </w:p>
    <w:p w14:paraId="3CC99259" w14:textId="6A0BCE6E" w:rsidR="008E2295" w:rsidRPr="00C10A1B" w:rsidRDefault="008E2295" w:rsidP="00E265F0">
      <w:pPr>
        <w:spacing w:after="0" w:line="240" w:lineRule="auto"/>
        <w:jc w:val="both"/>
        <w:rPr>
          <w:rFonts w:ascii="Arial" w:eastAsia="Times New Roman" w:hAnsi="Arial" w:cs="Arial"/>
          <w:sz w:val="20"/>
          <w:szCs w:val="20"/>
        </w:rPr>
      </w:pPr>
      <w:r w:rsidRPr="00C10A1B">
        <w:rPr>
          <w:rFonts w:ascii="Arial" w:eastAsia="Times New Roman" w:hAnsi="Arial" w:cs="Arial"/>
          <w:sz w:val="20"/>
          <w:szCs w:val="20"/>
        </w:rPr>
        <w:t>This summary should be read in conjunction with the full text of this announcement. Capitalised terms used in this announcement have the meanings given to them in the</w:t>
      </w:r>
      <w:r w:rsidR="00DD33DF" w:rsidRPr="00C10A1B">
        <w:rPr>
          <w:rFonts w:ascii="Arial" w:eastAsia="Times New Roman" w:hAnsi="Arial" w:cs="Arial"/>
          <w:sz w:val="20"/>
          <w:szCs w:val="20"/>
        </w:rPr>
        <w:t xml:space="preserve"> Appendix</w:t>
      </w:r>
      <w:r w:rsidRPr="00C10A1B">
        <w:rPr>
          <w:rFonts w:ascii="Arial" w:eastAsia="Times New Roman" w:hAnsi="Arial" w:cs="Arial"/>
          <w:sz w:val="20"/>
          <w:szCs w:val="20"/>
        </w:rPr>
        <w:t>.</w:t>
      </w:r>
    </w:p>
    <w:bookmarkEnd w:id="1"/>
    <w:p w14:paraId="26E9FE3B" w14:textId="77777777" w:rsidR="00497C85" w:rsidRPr="00C10A1B" w:rsidRDefault="00497C85" w:rsidP="00497C85">
      <w:pPr>
        <w:spacing w:after="0" w:line="240" w:lineRule="auto"/>
        <w:jc w:val="both"/>
        <w:rPr>
          <w:rFonts w:ascii="Arial" w:eastAsia="Times New Roman" w:hAnsi="Arial" w:cs="Arial"/>
          <w:b/>
          <w:bCs/>
          <w:sz w:val="20"/>
          <w:szCs w:val="20"/>
        </w:rPr>
      </w:pPr>
      <w:r w:rsidRPr="00C10A1B">
        <w:rPr>
          <w:rFonts w:ascii="Arial" w:eastAsia="Times New Roman" w:hAnsi="Arial" w:cs="Arial"/>
          <w:b/>
          <w:bCs/>
          <w:sz w:val="20"/>
          <w:szCs w:val="20"/>
        </w:rPr>
        <w:t> </w:t>
      </w:r>
    </w:p>
    <w:p w14:paraId="069DCFE6" w14:textId="78F23594" w:rsidR="00C10A1B" w:rsidRPr="00C10A1B" w:rsidRDefault="00C10A1B" w:rsidP="00C10A1B">
      <w:pPr>
        <w:tabs>
          <w:tab w:val="left" w:pos="2835"/>
        </w:tabs>
        <w:spacing w:before="240"/>
        <w:rPr>
          <w:rFonts w:ascii="Arial" w:hAnsi="Arial" w:cs="Arial"/>
          <w:iCs/>
          <w:sz w:val="20"/>
          <w:szCs w:val="20"/>
        </w:rPr>
      </w:pPr>
    </w:p>
    <w:p w14:paraId="5C80DC44" w14:textId="77777777" w:rsidR="006D5D61" w:rsidRPr="00C10A1B" w:rsidRDefault="006D5D61">
      <w:pPr>
        <w:rPr>
          <w:rFonts w:ascii="Arial" w:eastAsia="Times New Roman" w:hAnsi="Arial" w:cs="Arial"/>
          <w:b/>
          <w:bCs/>
          <w:sz w:val="20"/>
          <w:szCs w:val="20"/>
        </w:rPr>
      </w:pPr>
      <w:r w:rsidRPr="00C10A1B">
        <w:rPr>
          <w:rFonts w:ascii="Arial" w:eastAsia="Times New Roman" w:hAnsi="Arial" w:cs="Arial"/>
          <w:b/>
          <w:bCs/>
          <w:sz w:val="20"/>
          <w:szCs w:val="20"/>
        </w:rPr>
        <w:br w:type="page"/>
      </w: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6212"/>
        <w:gridCol w:w="2572"/>
      </w:tblGrid>
      <w:tr w:rsidR="00AA6016" w:rsidRPr="00DF71DB" w14:paraId="67B0E609" w14:textId="77777777" w:rsidTr="002E47DD">
        <w:tc>
          <w:tcPr>
            <w:tcW w:w="6212" w:type="dxa"/>
          </w:tcPr>
          <w:p w14:paraId="4E872DB8" w14:textId="77777777" w:rsidR="00AA6016" w:rsidRPr="00DF71DB" w:rsidRDefault="00AA6016" w:rsidP="002E47DD">
            <w:pPr>
              <w:spacing w:line="360" w:lineRule="auto"/>
              <w:jc w:val="both"/>
              <w:rPr>
                <w:rStyle w:val="Strong"/>
                <w:rFonts w:ascii="Arial" w:hAnsi="Arial" w:cs="Arial"/>
              </w:rPr>
            </w:pPr>
          </w:p>
          <w:p w14:paraId="547B1B78" w14:textId="77777777" w:rsidR="00AA6016" w:rsidRPr="00DF71DB" w:rsidRDefault="00AA6016" w:rsidP="002E47DD">
            <w:pPr>
              <w:spacing w:line="360" w:lineRule="auto"/>
              <w:jc w:val="both"/>
              <w:rPr>
                <w:rFonts w:ascii="Arial" w:hAnsi="Arial" w:cs="Arial"/>
              </w:rPr>
            </w:pPr>
            <w:r w:rsidRPr="00DF71DB">
              <w:rPr>
                <w:rStyle w:val="Strong"/>
                <w:rFonts w:ascii="Arial" w:hAnsi="Arial" w:cs="Arial"/>
              </w:rPr>
              <w:t>Enquiries:</w:t>
            </w:r>
          </w:p>
        </w:tc>
        <w:tc>
          <w:tcPr>
            <w:tcW w:w="2572" w:type="dxa"/>
          </w:tcPr>
          <w:p w14:paraId="11D9B2E6" w14:textId="77777777" w:rsidR="00AA6016" w:rsidRPr="00DF71DB" w:rsidRDefault="00AA6016" w:rsidP="002E47DD">
            <w:pPr>
              <w:spacing w:line="360" w:lineRule="auto"/>
              <w:jc w:val="both"/>
              <w:rPr>
                <w:rFonts w:ascii="Arial" w:hAnsi="Arial" w:cs="Arial"/>
                <w:b/>
              </w:rPr>
            </w:pPr>
          </w:p>
        </w:tc>
      </w:tr>
      <w:tr w:rsidR="00AA6016" w:rsidRPr="00DF71DB" w14:paraId="6552C2C8" w14:textId="77777777" w:rsidTr="002E47DD">
        <w:tc>
          <w:tcPr>
            <w:tcW w:w="6212" w:type="dxa"/>
          </w:tcPr>
          <w:p w14:paraId="0875E83A" w14:textId="77777777" w:rsidR="00AA6016" w:rsidRPr="00DF71DB" w:rsidRDefault="00AA6016" w:rsidP="002E47DD">
            <w:pPr>
              <w:spacing w:line="360" w:lineRule="auto"/>
              <w:jc w:val="both"/>
              <w:rPr>
                <w:rFonts w:ascii="Arial" w:hAnsi="Arial" w:cs="Arial"/>
                <w:u w:val="single"/>
              </w:rPr>
            </w:pPr>
          </w:p>
        </w:tc>
        <w:tc>
          <w:tcPr>
            <w:tcW w:w="2572" w:type="dxa"/>
          </w:tcPr>
          <w:p w14:paraId="2E5A9D56" w14:textId="77777777" w:rsidR="00AA6016" w:rsidRPr="00DF71DB" w:rsidRDefault="00AA6016" w:rsidP="002E47DD">
            <w:pPr>
              <w:spacing w:line="360" w:lineRule="auto"/>
              <w:jc w:val="both"/>
              <w:rPr>
                <w:rFonts w:ascii="Arial" w:hAnsi="Arial" w:cs="Arial"/>
                <w:b/>
              </w:rPr>
            </w:pPr>
          </w:p>
        </w:tc>
      </w:tr>
      <w:tr w:rsidR="00AA6016" w:rsidRPr="00DF71DB" w14:paraId="29BCB917" w14:textId="77777777" w:rsidTr="002E47DD">
        <w:tc>
          <w:tcPr>
            <w:tcW w:w="6212" w:type="dxa"/>
            <w:hideMark/>
          </w:tcPr>
          <w:p w14:paraId="33076AFE" w14:textId="77777777" w:rsidR="00AA6016" w:rsidRPr="00DF71DB" w:rsidRDefault="00AA6016" w:rsidP="002E47DD">
            <w:pPr>
              <w:spacing w:line="360" w:lineRule="auto"/>
              <w:rPr>
                <w:rFonts w:ascii="Arial" w:hAnsi="Arial" w:cs="Arial"/>
                <w:u w:val="single"/>
              </w:rPr>
            </w:pPr>
            <w:r w:rsidRPr="00DF71DB">
              <w:rPr>
                <w:rFonts w:ascii="Arial" w:hAnsi="Arial" w:cs="Arial"/>
                <w:u w:val="single"/>
              </w:rPr>
              <w:t>Analysts/Investors</w:t>
            </w:r>
          </w:p>
        </w:tc>
        <w:tc>
          <w:tcPr>
            <w:tcW w:w="2572" w:type="dxa"/>
          </w:tcPr>
          <w:p w14:paraId="3EA0612C" w14:textId="77777777" w:rsidR="00AA6016" w:rsidRPr="00DF71DB" w:rsidRDefault="00AA6016" w:rsidP="002E47DD">
            <w:pPr>
              <w:spacing w:line="360" w:lineRule="auto"/>
              <w:rPr>
                <w:rFonts w:ascii="Arial" w:hAnsi="Arial" w:cs="Arial"/>
              </w:rPr>
            </w:pPr>
          </w:p>
        </w:tc>
      </w:tr>
      <w:tr w:rsidR="00AA6016" w:rsidRPr="00DF71DB" w14:paraId="4F316980" w14:textId="77777777" w:rsidTr="002E47DD">
        <w:tc>
          <w:tcPr>
            <w:tcW w:w="6212" w:type="dxa"/>
            <w:hideMark/>
          </w:tcPr>
          <w:p w14:paraId="4815749B" w14:textId="77777777" w:rsidR="00AA6016" w:rsidRPr="00DF71DB" w:rsidRDefault="00AA6016" w:rsidP="002E47DD">
            <w:pPr>
              <w:spacing w:line="360" w:lineRule="auto"/>
              <w:rPr>
                <w:rFonts w:ascii="Arial" w:hAnsi="Arial" w:cs="Arial"/>
              </w:rPr>
            </w:pPr>
            <w:r w:rsidRPr="00DF71DB">
              <w:rPr>
                <w:rFonts w:ascii="Arial" w:hAnsi="Arial" w:cs="Arial"/>
              </w:rPr>
              <w:t xml:space="preserve">David Nisbet, Corporate Affairs </w:t>
            </w:r>
          </w:p>
        </w:tc>
        <w:tc>
          <w:tcPr>
            <w:tcW w:w="2572" w:type="dxa"/>
            <w:hideMark/>
          </w:tcPr>
          <w:p w14:paraId="7A27428F" w14:textId="77777777" w:rsidR="00AA6016" w:rsidRPr="00DF71DB" w:rsidRDefault="00AA6016" w:rsidP="002E47DD">
            <w:pPr>
              <w:spacing w:line="360" w:lineRule="auto"/>
              <w:rPr>
                <w:rFonts w:ascii="Arial" w:hAnsi="Arial" w:cs="Arial"/>
                <w:b/>
              </w:rPr>
            </w:pPr>
            <w:r w:rsidRPr="00DF71DB">
              <w:rPr>
                <w:rFonts w:ascii="Arial" w:hAnsi="Arial" w:cs="Arial"/>
                <w:b/>
              </w:rPr>
              <w:t>Tel: 0131 475 3000</w:t>
            </w:r>
          </w:p>
        </w:tc>
      </w:tr>
      <w:tr w:rsidR="00AA6016" w:rsidRPr="00DF71DB" w14:paraId="514BC9E7" w14:textId="77777777" w:rsidTr="002E47DD">
        <w:tc>
          <w:tcPr>
            <w:tcW w:w="6212" w:type="dxa"/>
            <w:hideMark/>
          </w:tcPr>
          <w:p w14:paraId="35A92F96" w14:textId="77777777" w:rsidR="00AA6016" w:rsidRPr="00DF71DB" w:rsidRDefault="00AA6016" w:rsidP="002E47DD">
            <w:pPr>
              <w:spacing w:line="360" w:lineRule="auto"/>
              <w:rPr>
                <w:rFonts w:ascii="Arial" w:hAnsi="Arial" w:cs="Arial"/>
                <w:u w:val="single"/>
              </w:rPr>
            </w:pPr>
            <w:r w:rsidRPr="00DF71DB">
              <w:rPr>
                <w:rFonts w:ascii="Arial" w:hAnsi="Arial" w:cs="Arial"/>
                <w:u w:val="single"/>
              </w:rPr>
              <w:t>Media</w:t>
            </w:r>
          </w:p>
        </w:tc>
        <w:tc>
          <w:tcPr>
            <w:tcW w:w="2572" w:type="dxa"/>
          </w:tcPr>
          <w:p w14:paraId="36937066" w14:textId="77777777" w:rsidR="00AA6016" w:rsidRPr="00DF71DB" w:rsidRDefault="00AA6016" w:rsidP="002E47DD">
            <w:pPr>
              <w:spacing w:line="360" w:lineRule="auto"/>
              <w:rPr>
                <w:rFonts w:ascii="Arial" w:hAnsi="Arial" w:cs="Arial"/>
                <w:u w:val="single"/>
              </w:rPr>
            </w:pPr>
          </w:p>
        </w:tc>
      </w:tr>
      <w:tr w:rsidR="00AA6016" w:rsidRPr="00DF71DB" w14:paraId="2C64A9BE" w14:textId="77777777" w:rsidTr="002E47DD">
        <w:tc>
          <w:tcPr>
            <w:tcW w:w="6212" w:type="dxa"/>
          </w:tcPr>
          <w:p w14:paraId="638D7C61" w14:textId="77777777" w:rsidR="00AA6016" w:rsidRPr="00DF71DB" w:rsidRDefault="00AA6016" w:rsidP="002E47DD">
            <w:pPr>
              <w:spacing w:line="360" w:lineRule="auto"/>
              <w:rPr>
                <w:rFonts w:ascii="Arial" w:hAnsi="Arial" w:cs="Arial"/>
                <w:b/>
              </w:rPr>
            </w:pPr>
            <w:r w:rsidRPr="00DF71DB">
              <w:rPr>
                <w:rFonts w:ascii="Arial" w:hAnsi="Arial" w:cs="Arial"/>
              </w:rPr>
              <w:t>Linda Bain, Corporate Affairs</w:t>
            </w:r>
          </w:p>
        </w:tc>
        <w:tc>
          <w:tcPr>
            <w:tcW w:w="2572" w:type="dxa"/>
          </w:tcPr>
          <w:p w14:paraId="45E990CC" w14:textId="77777777" w:rsidR="00AA6016" w:rsidRPr="00DF71DB" w:rsidRDefault="00AA6016" w:rsidP="002E47DD">
            <w:pPr>
              <w:spacing w:line="360" w:lineRule="auto"/>
              <w:rPr>
                <w:rFonts w:ascii="Arial" w:hAnsi="Arial" w:cs="Arial"/>
                <w:b/>
              </w:rPr>
            </w:pPr>
            <w:r w:rsidRPr="00DF71DB">
              <w:rPr>
                <w:rFonts w:ascii="Arial" w:hAnsi="Arial" w:cs="Arial"/>
                <w:b/>
              </w:rPr>
              <w:t>Tel: 0131 475 3000</w:t>
            </w:r>
          </w:p>
        </w:tc>
      </w:tr>
      <w:tr w:rsidR="00AA6016" w:rsidRPr="00DF71DB" w14:paraId="12D39E14" w14:textId="77777777" w:rsidTr="002E47DD">
        <w:tc>
          <w:tcPr>
            <w:tcW w:w="6212" w:type="dxa"/>
          </w:tcPr>
          <w:p w14:paraId="2CD0AA60" w14:textId="77777777" w:rsidR="00AA6016" w:rsidRPr="00DF71DB" w:rsidRDefault="00AA6016" w:rsidP="002E47DD">
            <w:pPr>
              <w:spacing w:line="360" w:lineRule="auto"/>
              <w:rPr>
                <w:rFonts w:ascii="Arial" w:hAnsi="Arial" w:cs="Arial"/>
              </w:rPr>
            </w:pPr>
          </w:p>
        </w:tc>
        <w:tc>
          <w:tcPr>
            <w:tcW w:w="2572" w:type="dxa"/>
          </w:tcPr>
          <w:p w14:paraId="5C25023C" w14:textId="77777777" w:rsidR="00AA6016" w:rsidRPr="00DF71DB" w:rsidRDefault="00AA6016" w:rsidP="002E47DD">
            <w:pPr>
              <w:spacing w:line="360" w:lineRule="auto"/>
              <w:rPr>
                <w:rFonts w:ascii="Arial" w:hAnsi="Arial" w:cs="Arial"/>
                <w:b/>
              </w:rPr>
            </w:pPr>
          </w:p>
        </w:tc>
      </w:tr>
      <w:tr w:rsidR="00AA6016" w:rsidRPr="00DF71DB" w14:paraId="4EEB6D71" w14:textId="77777777" w:rsidTr="002E47DD">
        <w:trPr>
          <w:trHeight w:val="623"/>
        </w:trPr>
        <w:tc>
          <w:tcPr>
            <w:tcW w:w="6212" w:type="dxa"/>
          </w:tcPr>
          <w:p w14:paraId="5B64166B" w14:textId="77777777" w:rsidR="00AA6016" w:rsidRPr="00DF71DB" w:rsidRDefault="00AA6016" w:rsidP="002E47DD">
            <w:pPr>
              <w:spacing w:line="360" w:lineRule="auto"/>
              <w:rPr>
                <w:rFonts w:ascii="Arial" w:hAnsi="Arial" w:cs="Arial"/>
                <w:b/>
              </w:rPr>
            </w:pPr>
            <w:r w:rsidRPr="00DF71DB">
              <w:rPr>
                <w:rFonts w:ascii="Arial" w:hAnsi="Arial" w:cs="Arial"/>
              </w:rPr>
              <w:t>Patrick Handley/David Litterick, Brunswick Group LLP</w:t>
            </w:r>
          </w:p>
        </w:tc>
        <w:tc>
          <w:tcPr>
            <w:tcW w:w="2572" w:type="dxa"/>
            <w:hideMark/>
          </w:tcPr>
          <w:p w14:paraId="29BCE6B5" w14:textId="77777777" w:rsidR="00AA6016" w:rsidRPr="00DF71DB" w:rsidRDefault="00AA6016" w:rsidP="002E47DD">
            <w:pPr>
              <w:spacing w:line="360" w:lineRule="auto"/>
              <w:rPr>
                <w:rFonts w:ascii="Arial" w:hAnsi="Arial" w:cs="Arial"/>
                <w:b/>
              </w:rPr>
            </w:pPr>
            <w:r w:rsidRPr="00DF71DB">
              <w:rPr>
                <w:rFonts w:ascii="Arial" w:hAnsi="Arial" w:cs="Arial"/>
                <w:b/>
              </w:rPr>
              <w:t>Tel: 0207 404 5959</w:t>
            </w:r>
          </w:p>
        </w:tc>
      </w:tr>
    </w:tbl>
    <w:p w14:paraId="6F5C548D" w14:textId="77777777" w:rsidR="00497C85" w:rsidRPr="00C10A1B" w:rsidRDefault="00497C85" w:rsidP="00497C85">
      <w:pPr>
        <w:spacing w:after="0" w:line="240" w:lineRule="auto"/>
        <w:jc w:val="both"/>
        <w:rPr>
          <w:rFonts w:ascii="Arial" w:eastAsia="Times New Roman" w:hAnsi="Arial" w:cs="Arial"/>
          <w:b/>
          <w:bCs/>
          <w:sz w:val="20"/>
          <w:szCs w:val="20"/>
        </w:rPr>
      </w:pPr>
      <w:r w:rsidRPr="00C10A1B">
        <w:rPr>
          <w:rFonts w:ascii="Arial" w:eastAsia="Times New Roman" w:hAnsi="Arial" w:cs="Arial"/>
          <w:b/>
          <w:bCs/>
          <w:sz w:val="20"/>
          <w:szCs w:val="20"/>
        </w:rPr>
        <w:t> </w:t>
      </w:r>
    </w:p>
    <w:p w14:paraId="32CFBE46" w14:textId="77777777" w:rsidR="00694074" w:rsidRDefault="00694074" w:rsidP="00694074">
      <w:pPr>
        <w:jc w:val="both"/>
        <w:rPr>
          <w:rFonts w:ascii="Arial" w:hAnsi="Arial" w:cs="Arial"/>
          <w:sz w:val="20"/>
          <w:szCs w:val="20"/>
        </w:rPr>
      </w:pPr>
      <w:r w:rsidRPr="00694074">
        <w:rPr>
          <w:rFonts w:ascii="Arial" w:hAnsi="Arial" w:cs="Arial"/>
          <w:sz w:val="20"/>
          <w:szCs w:val="20"/>
        </w:rPr>
        <w:t>There will be a live audio webcast of the conference call being held to discuss the transaction at</w:t>
      </w:r>
      <w:r>
        <w:rPr>
          <w:rFonts w:ascii="Arial" w:hAnsi="Arial" w:cs="Arial"/>
          <w:sz w:val="20"/>
          <w:szCs w:val="20"/>
        </w:rPr>
        <w:t>:</w:t>
      </w:r>
    </w:p>
    <w:p w14:paraId="0B73E2FC" w14:textId="6687881D" w:rsidR="00694074" w:rsidRPr="009C082D" w:rsidRDefault="00694074" w:rsidP="00694074">
      <w:pPr>
        <w:jc w:val="both"/>
        <w:rPr>
          <w:rFonts w:ascii="Arial" w:hAnsi="Arial" w:cs="Arial"/>
          <w:b/>
          <w:bCs/>
          <w:sz w:val="20"/>
          <w:szCs w:val="20"/>
        </w:rPr>
      </w:pPr>
      <w:r w:rsidRPr="009C082D">
        <w:rPr>
          <w:rFonts w:ascii="Arial" w:hAnsi="Arial" w:cs="Arial"/>
          <w:b/>
          <w:bCs/>
          <w:sz w:val="20"/>
          <w:szCs w:val="20"/>
        </w:rPr>
        <w:t>9am on Monday 27 July 2020</w:t>
      </w:r>
    </w:p>
    <w:p w14:paraId="7921F2E6" w14:textId="26704AAE" w:rsidR="00694074" w:rsidRDefault="00694074" w:rsidP="00694074">
      <w:pPr>
        <w:jc w:val="both"/>
        <w:rPr>
          <w:rFonts w:ascii="Arial" w:hAnsi="Arial" w:cs="Arial"/>
          <w:sz w:val="20"/>
          <w:szCs w:val="20"/>
        </w:rPr>
      </w:pPr>
      <w:r>
        <w:rPr>
          <w:rFonts w:ascii="Arial" w:hAnsi="Arial" w:cs="Arial"/>
          <w:sz w:val="20"/>
          <w:szCs w:val="20"/>
        </w:rPr>
        <w:t>This can be</w:t>
      </w:r>
      <w:r w:rsidRPr="00694074">
        <w:rPr>
          <w:rFonts w:ascii="Arial" w:hAnsi="Arial" w:cs="Arial"/>
          <w:sz w:val="20"/>
          <w:szCs w:val="20"/>
        </w:rPr>
        <w:t xml:space="preserve"> accessed via</w:t>
      </w:r>
      <w:r>
        <w:rPr>
          <w:rFonts w:ascii="Arial" w:hAnsi="Arial" w:cs="Arial"/>
          <w:sz w:val="20"/>
          <w:szCs w:val="20"/>
        </w:rPr>
        <w:t>:</w:t>
      </w:r>
    </w:p>
    <w:p w14:paraId="041A9FD5" w14:textId="77777777" w:rsidR="00694074" w:rsidRDefault="00A96616" w:rsidP="00694074">
      <w:pPr>
        <w:jc w:val="both"/>
        <w:rPr>
          <w:rFonts w:ascii="Arial" w:hAnsi="Arial" w:cs="Arial"/>
          <w:sz w:val="20"/>
          <w:szCs w:val="20"/>
        </w:rPr>
      </w:pPr>
      <w:hyperlink r:id="rId12" w:history="1">
        <w:r w:rsidR="00694074" w:rsidRPr="00694074">
          <w:rPr>
            <w:rStyle w:val="Hyperlink"/>
            <w:rFonts w:ascii="Arial" w:hAnsi="Arial" w:cs="Arial"/>
            <w:sz w:val="20"/>
            <w:szCs w:val="20"/>
          </w:rPr>
          <w:t>https://www.cairnenergy.com/investors/</w:t>
        </w:r>
      </w:hyperlink>
      <w:r w:rsidR="00694074" w:rsidRPr="00694074">
        <w:rPr>
          <w:rFonts w:ascii="Arial" w:hAnsi="Arial" w:cs="Arial"/>
          <w:sz w:val="20"/>
          <w:szCs w:val="20"/>
        </w:rPr>
        <w:t xml:space="preserve"> </w:t>
      </w:r>
    </w:p>
    <w:p w14:paraId="1AA545CB" w14:textId="77777777" w:rsidR="00694074" w:rsidRDefault="00694074" w:rsidP="00694074">
      <w:pPr>
        <w:jc w:val="both"/>
        <w:rPr>
          <w:rFonts w:ascii="Arial" w:hAnsi="Arial" w:cs="Arial"/>
          <w:sz w:val="20"/>
          <w:szCs w:val="20"/>
        </w:rPr>
      </w:pPr>
      <w:r w:rsidRPr="00694074">
        <w:rPr>
          <w:rFonts w:ascii="Arial" w:hAnsi="Arial" w:cs="Arial"/>
          <w:sz w:val="20"/>
          <w:szCs w:val="20"/>
        </w:rPr>
        <w:t xml:space="preserve">or directly via </w:t>
      </w:r>
      <w:hyperlink r:id="rId13" w:history="1">
        <w:r w:rsidRPr="00694074">
          <w:rPr>
            <w:rStyle w:val="Hyperlink"/>
            <w:rFonts w:ascii="Arial" w:hAnsi="Arial" w:cs="Arial"/>
            <w:sz w:val="20"/>
            <w:szCs w:val="20"/>
          </w:rPr>
          <w:t>https://brrmedia.news/p8ml3</w:t>
        </w:r>
      </w:hyperlink>
      <w:r w:rsidRPr="00694074">
        <w:rPr>
          <w:rFonts w:ascii="Arial" w:hAnsi="Arial" w:cs="Arial"/>
          <w:sz w:val="20"/>
          <w:szCs w:val="20"/>
        </w:rPr>
        <w:t>. </w:t>
      </w:r>
    </w:p>
    <w:p w14:paraId="57CA23C6" w14:textId="77777777" w:rsidR="00694074" w:rsidRDefault="00694074" w:rsidP="00694074">
      <w:pPr>
        <w:jc w:val="both"/>
        <w:rPr>
          <w:rFonts w:ascii="Arial" w:hAnsi="Arial" w:cs="Arial"/>
          <w:sz w:val="20"/>
          <w:szCs w:val="20"/>
        </w:rPr>
      </w:pPr>
      <w:r w:rsidRPr="00694074">
        <w:rPr>
          <w:rFonts w:ascii="Arial" w:hAnsi="Arial" w:cs="Arial"/>
          <w:sz w:val="20"/>
          <w:szCs w:val="20"/>
        </w:rPr>
        <w:t>If you would like to join the conference call to ask a question, you can do so by dialling</w:t>
      </w:r>
      <w:r>
        <w:rPr>
          <w:rFonts w:ascii="Arial" w:hAnsi="Arial" w:cs="Arial"/>
          <w:sz w:val="20"/>
          <w:szCs w:val="20"/>
        </w:rPr>
        <w:t>:</w:t>
      </w:r>
    </w:p>
    <w:p w14:paraId="771DF996" w14:textId="6AF572CB" w:rsidR="00694074" w:rsidRPr="009C082D" w:rsidRDefault="00694074" w:rsidP="00694074">
      <w:pPr>
        <w:jc w:val="both"/>
        <w:rPr>
          <w:rFonts w:ascii="Arial" w:eastAsia="Times New Roman" w:hAnsi="Arial" w:cs="Arial"/>
          <w:sz w:val="20"/>
          <w:szCs w:val="20"/>
        </w:rPr>
      </w:pPr>
      <w:r w:rsidRPr="009C082D">
        <w:rPr>
          <w:rFonts w:ascii="Arial" w:hAnsi="Arial" w:cs="Arial"/>
          <w:b/>
          <w:bCs/>
          <w:sz w:val="20"/>
          <w:szCs w:val="20"/>
        </w:rPr>
        <w:t> +44 33 0606 1122 and by entering room number 077072 and then PIN code 0660.</w:t>
      </w:r>
      <w:r w:rsidRPr="009C082D">
        <w:rPr>
          <w:rFonts w:ascii="Arial" w:eastAsia="Times New Roman" w:hAnsi="Arial" w:cs="Arial"/>
          <w:sz w:val="20"/>
          <w:szCs w:val="20"/>
        </w:rPr>
        <w:t>  </w:t>
      </w:r>
    </w:p>
    <w:p w14:paraId="1148E0DF" w14:textId="77777777" w:rsidR="00ED027C" w:rsidRPr="00C10A1B" w:rsidRDefault="00ED027C" w:rsidP="00497C85">
      <w:pPr>
        <w:spacing w:after="0" w:line="240" w:lineRule="auto"/>
        <w:jc w:val="both"/>
        <w:rPr>
          <w:rFonts w:ascii="Arial" w:eastAsia="Times New Roman" w:hAnsi="Arial" w:cs="Arial"/>
          <w:sz w:val="20"/>
          <w:szCs w:val="20"/>
        </w:rPr>
      </w:pPr>
    </w:p>
    <w:p w14:paraId="35367BF6" w14:textId="1D1F6047" w:rsidR="00677262" w:rsidRPr="00C10A1B" w:rsidRDefault="00677262" w:rsidP="00497C85">
      <w:pPr>
        <w:spacing w:after="0" w:line="240" w:lineRule="auto"/>
        <w:jc w:val="both"/>
        <w:rPr>
          <w:rFonts w:ascii="Arial" w:eastAsia="Times New Roman" w:hAnsi="Arial" w:cs="Arial"/>
          <w:sz w:val="20"/>
          <w:szCs w:val="20"/>
        </w:rPr>
      </w:pPr>
    </w:p>
    <w:p w14:paraId="11FB185C" w14:textId="77777777" w:rsidR="009D2320" w:rsidRPr="00C10A1B" w:rsidRDefault="009D2320" w:rsidP="009D2320">
      <w:pPr>
        <w:spacing w:after="0" w:line="240" w:lineRule="auto"/>
        <w:jc w:val="both"/>
        <w:rPr>
          <w:rFonts w:ascii="Arial" w:eastAsia="Times New Roman" w:hAnsi="Arial" w:cs="Arial"/>
          <w:sz w:val="20"/>
          <w:szCs w:val="20"/>
        </w:rPr>
      </w:pPr>
      <w:r w:rsidRPr="00C10A1B">
        <w:rPr>
          <w:rFonts w:ascii="Arial" w:eastAsia="Times New Roman" w:hAnsi="Arial" w:cs="Arial"/>
          <w:b/>
          <w:bCs/>
          <w:sz w:val="20"/>
          <w:szCs w:val="20"/>
        </w:rPr>
        <w:t>NOTES TO EDITORS</w:t>
      </w:r>
    </w:p>
    <w:p w14:paraId="68E2496D" w14:textId="77777777" w:rsidR="009D2320" w:rsidRPr="00C10A1B" w:rsidRDefault="009D2320" w:rsidP="009D2320">
      <w:pPr>
        <w:spacing w:after="0" w:line="240" w:lineRule="atLeast"/>
        <w:jc w:val="both"/>
        <w:rPr>
          <w:rFonts w:ascii="Arial" w:eastAsia="Times New Roman" w:hAnsi="Arial" w:cs="Arial"/>
          <w:sz w:val="20"/>
          <w:szCs w:val="20"/>
        </w:rPr>
      </w:pPr>
      <w:r w:rsidRPr="00C10A1B">
        <w:rPr>
          <w:rFonts w:ascii="Arial" w:eastAsia="Times New Roman" w:hAnsi="Arial" w:cs="Arial"/>
          <w:sz w:val="20"/>
          <w:szCs w:val="20"/>
        </w:rPr>
        <w:t> </w:t>
      </w:r>
    </w:p>
    <w:p w14:paraId="49A36D29" w14:textId="5A6F6B3C" w:rsidR="00F81A34" w:rsidRPr="00C10A1B" w:rsidRDefault="008E2295" w:rsidP="008E2295">
      <w:pPr>
        <w:spacing w:before="120" w:after="120" w:line="240" w:lineRule="auto"/>
        <w:jc w:val="both"/>
        <w:rPr>
          <w:rFonts w:ascii="Arial" w:eastAsia="Times New Roman" w:hAnsi="Arial" w:cs="Arial"/>
          <w:sz w:val="20"/>
          <w:szCs w:val="20"/>
        </w:rPr>
      </w:pPr>
      <w:r w:rsidRPr="00C10A1B">
        <w:rPr>
          <w:rFonts w:ascii="Arial" w:eastAsia="Times New Roman" w:hAnsi="Arial" w:cs="Arial"/>
          <w:sz w:val="20"/>
          <w:szCs w:val="20"/>
        </w:rPr>
        <w:t xml:space="preserve">The information contained within this announcement is deemed by Cairn to constitute inside information as stipulated under the </w:t>
      </w:r>
      <w:r w:rsidR="00C23D4F" w:rsidRPr="00C10A1B">
        <w:rPr>
          <w:rFonts w:ascii="Arial" w:eastAsia="Times New Roman" w:hAnsi="Arial" w:cs="Arial"/>
          <w:sz w:val="20"/>
          <w:szCs w:val="20"/>
        </w:rPr>
        <w:t>MAR</w:t>
      </w:r>
      <w:r w:rsidRPr="00C10A1B">
        <w:rPr>
          <w:rFonts w:ascii="Arial" w:eastAsia="Times New Roman" w:hAnsi="Arial" w:cs="Arial"/>
          <w:sz w:val="20"/>
          <w:szCs w:val="20"/>
        </w:rPr>
        <w:t xml:space="preserve">. By the publication of this announcement via a Regulatory Information Service, this inside information is now considered to be in the public domain. The person responsible for arranging for the release of this announcement on behalf of </w:t>
      </w:r>
      <w:r w:rsidR="00193704">
        <w:rPr>
          <w:rFonts w:ascii="Arial" w:eastAsia="Times New Roman" w:hAnsi="Arial" w:cs="Arial"/>
          <w:sz w:val="20"/>
          <w:szCs w:val="20"/>
        </w:rPr>
        <w:t>Cairn is Mr James Smith,</w:t>
      </w:r>
      <w:r w:rsidR="002F6F09">
        <w:rPr>
          <w:rFonts w:ascii="Arial" w:eastAsia="Times New Roman" w:hAnsi="Arial" w:cs="Arial"/>
          <w:sz w:val="20"/>
          <w:szCs w:val="20"/>
        </w:rPr>
        <w:t xml:space="preserve"> </w:t>
      </w:r>
      <w:r w:rsidR="00193704">
        <w:rPr>
          <w:rFonts w:ascii="Arial" w:eastAsia="Times New Roman" w:hAnsi="Arial" w:cs="Arial"/>
          <w:sz w:val="20"/>
          <w:szCs w:val="20"/>
        </w:rPr>
        <w:t>Chief Financial Officer.</w:t>
      </w:r>
    </w:p>
    <w:p w14:paraId="76C4B4ED" w14:textId="77777777" w:rsidR="00F41C84" w:rsidRPr="00C10A1B" w:rsidRDefault="00F41C84" w:rsidP="00F41C84">
      <w:pPr>
        <w:spacing w:after="0" w:line="240" w:lineRule="atLeast"/>
        <w:jc w:val="both"/>
        <w:rPr>
          <w:rFonts w:ascii="Arial" w:eastAsia="Times New Roman" w:hAnsi="Arial" w:cs="Arial"/>
          <w:sz w:val="20"/>
          <w:szCs w:val="20"/>
        </w:rPr>
      </w:pPr>
    </w:p>
    <w:p w14:paraId="12082196" w14:textId="77777777" w:rsidR="00F41C84" w:rsidRPr="00C10A1B" w:rsidRDefault="00F41C84" w:rsidP="00F41C84">
      <w:pPr>
        <w:spacing w:after="0" w:line="240" w:lineRule="auto"/>
        <w:jc w:val="both"/>
        <w:rPr>
          <w:rFonts w:ascii="Arial" w:eastAsia="Times New Roman" w:hAnsi="Arial" w:cs="Arial"/>
          <w:b/>
          <w:bCs/>
          <w:sz w:val="20"/>
          <w:szCs w:val="20"/>
        </w:rPr>
      </w:pPr>
      <w:r w:rsidRPr="00C10A1B">
        <w:rPr>
          <w:rFonts w:ascii="Arial" w:eastAsia="Times New Roman" w:hAnsi="Arial" w:cs="Arial"/>
          <w:b/>
          <w:bCs/>
          <w:sz w:val="20"/>
          <w:szCs w:val="20"/>
        </w:rPr>
        <w:t>Disclaimers</w:t>
      </w:r>
    </w:p>
    <w:p w14:paraId="6EC63273" w14:textId="17CD451E" w:rsidR="008E2295" w:rsidRPr="00C10A1B" w:rsidRDefault="008E2295" w:rsidP="008E2295">
      <w:pPr>
        <w:spacing w:before="120" w:after="120" w:line="240" w:lineRule="auto"/>
        <w:jc w:val="both"/>
        <w:rPr>
          <w:rFonts w:ascii="Arial" w:eastAsia="Times New Roman" w:hAnsi="Arial" w:cs="Arial"/>
          <w:sz w:val="20"/>
          <w:szCs w:val="20"/>
        </w:rPr>
      </w:pPr>
      <w:r w:rsidRPr="00C10A1B">
        <w:rPr>
          <w:rFonts w:ascii="Arial" w:eastAsia="Times New Roman" w:hAnsi="Arial" w:cs="Arial"/>
          <w:sz w:val="20"/>
          <w:szCs w:val="20"/>
        </w:rPr>
        <w:t>This announcement has been issued by and is the sole responsibility of Cairn. The information contained in this announcement is for information purposes only and does not purport to be complete. The information in this announcement is subject to change.</w:t>
      </w:r>
    </w:p>
    <w:p w14:paraId="742E7669" w14:textId="77777777" w:rsidR="00104C12" w:rsidRDefault="008E2295" w:rsidP="00104C12">
      <w:pPr>
        <w:spacing w:after="0" w:line="240" w:lineRule="auto"/>
        <w:jc w:val="both"/>
        <w:rPr>
          <w:rFonts w:ascii="Arial" w:eastAsia="Times New Roman" w:hAnsi="Arial" w:cs="Arial"/>
          <w:sz w:val="20"/>
          <w:szCs w:val="20"/>
        </w:rPr>
      </w:pPr>
      <w:r w:rsidRPr="00C10A1B">
        <w:rPr>
          <w:rFonts w:ascii="Arial" w:eastAsia="Times New Roman" w:hAnsi="Arial" w:cs="Arial"/>
          <w:sz w:val="20"/>
          <w:szCs w:val="20"/>
        </w:rPr>
        <w:t xml:space="preserve">This announcement has been prepared in accordance with English law, the </w:t>
      </w:r>
      <w:r w:rsidR="00C23D4F" w:rsidRPr="00C10A1B">
        <w:rPr>
          <w:rFonts w:ascii="Arial" w:eastAsia="Times New Roman" w:hAnsi="Arial" w:cs="Arial"/>
          <w:sz w:val="20"/>
          <w:szCs w:val="20"/>
        </w:rPr>
        <w:t>MAR</w:t>
      </w:r>
      <w:r w:rsidRPr="00C10A1B">
        <w:rPr>
          <w:rFonts w:ascii="Arial" w:eastAsia="Times New Roman" w:hAnsi="Arial" w:cs="Arial"/>
          <w:sz w:val="20"/>
          <w:szCs w:val="20"/>
        </w:rPr>
        <w:t xml:space="preserve"> and the Disclosure Guidance and Transparency Rules and Listing Rules of the FCA and information disclosed may not be the same as that which would have been prepared in accordance with the laws of jurisdictions outside England.</w:t>
      </w:r>
      <w:r w:rsidRPr="00C10A1B">
        <w:rPr>
          <w:rFonts w:ascii="Arial" w:eastAsia="Times New Roman" w:hAnsi="Arial" w:cs="Arial"/>
          <w:sz w:val="20"/>
          <w:szCs w:val="20"/>
        </w:rPr>
        <w:cr/>
      </w:r>
    </w:p>
    <w:p w14:paraId="02C030A3" w14:textId="44B56090" w:rsidR="00104C12" w:rsidRDefault="00104C12" w:rsidP="00104C12">
      <w:pPr>
        <w:spacing w:after="0" w:line="240" w:lineRule="auto"/>
        <w:jc w:val="both"/>
        <w:rPr>
          <w:rFonts w:ascii="Arial" w:eastAsia="Times New Roman" w:hAnsi="Arial" w:cs="Arial"/>
          <w:bCs/>
          <w:sz w:val="20"/>
          <w:szCs w:val="20"/>
        </w:rPr>
      </w:pPr>
      <w:r w:rsidRPr="00AF2DFF">
        <w:rPr>
          <w:rFonts w:ascii="Arial" w:eastAsia="Times New Roman" w:hAnsi="Arial" w:cs="Arial"/>
          <w:bCs/>
          <w:sz w:val="20"/>
          <w:szCs w:val="20"/>
        </w:rPr>
        <w:t>N. M. Rothschild &amp; Sons Limited (“Rothschild &amp; Co”), which is authorised and regulated in the United Kingdom by the FCA, is acting exclusively for Cairn and for no-one else in connection with the contents of this announcement and the Transaction and will not regard any other person as its client in relation to the matters in this announcement and will not be responsible to anyone other than Cairn for providing the protections afforded to clients of Rothschild &amp; Co nor for providing advice in connection with the contents of this announcement or the Transaction or any transaction, arrangement or other matter referred to in this announcement.</w:t>
      </w:r>
      <w:r w:rsidRPr="00AF2DFF" w:rsidDel="00C72373">
        <w:rPr>
          <w:rFonts w:ascii="Arial" w:eastAsia="Times New Roman" w:hAnsi="Arial" w:cs="Arial"/>
          <w:bCs/>
          <w:sz w:val="20"/>
          <w:szCs w:val="20"/>
        </w:rPr>
        <w:t xml:space="preserve"> </w:t>
      </w:r>
    </w:p>
    <w:p w14:paraId="221696E9" w14:textId="77777777" w:rsidR="00104C12" w:rsidRDefault="00104C12" w:rsidP="00104C12">
      <w:pPr>
        <w:spacing w:after="0" w:line="240" w:lineRule="auto"/>
        <w:jc w:val="both"/>
        <w:rPr>
          <w:rFonts w:ascii="Arial" w:eastAsia="Times New Roman" w:hAnsi="Arial" w:cs="Arial"/>
          <w:bCs/>
          <w:sz w:val="20"/>
          <w:szCs w:val="20"/>
        </w:rPr>
      </w:pPr>
    </w:p>
    <w:p w14:paraId="2DA566E9" w14:textId="77777777" w:rsidR="00CC099C" w:rsidRDefault="00CC099C" w:rsidP="00F41C84">
      <w:pPr>
        <w:spacing w:after="0" w:line="240" w:lineRule="auto"/>
        <w:jc w:val="both"/>
        <w:rPr>
          <w:rFonts w:ascii="Arial" w:eastAsia="Times New Roman" w:hAnsi="Arial" w:cs="Arial"/>
          <w:bCs/>
          <w:sz w:val="20"/>
          <w:szCs w:val="20"/>
        </w:rPr>
      </w:pPr>
    </w:p>
    <w:p w14:paraId="1E19039A" w14:textId="77777777" w:rsidR="00CC099C" w:rsidRDefault="00CC099C" w:rsidP="00F41C84">
      <w:pPr>
        <w:spacing w:after="0" w:line="240" w:lineRule="auto"/>
        <w:jc w:val="both"/>
        <w:rPr>
          <w:rFonts w:ascii="Arial" w:eastAsia="Times New Roman" w:hAnsi="Arial" w:cs="Arial"/>
          <w:bCs/>
          <w:sz w:val="20"/>
          <w:szCs w:val="20"/>
        </w:rPr>
      </w:pPr>
    </w:p>
    <w:p w14:paraId="205D7A6C" w14:textId="77777777" w:rsidR="00CC099C" w:rsidRDefault="00CC099C" w:rsidP="00F41C84">
      <w:pPr>
        <w:spacing w:after="0" w:line="240" w:lineRule="auto"/>
        <w:jc w:val="both"/>
        <w:rPr>
          <w:rFonts w:ascii="Arial" w:eastAsia="Times New Roman" w:hAnsi="Arial" w:cs="Arial"/>
          <w:bCs/>
          <w:sz w:val="20"/>
          <w:szCs w:val="20"/>
        </w:rPr>
      </w:pPr>
    </w:p>
    <w:p w14:paraId="30DCB976" w14:textId="77777777" w:rsidR="00CC099C" w:rsidRDefault="00CC099C" w:rsidP="00F41C84">
      <w:pPr>
        <w:spacing w:after="0" w:line="240" w:lineRule="auto"/>
        <w:jc w:val="both"/>
        <w:rPr>
          <w:rFonts w:ascii="Arial" w:eastAsia="Times New Roman" w:hAnsi="Arial" w:cs="Arial"/>
          <w:bCs/>
          <w:sz w:val="20"/>
          <w:szCs w:val="20"/>
        </w:rPr>
      </w:pPr>
    </w:p>
    <w:p w14:paraId="56A216CE" w14:textId="77777777" w:rsidR="00CC099C" w:rsidRDefault="00CC099C" w:rsidP="00F41C84">
      <w:pPr>
        <w:spacing w:after="0" w:line="240" w:lineRule="auto"/>
        <w:jc w:val="both"/>
        <w:rPr>
          <w:rFonts w:ascii="Arial" w:eastAsia="Times New Roman" w:hAnsi="Arial" w:cs="Arial"/>
          <w:bCs/>
          <w:sz w:val="20"/>
          <w:szCs w:val="20"/>
        </w:rPr>
      </w:pPr>
    </w:p>
    <w:p w14:paraId="2B9E0718" w14:textId="784BED98" w:rsidR="00F41C84" w:rsidRPr="00C10A1B" w:rsidRDefault="00F41C84" w:rsidP="00F41C84">
      <w:pPr>
        <w:spacing w:after="0" w:line="240" w:lineRule="auto"/>
        <w:jc w:val="both"/>
        <w:rPr>
          <w:rFonts w:ascii="Arial" w:eastAsia="Times New Roman" w:hAnsi="Arial" w:cs="Arial"/>
          <w:bCs/>
          <w:sz w:val="20"/>
          <w:szCs w:val="20"/>
        </w:rPr>
      </w:pPr>
      <w:r w:rsidRPr="00C10A1B">
        <w:rPr>
          <w:rFonts w:ascii="Arial" w:eastAsia="Times New Roman" w:hAnsi="Arial" w:cs="Arial"/>
          <w:bCs/>
          <w:sz w:val="20"/>
          <w:szCs w:val="20"/>
        </w:rPr>
        <w:t xml:space="preserve">The contents of this announcement are not to be construed as legal, business or tax advice. Each Shareholder should consult </w:t>
      </w:r>
      <w:r w:rsidR="00A24778">
        <w:rPr>
          <w:rFonts w:ascii="Arial" w:eastAsia="Times New Roman" w:hAnsi="Arial" w:cs="Arial"/>
          <w:bCs/>
          <w:sz w:val="20"/>
          <w:szCs w:val="20"/>
        </w:rPr>
        <w:t>their</w:t>
      </w:r>
      <w:r w:rsidRPr="00C10A1B">
        <w:rPr>
          <w:rFonts w:ascii="Arial" w:eastAsia="Times New Roman" w:hAnsi="Arial" w:cs="Arial"/>
          <w:bCs/>
          <w:sz w:val="20"/>
          <w:szCs w:val="20"/>
        </w:rPr>
        <w:t xml:space="preserve"> own legal adviser, financial adviser or tax adviser for legal, financial or tax advice respectively.</w:t>
      </w:r>
    </w:p>
    <w:p w14:paraId="6A1B8242" w14:textId="77777777" w:rsidR="009D2320" w:rsidRPr="00C10A1B" w:rsidRDefault="009D2320" w:rsidP="009D2320">
      <w:pPr>
        <w:spacing w:after="0" w:line="240" w:lineRule="auto"/>
        <w:jc w:val="both"/>
        <w:rPr>
          <w:rFonts w:ascii="Arial" w:eastAsia="Times New Roman" w:hAnsi="Arial" w:cs="Arial"/>
          <w:b/>
          <w:bCs/>
          <w:sz w:val="20"/>
          <w:szCs w:val="20"/>
        </w:rPr>
      </w:pPr>
    </w:p>
    <w:p w14:paraId="52E84E8B" w14:textId="445AE891" w:rsidR="009D2320" w:rsidRPr="00C10A1B" w:rsidRDefault="009D2320" w:rsidP="009D2320">
      <w:pPr>
        <w:spacing w:after="0" w:line="240" w:lineRule="auto"/>
        <w:jc w:val="both"/>
        <w:rPr>
          <w:rFonts w:ascii="Arial" w:eastAsia="Times New Roman" w:hAnsi="Arial" w:cs="Arial"/>
          <w:b/>
          <w:bCs/>
          <w:sz w:val="20"/>
          <w:szCs w:val="20"/>
        </w:rPr>
      </w:pPr>
      <w:r w:rsidRPr="00C10A1B">
        <w:rPr>
          <w:rFonts w:ascii="Arial" w:eastAsia="Times New Roman" w:hAnsi="Arial" w:cs="Arial"/>
          <w:b/>
          <w:bCs/>
          <w:sz w:val="20"/>
          <w:szCs w:val="20"/>
        </w:rPr>
        <w:t xml:space="preserve">Cautionary Note Regarding </w:t>
      </w:r>
      <w:r w:rsidR="00C460F3" w:rsidRPr="00C10A1B">
        <w:rPr>
          <w:rFonts w:ascii="Arial" w:eastAsia="Times New Roman" w:hAnsi="Arial" w:cs="Arial"/>
          <w:b/>
          <w:bCs/>
          <w:sz w:val="20"/>
          <w:szCs w:val="20"/>
        </w:rPr>
        <w:t>F</w:t>
      </w:r>
      <w:r w:rsidRPr="00C10A1B">
        <w:rPr>
          <w:rFonts w:ascii="Arial" w:eastAsia="Times New Roman" w:hAnsi="Arial" w:cs="Arial"/>
          <w:b/>
          <w:bCs/>
          <w:sz w:val="20"/>
          <w:szCs w:val="20"/>
        </w:rPr>
        <w:t>orward-looking Statements</w:t>
      </w:r>
    </w:p>
    <w:p w14:paraId="351A1040" w14:textId="77777777" w:rsidR="009D2320" w:rsidRPr="00C10A1B" w:rsidRDefault="009D2320" w:rsidP="009D2320">
      <w:pPr>
        <w:spacing w:after="0" w:line="240" w:lineRule="auto"/>
        <w:jc w:val="both"/>
        <w:rPr>
          <w:rFonts w:ascii="Arial" w:eastAsia="Times New Roman" w:hAnsi="Arial" w:cs="Arial"/>
          <w:sz w:val="20"/>
          <w:szCs w:val="20"/>
        </w:rPr>
      </w:pPr>
      <w:r w:rsidRPr="00C10A1B">
        <w:rPr>
          <w:rFonts w:ascii="Arial" w:eastAsia="Times New Roman" w:hAnsi="Arial" w:cs="Arial"/>
          <w:sz w:val="20"/>
          <w:szCs w:val="20"/>
        </w:rPr>
        <w:t> </w:t>
      </w:r>
    </w:p>
    <w:p w14:paraId="43EE345A" w14:textId="1EFE063D" w:rsidR="009D2320" w:rsidRPr="00C10A1B" w:rsidRDefault="009D2320" w:rsidP="009D2320">
      <w:pPr>
        <w:spacing w:after="0" w:line="240" w:lineRule="auto"/>
        <w:jc w:val="both"/>
        <w:rPr>
          <w:rFonts w:ascii="Arial" w:eastAsia="Times New Roman" w:hAnsi="Arial" w:cs="Arial"/>
          <w:sz w:val="20"/>
          <w:szCs w:val="20"/>
        </w:rPr>
      </w:pPr>
      <w:r w:rsidRPr="00C10A1B">
        <w:rPr>
          <w:rFonts w:ascii="Arial" w:eastAsia="Times New Roman" w:hAnsi="Arial" w:cs="Arial"/>
          <w:sz w:val="20"/>
          <w:szCs w:val="20"/>
        </w:rPr>
        <w:t>This announcement includes certain forward-looking statements with respect to the financial condition, results of operations and business of the Group and certain plans and objectives of the Board. These forward-looking statements can be identified by the fact that they do not relate to any historical or current facts. Forward-looking statements often use words such as ''proposed'', ''anticipate'', ''expect'', ''estimate'', ''intend'', 'plan'', ''believe'', ''will'', ''may'', ''should'', ''would'', ''could'' or other words with a similar meaning. These statements are based on assumptions and assessments made by the Board in light of its experience and its perception of historical trends, current conditions, expected future developments and other factors it believes appropriate. By their nature, forward-looking statements involve risk and uncertainty and there are a number of factors that could cause actual results and developments to differ materially from those expressed in, or implied by, such forward-looking statements.</w:t>
      </w:r>
    </w:p>
    <w:p w14:paraId="245B3704" w14:textId="77777777" w:rsidR="009D2320" w:rsidRPr="00C10A1B" w:rsidRDefault="009D2320" w:rsidP="009D2320">
      <w:pPr>
        <w:spacing w:after="0" w:line="240" w:lineRule="auto"/>
        <w:jc w:val="both"/>
        <w:rPr>
          <w:rFonts w:ascii="Arial" w:eastAsia="Times New Roman" w:hAnsi="Arial" w:cs="Arial"/>
          <w:sz w:val="20"/>
          <w:szCs w:val="20"/>
        </w:rPr>
      </w:pPr>
      <w:r w:rsidRPr="00C10A1B">
        <w:rPr>
          <w:rFonts w:ascii="Arial" w:eastAsia="Times New Roman" w:hAnsi="Arial" w:cs="Arial"/>
          <w:sz w:val="20"/>
          <w:szCs w:val="20"/>
        </w:rPr>
        <w:t> </w:t>
      </w:r>
    </w:p>
    <w:p w14:paraId="5A5A5185" w14:textId="216AAFDC" w:rsidR="009D2320" w:rsidRPr="00C10A1B" w:rsidRDefault="009D2320" w:rsidP="009D2320">
      <w:pPr>
        <w:spacing w:after="0" w:line="240" w:lineRule="auto"/>
        <w:jc w:val="both"/>
        <w:rPr>
          <w:rFonts w:ascii="Arial" w:eastAsia="Times New Roman" w:hAnsi="Arial" w:cs="Arial"/>
          <w:sz w:val="20"/>
          <w:szCs w:val="20"/>
        </w:rPr>
      </w:pPr>
      <w:r w:rsidRPr="00C10A1B">
        <w:rPr>
          <w:rFonts w:ascii="Arial" w:eastAsia="Times New Roman" w:hAnsi="Arial" w:cs="Arial"/>
          <w:sz w:val="20"/>
          <w:szCs w:val="20"/>
        </w:rPr>
        <w:t xml:space="preserve">These forward-looking statements speak only as at the date of this announcement. Save as required by the requirements of the Listing Rules or the Disclosure Guidance and Transparency Rules </w:t>
      </w:r>
      <w:r w:rsidR="00C23D4F" w:rsidRPr="00C10A1B">
        <w:rPr>
          <w:rFonts w:ascii="Arial" w:eastAsia="Times New Roman" w:hAnsi="Arial" w:cs="Arial"/>
          <w:sz w:val="20"/>
          <w:szCs w:val="20"/>
        </w:rPr>
        <w:t xml:space="preserve">of the FCA  </w:t>
      </w:r>
      <w:r w:rsidRPr="00C10A1B">
        <w:rPr>
          <w:rFonts w:ascii="Arial" w:eastAsia="Times New Roman" w:hAnsi="Arial" w:cs="Arial"/>
          <w:sz w:val="20"/>
          <w:szCs w:val="20"/>
        </w:rPr>
        <w:t>or otherwise arising as a matter of law or regulation, Cairn expressly disclaims any obligation or undertaking to disseminate after publication of this announcement any updates or revisions to any forward-looking statements contained herein to reflect any change in the Group's expectations with regard thereto or any change in events, conditions or circumstances on which any such statement is based.</w:t>
      </w:r>
    </w:p>
    <w:p w14:paraId="51446114" w14:textId="474D155B" w:rsidR="00F41C84" w:rsidRPr="00C10A1B" w:rsidRDefault="00F41C84" w:rsidP="009D2320">
      <w:pPr>
        <w:spacing w:after="0" w:line="240" w:lineRule="auto"/>
        <w:jc w:val="both"/>
        <w:rPr>
          <w:rFonts w:ascii="Arial" w:eastAsia="Times New Roman" w:hAnsi="Arial" w:cs="Arial"/>
          <w:sz w:val="20"/>
          <w:szCs w:val="20"/>
        </w:rPr>
      </w:pPr>
    </w:p>
    <w:p w14:paraId="55F63694" w14:textId="14E95661" w:rsidR="009D2320" w:rsidRPr="00C10A1B" w:rsidRDefault="00F41C84" w:rsidP="009D2320">
      <w:pPr>
        <w:spacing w:after="0" w:line="240" w:lineRule="auto"/>
        <w:jc w:val="both"/>
        <w:rPr>
          <w:rFonts w:ascii="Arial" w:eastAsia="Times New Roman" w:hAnsi="Arial" w:cs="Arial"/>
          <w:sz w:val="20"/>
          <w:szCs w:val="20"/>
        </w:rPr>
      </w:pPr>
      <w:r w:rsidRPr="00C10A1B">
        <w:rPr>
          <w:rFonts w:ascii="Arial" w:eastAsia="Times New Roman" w:hAnsi="Arial" w:cs="Arial"/>
          <w:sz w:val="20"/>
          <w:szCs w:val="20"/>
        </w:rPr>
        <w:t>Neither the content of Cairn's website (or any other website) nor the content of any website accessible from hyperlinks on Cairn's website (or any other website) is incorporated into or forms part of this announcement.</w:t>
      </w:r>
      <w:r w:rsidRPr="00C10A1B">
        <w:rPr>
          <w:rFonts w:ascii="Arial" w:eastAsia="Times New Roman" w:hAnsi="Arial" w:cs="Arial"/>
          <w:sz w:val="20"/>
          <w:szCs w:val="20"/>
        </w:rPr>
        <w:cr/>
      </w:r>
      <w:r w:rsidR="009D2320" w:rsidRPr="00C10A1B">
        <w:rPr>
          <w:rFonts w:ascii="Arial" w:eastAsia="Times New Roman" w:hAnsi="Arial" w:cs="Arial"/>
          <w:sz w:val="20"/>
          <w:szCs w:val="20"/>
        </w:rPr>
        <w:t> </w:t>
      </w:r>
    </w:p>
    <w:p w14:paraId="6198AEBF" w14:textId="56A37757" w:rsidR="009D2320" w:rsidRPr="00C10A1B" w:rsidRDefault="009D2320" w:rsidP="00136C7F">
      <w:pPr>
        <w:spacing w:after="0" w:line="240" w:lineRule="auto"/>
        <w:jc w:val="both"/>
        <w:rPr>
          <w:rFonts w:ascii="Arial" w:eastAsia="Times New Roman" w:hAnsi="Arial" w:cs="Arial"/>
          <w:sz w:val="20"/>
          <w:szCs w:val="20"/>
        </w:rPr>
      </w:pPr>
      <w:r w:rsidRPr="00C10A1B">
        <w:rPr>
          <w:rFonts w:ascii="Arial" w:eastAsia="Times New Roman" w:hAnsi="Arial" w:cs="Arial"/>
          <w:sz w:val="20"/>
          <w:szCs w:val="20"/>
        </w:rPr>
        <w:t>Unless otherwise indicated, all references in this announcement to all references to ''US dollars'', ''US$'' and ''</w:t>
      </w:r>
      <w:r w:rsidR="00C72373" w:rsidRPr="00C10A1B">
        <w:rPr>
          <w:rFonts w:ascii="Arial" w:eastAsia="Times New Roman" w:hAnsi="Arial" w:cs="Arial"/>
          <w:sz w:val="20"/>
          <w:szCs w:val="20"/>
        </w:rPr>
        <w:t>US cents</w:t>
      </w:r>
      <w:r w:rsidRPr="00C10A1B">
        <w:rPr>
          <w:rFonts w:ascii="Arial" w:eastAsia="Times New Roman" w:hAnsi="Arial" w:cs="Arial"/>
          <w:sz w:val="20"/>
          <w:szCs w:val="20"/>
        </w:rPr>
        <w:t>'' are to the lawful currency of the United States.</w:t>
      </w:r>
    </w:p>
    <w:p w14:paraId="2FCE6DEF" w14:textId="77777777" w:rsidR="00136C7F" w:rsidRDefault="00136C7F" w:rsidP="00136C7F">
      <w:pPr>
        <w:spacing w:after="0" w:line="240" w:lineRule="auto"/>
        <w:jc w:val="both"/>
        <w:rPr>
          <w:rFonts w:ascii="Arial" w:hAnsi="Arial" w:cs="Arial"/>
          <w:b/>
          <w:bCs/>
          <w:sz w:val="20"/>
          <w:szCs w:val="20"/>
        </w:rPr>
      </w:pPr>
    </w:p>
    <w:p w14:paraId="3D61E10E" w14:textId="0994974E" w:rsidR="004725B1" w:rsidRDefault="004725B1" w:rsidP="00136C7F">
      <w:pPr>
        <w:spacing w:after="0" w:line="240" w:lineRule="auto"/>
        <w:jc w:val="both"/>
        <w:rPr>
          <w:rFonts w:ascii="Arial" w:hAnsi="Arial" w:cs="Arial"/>
          <w:b/>
          <w:bCs/>
          <w:sz w:val="20"/>
          <w:szCs w:val="20"/>
        </w:rPr>
      </w:pPr>
      <w:r w:rsidRPr="00DF71DB">
        <w:rPr>
          <w:rFonts w:ascii="Arial" w:hAnsi="Arial" w:cs="Arial"/>
          <w:b/>
          <w:bCs/>
          <w:sz w:val="20"/>
          <w:szCs w:val="20"/>
        </w:rPr>
        <w:t>About Cairn Energy PLC</w:t>
      </w:r>
    </w:p>
    <w:p w14:paraId="247D324D" w14:textId="77777777" w:rsidR="00C845AC" w:rsidRPr="00DF71DB" w:rsidRDefault="00C845AC" w:rsidP="00136C7F">
      <w:pPr>
        <w:spacing w:after="0" w:line="240" w:lineRule="auto"/>
        <w:jc w:val="both"/>
        <w:rPr>
          <w:rFonts w:ascii="Arial" w:hAnsi="Arial" w:cs="Arial"/>
          <w:b/>
          <w:bCs/>
          <w:sz w:val="20"/>
          <w:szCs w:val="20"/>
        </w:rPr>
      </w:pPr>
    </w:p>
    <w:p w14:paraId="7AEB6F7E" w14:textId="71EC0A5D" w:rsidR="004725B1" w:rsidRDefault="004725B1" w:rsidP="00E859FF">
      <w:pPr>
        <w:spacing w:after="0" w:line="240" w:lineRule="auto"/>
        <w:jc w:val="both"/>
        <w:rPr>
          <w:rFonts w:ascii="Arial" w:hAnsi="Arial" w:cs="Arial"/>
          <w:sz w:val="20"/>
          <w:szCs w:val="20"/>
          <w:lang w:val="en-US"/>
        </w:rPr>
      </w:pPr>
      <w:r w:rsidRPr="00FA5AE4">
        <w:rPr>
          <w:rFonts w:ascii="Arial" w:hAnsi="Arial" w:cs="Arial"/>
          <w:sz w:val="20"/>
          <w:szCs w:val="20"/>
          <w:lang w:val="en-US"/>
        </w:rPr>
        <w:t xml:space="preserve">Cairn is one of Europe's leading independent oil and gas exploration and development companies and </w:t>
      </w:r>
      <w:r w:rsidRPr="00E859FF">
        <w:rPr>
          <w:rFonts w:ascii="Arial" w:hAnsi="Arial" w:cs="Arial"/>
          <w:sz w:val="20"/>
          <w:szCs w:val="20"/>
          <w:lang w:val="en-US"/>
        </w:rPr>
        <w:t xml:space="preserve">has been listed on the London Stock Exchange for 30 years.  Cairn has explored, discovered, developed and produced oil and gas in a variety of locations throughout the world as an operator and partner in all stages of the oil and gas lifecycle.  </w:t>
      </w:r>
    </w:p>
    <w:p w14:paraId="1FC9EDA1" w14:textId="77777777" w:rsidR="00E859FF" w:rsidRPr="00E859FF" w:rsidRDefault="00E859FF" w:rsidP="00774283">
      <w:pPr>
        <w:spacing w:after="0" w:line="240" w:lineRule="auto"/>
        <w:jc w:val="both"/>
        <w:rPr>
          <w:rFonts w:ascii="Arial" w:hAnsi="Arial" w:cs="Arial"/>
          <w:sz w:val="20"/>
          <w:szCs w:val="20"/>
          <w:lang w:val="en-US"/>
        </w:rPr>
      </w:pPr>
    </w:p>
    <w:p w14:paraId="538D4880" w14:textId="20ADFA61" w:rsidR="004725B1" w:rsidRDefault="004725B1" w:rsidP="00E859FF">
      <w:pPr>
        <w:spacing w:after="0" w:line="240" w:lineRule="auto"/>
        <w:jc w:val="both"/>
        <w:rPr>
          <w:rFonts w:ascii="Arial" w:hAnsi="Arial" w:cs="Arial"/>
          <w:sz w:val="20"/>
          <w:szCs w:val="20"/>
          <w:lang w:val="en-US"/>
        </w:rPr>
      </w:pPr>
      <w:r w:rsidRPr="00E859FF">
        <w:rPr>
          <w:rFonts w:ascii="Arial" w:hAnsi="Arial" w:cs="Arial"/>
          <w:sz w:val="20"/>
          <w:szCs w:val="20"/>
          <w:lang w:val="en-US"/>
        </w:rPr>
        <w:t>Cairn’s exploration activities have a geographical focus in the North Sea, West Africa and Latin America, underpinned by interests in production and development assets. Cairn has its headquarters in Edinburgh, Scotland supported by operational offices in London, Senegal and Mexico.</w:t>
      </w:r>
    </w:p>
    <w:p w14:paraId="4D6B1A41" w14:textId="77777777" w:rsidR="00E859FF" w:rsidRPr="00E859FF" w:rsidRDefault="00E859FF" w:rsidP="00774283">
      <w:pPr>
        <w:spacing w:after="0" w:line="240" w:lineRule="auto"/>
        <w:jc w:val="both"/>
        <w:rPr>
          <w:rFonts w:ascii="Arial" w:hAnsi="Arial" w:cs="Arial"/>
          <w:sz w:val="20"/>
          <w:szCs w:val="20"/>
          <w:lang w:val="en-US"/>
        </w:rPr>
      </w:pPr>
    </w:p>
    <w:p w14:paraId="59275293" w14:textId="77777777" w:rsidR="004725B1" w:rsidRPr="00FA5AE4" w:rsidRDefault="004725B1" w:rsidP="00774283">
      <w:pPr>
        <w:spacing w:after="0" w:line="240" w:lineRule="auto"/>
        <w:jc w:val="both"/>
        <w:rPr>
          <w:rFonts w:ascii="Arial" w:hAnsi="Arial" w:cs="Arial"/>
          <w:b/>
          <w:bCs/>
          <w:sz w:val="20"/>
          <w:szCs w:val="20"/>
        </w:rPr>
      </w:pPr>
      <w:r w:rsidRPr="00E859FF">
        <w:rPr>
          <w:rFonts w:ascii="Arial" w:hAnsi="Arial" w:cs="Arial"/>
          <w:sz w:val="20"/>
          <w:szCs w:val="20"/>
        </w:rPr>
        <w:t xml:space="preserve">For further information on Cairn please see: </w:t>
      </w:r>
      <w:hyperlink r:id="rId14" w:history="1">
        <w:r w:rsidRPr="00FA5AE4">
          <w:rPr>
            <w:rStyle w:val="Hyperlink"/>
            <w:rFonts w:ascii="Arial" w:hAnsi="Arial" w:cs="Arial"/>
            <w:sz w:val="20"/>
            <w:szCs w:val="20"/>
          </w:rPr>
          <w:t>www.cairnenergy.com</w:t>
        </w:r>
      </w:hyperlink>
    </w:p>
    <w:p w14:paraId="6D67724C" w14:textId="025AEA10" w:rsidR="009D2320" w:rsidRPr="00C10A1B" w:rsidRDefault="009D2320">
      <w:pPr>
        <w:rPr>
          <w:rFonts w:ascii="Arial" w:eastAsia="Times New Roman" w:hAnsi="Arial" w:cs="Arial"/>
          <w:sz w:val="20"/>
          <w:szCs w:val="20"/>
        </w:rPr>
      </w:pPr>
      <w:r w:rsidRPr="00C10A1B">
        <w:rPr>
          <w:rFonts w:ascii="Arial" w:eastAsia="Times New Roman" w:hAnsi="Arial" w:cs="Arial"/>
          <w:sz w:val="20"/>
          <w:szCs w:val="20"/>
        </w:rPr>
        <w:br w:type="page"/>
      </w:r>
    </w:p>
    <w:p w14:paraId="2353EBE2" w14:textId="77777777" w:rsidR="00677262" w:rsidRPr="00C10A1B" w:rsidRDefault="00677262" w:rsidP="00497C85">
      <w:pPr>
        <w:spacing w:after="0" w:line="240" w:lineRule="auto"/>
        <w:jc w:val="both"/>
        <w:rPr>
          <w:rFonts w:ascii="Arial" w:eastAsia="Times New Roman" w:hAnsi="Arial" w:cs="Arial"/>
          <w:b/>
          <w:sz w:val="20"/>
          <w:szCs w:val="20"/>
        </w:rPr>
      </w:pPr>
      <w:r w:rsidRPr="00C10A1B">
        <w:rPr>
          <w:rFonts w:ascii="Arial" w:eastAsia="Times New Roman" w:hAnsi="Arial" w:cs="Arial"/>
          <w:b/>
          <w:sz w:val="20"/>
          <w:szCs w:val="20"/>
        </w:rPr>
        <w:lastRenderedPageBreak/>
        <w:t>DETAILS OF THE TRANSACTION</w:t>
      </w:r>
    </w:p>
    <w:p w14:paraId="658D0F39" w14:textId="77777777" w:rsidR="00677262" w:rsidRPr="00C10A1B" w:rsidRDefault="00677262" w:rsidP="00497C85">
      <w:pPr>
        <w:spacing w:after="0" w:line="240" w:lineRule="auto"/>
        <w:jc w:val="both"/>
        <w:rPr>
          <w:rFonts w:ascii="Arial" w:eastAsia="Times New Roman" w:hAnsi="Arial" w:cs="Arial"/>
          <w:sz w:val="20"/>
          <w:szCs w:val="20"/>
        </w:rPr>
      </w:pPr>
    </w:p>
    <w:p w14:paraId="6F8DDA8A" w14:textId="77777777" w:rsidR="0076621E" w:rsidRPr="00C10A1B" w:rsidRDefault="00677262" w:rsidP="0076621E">
      <w:pPr>
        <w:pStyle w:val="ListParagraph"/>
        <w:numPr>
          <w:ilvl w:val="0"/>
          <w:numId w:val="2"/>
        </w:numPr>
        <w:spacing w:before="60" w:after="60" w:line="240" w:lineRule="exact"/>
        <w:contextualSpacing w:val="0"/>
        <w:jc w:val="both"/>
        <w:rPr>
          <w:rFonts w:ascii="Arial" w:hAnsi="Arial" w:cs="Arial"/>
          <w:b/>
          <w:color w:val="000000"/>
          <w:sz w:val="20"/>
          <w:szCs w:val="20"/>
        </w:rPr>
      </w:pPr>
      <w:r w:rsidRPr="00C10A1B">
        <w:rPr>
          <w:rFonts w:ascii="Arial" w:hAnsi="Arial" w:cs="Arial"/>
          <w:b/>
          <w:sz w:val="20"/>
          <w:szCs w:val="20"/>
        </w:rPr>
        <w:t>Introduction</w:t>
      </w:r>
    </w:p>
    <w:p w14:paraId="3005E25C" w14:textId="208C3BE6" w:rsidR="0076621E" w:rsidRPr="00C10A1B" w:rsidRDefault="0076621E" w:rsidP="0076621E">
      <w:pPr>
        <w:pStyle w:val="ListParagraph"/>
        <w:spacing w:before="60" w:after="60" w:line="240" w:lineRule="exact"/>
        <w:contextualSpacing w:val="0"/>
        <w:jc w:val="both"/>
        <w:rPr>
          <w:rFonts w:ascii="Arial" w:hAnsi="Arial" w:cs="Arial"/>
          <w:b/>
          <w:color w:val="000000"/>
          <w:sz w:val="20"/>
          <w:szCs w:val="20"/>
        </w:rPr>
      </w:pPr>
    </w:p>
    <w:p w14:paraId="6CC9B192" w14:textId="6AAFA8F6" w:rsidR="00677262" w:rsidRPr="00C10A1B" w:rsidRDefault="00677262" w:rsidP="00305475">
      <w:pPr>
        <w:spacing w:after="0" w:line="240" w:lineRule="auto"/>
        <w:jc w:val="both"/>
        <w:rPr>
          <w:rFonts w:ascii="Arial" w:eastAsia="Times New Roman" w:hAnsi="Arial" w:cs="Arial"/>
          <w:bCs/>
          <w:color w:val="231F20"/>
          <w:sz w:val="20"/>
          <w:szCs w:val="20"/>
          <w:lang w:eastAsia="en-US"/>
        </w:rPr>
      </w:pPr>
      <w:r w:rsidRPr="00C10A1B">
        <w:rPr>
          <w:rFonts w:ascii="Arial" w:eastAsia="Times New Roman" w:hAnsi="Arial" w:cs="Arial"/>
          <w:bCs/>
          <w:color w:val="231F20"/>
          <w:sz w:val="20"/>
          <w:szCs w:val="20"/>
          <w:lang w:eastAsia="en-US"/>
        </w:rPr>
        <w:t xml:space="preserve">On </w:t>
      </w:r>
      <w:r w:rsidR="00A50CAF">
        <w:rPr>
          <w:rFonts w:ascii="Arial" w:eastAsia="Times New Roman" w:hAnsi="Arial" w:cs="Arial"/>
          <w:bCs/>
          <w:color w:val="231F20"/>
          <w:sz w:val="20"/>
          <w:szCs w:val="20"/>
          <w:lang w:eastAsia="en-US"/>
        </w:rPr>
        <w:t>24</w:t>
      </w:r>
      <w:r w:rsidR="00A76078" w:rsidRPr="00A76078">
        <w:rPr>
          <w:rFonts w:ascii="Arial" w:eastAsia="Times New Roman" w:hAnsi="Arial" w:cs="Arial"/>
          <w:bCs/>
          <w:color w:val="231F20"/>
          <w:sz w:val="20"/>
          <w:szCs w:val="20"/>
          <w:vertAlign w:val="superscript"/>
          <w:lang w:eastAsia="en-US"/>
        </w:rPr>
        <w:t>th</w:t>
      </w:r>
      <w:r w:rsidR="00A76078">
        <w:rPr>
          <w:rFonts w:ascii="Arial" w:eastAsia="Times New Roman" w:hAnsi="Arial" w:cs="Arial"/>
          <w:bCs/>
          <w:color w:val="231F20"/>
          <w:sz w:val="20"/>
          <w:szCs w:val="20"/>
          <w:lang w:eastAsia="en-US"/>
        </w:rPr>
        <w:t xml:space="preserve"> </w:t>
      </w:r>
      <w:r w:rsidR="00B46D2A" w:rsidRPr="00C10A1B">
        <w:rPr>
          <w:rFonts w:ascii="Arial" w:eastAsia="Times New Roman" w:hAnsi="Arial" w:cs="Arial"/>
          <w:bCs/>
          <w:color w:val="231F20"/>
          <w:sz w:val="20"/>
          <w:szCs w:val="20"/>
          <w:lang w:eastAsia="en-US"/>
        </w:rPr>
        <w:t>July</w:t>
      </w:r>
      <w:r w:rsidRPr="00C10A1B">
        <w:rPr>
          <w:rFonts w:ascii="Arial" w:eastAsia="Times New Roman" w:hAnsi="Arial" w:cs="Arial"/>
          <w:bCs/>
          <w:color w:val="231F20"/>
          <w:sz w:val="20"/>
          <w:szCs w:val="20"/>
          <w:lang w:eastAsia="en-US"/>
        </w:rPr>
        <w:t xml:space="preserve"> 20</w:t>
      </w:r>
      <w:r w:rsidR="00C460F3" w:rsidRPr="00C10A1B">
        <w:rPr>
          <w:rFonts w:ascii="Arial" w:eastAsia="Times New Roman" w:hAnsi="Arial" w:cs="Arial"/>
          <w:bCs/>
          <w:color w:val="231F20"/>
          <w:sz w:val="20"/>
          <w:szCs w:val="20"/>
          <w:lang w:eastAsia="en-US"/>
        </w:rPr>
        <w:t>20</w:t>
      </w:r>
      <w:r w:rsidRPr="00C10A1B">
        <w:rPr>
          <w:rFonts w:ascii="Arial" w:eastAsia="Times New Roman" w:hAnsi="Arial" w:cs="Arial"/>
          <w:bCs/>
          <w:color w:val="231F20"/>
          <w:sz w:val="20"/>
          <w:szCs w:val="20"/>
          <w:lang w:eastAsia="en-US"/>
        </w:rPr>
        <w:t xml:space="preserve">, </w:t>
      </w:r>
      <w:r w:rsidR="00C460F3" w:rsidRPr="00C10A1B">
        <w:rPr>
          <w:rFonts w:ascii="Arial" w:eastAsia="Times New Roman" w:hAnsi="Arial" w:cs="Arial"/>
          <w:bCs/>
          <w:color w:val="231F20"/>
          <w:sz w:val="20"/>
          <w:szCs w:val="20"/>
          <w:lang w:eastAsia="en-US"/>
        </w:rPr>
        <w:t>Capricorn Senegal</w:t>
      </w:r>
      <w:r w:rsidR="00187565">
        <w:rPr>
          <w:rFonts w:ascii="Arial" w:eastAsia="Times New Roman" w:hAnsi="Arial" w:cs="Arial"/>
          <w:bCs/>
          <w:color w:val="231F20"/>
          <w:sz w:val="20"/>
          <w:szCs w:val="20"/>
          <w:lang w:eastAsia="en-US"/>
        </w:rPr>
        <w:t>,</w:t>
      </w:r>
      <w:r w:rsidR="00C460F3" w:rsidRPr="00C10A1B" w:rsidDel="00C460F3">
        <w:rPr>
          <w:rFonts w:ascii="Arial" w:eastAsia="Times New Roman" w:hAnsi="Arial" w:cs="Arial"/>
          <w:bCs/>
          <w:color w:val="231F20"/>
          <w:sz w:val="20"/>
          <w:szCs w:val="20"/>
          <w:lang w:eastAsia="en-US"/>
        </w:rPr>
        <w:t xml:space="preserve"> </w:t>
      </w:r>
      <w:r w:rsidRPr="00C10A1B">
        <w:rPr>
          <w:rFonts w:ascii="Arial" w:eastAsia="Times New Roman" w:hAnsi="Arial" w:cs="Arial"/>
          <w:bCs/>
          <w:color w:val="231F20"/>
          <w:sz w:val="20"/>
          <w:szCs w:val="20"/>
          <w:lang w:eastAsia="en-US"/>
        </w:rPr>
        <w:t>a wholly owned subsidiary of Cairn</w:t>
      </w:r>
      <w:r w:rsidR="00C460F3" w:rsidRPr="00C10A1B">
        <w:rPr>
          <w:rFonts w:ascii="Arial" w:eastAsia="Times New Roman" w:hAnsi="Arial" w:cs="Arial"/>
          <w:bCs/>
          <w:color w:val="231F20"/>
          <w:sz w:val="20"/>
          <w:szCs w:val="20"/>
          <w:lang w:eastAsia="en-US"/>
        </w:rPr>
        <w:t>,</w:t>
      </w:r>
      <w:r w:rsidRPr="00C10A1B">
        <w:rPr>
          <w:rFonts w:ascii="Arial" w:eastAsia="Times New Roman" w:hAnsi="Arial" w:cs="Arial"/>
          <w:bCs/>
          <w:color w:val="231F20"/>
          <w:sz w:val="20"/>
          <w:szCs w:val="20"/>
          <w:lang w:eastAsia="en-US"/>
        </w:rPr>
        <w:t xml:space="preserve"> entered into a conditional agreement to sell</w:t>
      </w:r>
      <w:r w:rsidR="00C460F3" w:rsidRPr="00C10A1B">
        <w:rPr>
          <w:rFonts w:ascii="Arial" w:eastAsia="Times New Roman" w:hAnsi="Arial" w:cs="Arial"/>
          <w:bCs/>
          <w:color w:val="231F20"/>
          <w:sz w:val="20"/>
          <w:szCs w:val="20"/>
          <w:lang w:eastAsia="en-US"/>
        </w:rPr>
        <w:t xml:space="preserve"> and dispose</w:t>
      </w:r>
      <w:r w:rsidRPr="00C10A1B">
        <w:rPr>
          <w:rFonts w:ascii="Arial" w:eastAsia="Times New Roman" w:hAnsi="Arial" w:cs="Arial"/>
          <w:bCs/>
          <w:color w:val="231F20"/>
          <w:sz w:val="20"/>
          <w:szCs w:val="20"/>
          <w:lang w:eastAsia="en-US"/>
        </w:rPr>
        <w:t xml:space="preserve"> to </w:t>
      </w:r>
      <w:r w:rsidR="00B46D2A" w:rsidRPr="00C10A1B">
        <w:rPr>
          <w:rFonts w:ascii="Arial" w:eastAsia="Times New Roman" w:hAnsi="Arial" w:cs="Arial"/>
          <w:bCs/>
          <w:color w:val="231F20"/>
          <w:sz w:val="20"/>
          <w:szCs w:val="20"/>
          <w:lang w:eastAsia="en-US"/>
        </w:rPr>
        <w:t xml:space="preserve">LUKOIL </w:t>
      </w:r>
      <w:r w:rsidR="00C460F3" w:rsidRPr="00C10A1B">
        <w:rPr>
          <w:rFonts w:ascii="Arial" w:eastAsia="Times New Roman" w:hAnsi="Arial" w:cs="Arial"/>
          <w:bCs/>
          <w:color w:val="231F20"/>
          <w:sz w:val="20"/>
          <w:szCs w:val="20"/>
          <w:lang w:eastAsia="en-US"/>
        </w:rPr>
        <w:t>its entire</w:t>
      </w:r>
      <w:r w:rsidRPr="00C10A1B">
        <w:rPr>
          <w:rFonts w:ascii="Arial" w:eastAsia="Times New Roman" w:hAnsi="Arial" w:cs="Arial"/>
          <w:bCs/>
          <w:color w:val="231F20"/>
          <w:sz w:val="20"/>
          <w:szCs w:val="20"/>
          <w:lang w:eastAsia="en-US"/>
        </w:rPr>
        <w:t xml:space="preserve"> </w:t>
      </w:r>
      <w:r w:rsidR="00C460F3" w:rsidRPr="00C10A1B">
        <w:rPr>
          <w:rFonts w:ascii="Arial" w:eastAsia="Times New Roman" w:hAnsi="Arial" w:cs="Arial"/>
          <w:bCs/>
          <w:color w:val="231F20"/>
          <w:sz w:val="20"/>
          <w:szCs w:val="20"/>
          <w:lang w:eastAsia="en-US"/>
        </w:rPr>
        <w:t>4</w:t>
      </w:r>
      <w:r w:rsidRPr="00C10A1B">
        <w:rPr>
          <w:rFonts w:ascii="Arial" w:eastAsia="Times New Roman" w:hAnsi="Arial" w:cs="Arial"/>
          <w:bCs/>
          <w:color w:val="231F20"/>
          <w:sz w:val="20"/>
          <w:szCs w:val="20"/>
          <w:lang w:eastAsia="en-US"/>
        </w:rPr>
        <w:t>0 per cent</w:t>
      </w:r>
      <w:r w:rsidR="007C4722" w:rsidRPr="00C10A1B">
        <w:rPr>
          <w:rFonts w:ascii="Arial" w:eastAsia="Times New Roman" w:hAnsi="Arial" w:cs="Arial"/>
          <w:bCs/>
          <w:color w:val="231F20"/>
          <w:sz w:val="20"/>
          <w:szCs w:val="20"/>
          <w:lang w:eastAsia="en-US"/>
        </w:rPr>
        <w:t>.</w:t>
      </w:r>
      <w:r w:rsidRPr="00C10A1B">
        <w:rPr>
          <w:rFonts w:ascii="Arial" w:eastAsia="Times New Roman" w:hAnsi="Arial" w:cs="Arial"/>
          <w:bCs/>
          <w:color w:val="231F20"/>
          <w:sz w:val="20"/>
          <w:szCs w:val="20"/>
          <w:lang w:eastAsia="en-US"/>
        </w:rPr>
        <w:t xml:space="preserve"> </w:t>
      </w:r>
      <w:r w:rsidR="00C460F3" w:rsidRPr="00C10A1B">
        <w:rPr>
          <w:rFonts w:ascii="Arial" w:eastAsia="Times New Roman" w:hAnsi="Arial" w:cs="Arial"/>
          <w:bCs/>
          <w:color w:val="231F20"/>
          <w:sz w:val="20"/>
          <w:szCs w:val="20"/>
          <w:lang w:eastAsia="en-US"/>
        </w:rPr>
        <w:t xml:space="preserve">participating </w:t>
      </w:r>
      <w:r w:rsidRPr="00C10A1B">
        <w:rPr>
          <w:rFonts w:ascii="Arial" w:eastAsia="Times New Roman" w:hAnsi="Arial" w:cs="Arial"/>
          <w:bCs/>
          <w:color w:val="231F20"/>
          <w:sz w:val="20"/>
          <w:szCs w:val="20"/>
          <w:lang w:eastAsia="en-US"/>
        </w:rPr>
        <w:t>interest in the RSSD PSC together with a corresponding proportion of the rights, obligations and liabilities under the</w:t>
      </w:r>
      <w:r w:rsidR="00C460F3" w:rsidRPr="00C10A1B">
        <w:rPr>
          <w:rFonts w:ascii="Arial" w:eastAsia="Times New Roman" w:hAnsi="Arial" w:cs="Arial"/>
          <w:bCs/>
          <w:color w:val="231F20"/>
          <w:sz w:val="20"/>
          <w:szCs w:val="20"/>
          <w:lang w:eastAsia="en-US"/>
        </w:rPr>
        <w:t xml:space="preserve"> RSSD</w:t>
      </w:r>
      <w:r w:rsidRPr="00C10A1B">
        <w:rPr>
          <w:rFonts w:ascii="Arial" w:eastAsia="Times New Roman" w:hAnsi="Arial" w:cs="Arial"/>
          <w:bCs/>
          <w:color w:val="231F20"/>
          <w:sz w:val="20"/>
          <w:szCs w:val="20"/>
          <w:lang w:eastAsia="en-US"/>
        </w:rPr>
        <w:t xml:space="preserve"> JOA.  </w:t>
      </w:r>
    </w:p>
    <w:p w14:paraId="7783CFB3" w14:textId="77777777" w:rsidR="00DE49E9" w:rsidRPr="00C10A1B" w:rsidRDefault="00DE49E9" w:rsidP="00DE49E9">
      <w:pPr>
        <w:spacing w:after="0" w:line="240" w:lineRule="auto"/>
        <w:jc w:val="both"/>
        <w:rPr>
          <w:rFonts w:ascii="Arial" w:eastAsia="Times New Roman" w:hAnsi="Arial" w:cs="Arial"/>
          <w:bCs/>
          <w:color w:val="231F20"/>
          <w:sz w:val="20"/>
          <w:szCs w:val="20"/>
          <w:lang w:eastAsia="en-US"/>
        </w:rPr>
      </w:pPr>
    </w:p>
    <w:p w14:paraId="10AE1931" w14:textId="3BD8B830" w:rsidR="00677262" w:rsidRPr="00C10A1B" w:rsidRDefault="00677262" w:rsidP="00305475">
      <w:pPr>
        <w:spacing w:after="0" w:line="240" w:lineRule="auto"/>
        <w:jc w:val="both"/>
        <w:rPr>
          <w:rFonts w:ascii="Arial" w:eastAsia="Times New Roman" w:hAnsi="Arial" w:cs="Arial"/>
          <w:bCs/>
          <w:color w:val="231F20"/>
          <w:sz w:val="20"/>
          <w:szCs w:val="20"/>
          <w:lang w:eastAsia="en-US"/>
        </w:rPr>
      </w:pPr>
      <w:r w:rsidRPr="00C10A1B">
        <w:rPr>
          <w:rFonts w:ascii="Arial" w:eastAsia="Times New Roman" w:hAnsi="Arial" w:cs="Arial"/>
          <w:bCs/>
          <w:color w:val="231F20"/>
          <w:sz w:val="20"/>
          <w:szCs w:val="20"/>
          <w:lang w:eastAsia="en-US"/>
        </w:rPr>
        <w:t xml:space="preserve">The </w:t>
      </w:r>
      <w:r w:rsidR="0014292D" w:rsidRPr="00C10A1B">
        <w:rPr>
          <w:rFonts w:ascii="Arial" w:eastAsia="Times New Roman" w:hAnsi="Arial" w:cs="Arial"/>
          <w:bCs/>
          <w:color w:val="231F20"/>
          <w:sz w:val="20"/>
          <w:szCs w:val="20"/>
          <w:lang w:eastAsia="en-US"/>
        </w:rPr>
        <w:t xml:space="preserve">initial cash </w:t>
      </w:r>
      <w:r w:rsidRPr="00C10A1B">
        <w:rPr>
          <w:rFonts w:ascii="Arial" w:eastAsia="Times New Roman" w:hAnsi="Arial" w:cs="Arial"/>
          <w:bCs/>
          <w:color w:val="231F20"/>
          <w:sz w:val="20"/>
          <w:szCs w:val="20"/>
          <w:lang w:eastAsia="en-US"/>
        </w:rPr>
        <w:t>consideration to be received by the Group at Completion for the Transaction is approximately US</w:t>
      </w:r>
      <w:r w:rsidR="00BB6EAC" w:rsidRPr="00C10A1B">
        <w:rPr>
          <w:rFonts w:ascii="Arial" w:eastAsia="Times New Roman" w:hAnsi="Arial" w:cs="Arial"/>
          <w:bCs/>
          <w:color w:val="231F20"/>
          <w:sz w:val="20"/>
          <w:szCs w:val="20"/>
          <w:lang w:eastAsia="en-US"/>
        </w:rPr>
        <w:t>$300</w:t>
      </w:r>
      <w:r w:rsidRPr="00C10A1B">
        <w:rPr>
          <w:rFonts w:ascii="Arial" w:eastAsia="Times New Roman" w:hAnsi="Arial" w:cs="Arial"/>
          <w:bCs/>
          <w:color w:val="231F20"/>
          <w:sz w:val="20"/>
          <w:szCs w:val="20"/>
          <w:lang w:eastAsia="en-US"/>
        </w:rPr>
        <w:t>m</w:t>
      </w:r>
      <w:r w:rsidR="0014292D" w:rsidRPr="00C10A1B">
        <w:rPr>
          <w:rFonts w:ascii="Arial" w:eastAsia="Times New Roman" w:hAnsi="Arial" w:cs="Arial"/>
          <w:bCs/>
          <w:color w:val="231F20"/>
          <w:sz w:val="20"/>
          <w:szCs w:val="20"/>
          <w:lang w:eastAsia="en-US"/>
        </w:rPr>
        <w:t>,</w:t>
      </w:r>
      <w:r w:rsidRPr="00C10A1B">
        <w:rPr>
          <w:rFonts w:ascii="Arial" w:eastAsia="Times New Roman" w:hAnsi="Arial" w:cs="Arial"/>
          <w:bCs/>
          <w:color w:val="231F20"/>
          <w:sz w:val="20"/>
          <w:szCs w:val="20"/>
          <w:lang w:eastAsia="en-US"/>
        </w:rPr>
        <w:t xml:space="preserve"> together with an interim period adjustment from the economic date of 1 January 2020. The Group is entitled to receive further contingent consideration of up to US</w:t>
      </w:r>
      <w:r w:rsidR="00707013" w:rsidRPr="00C10A1B">
        <w:rPr>
          <w:rFonts w:ascii="Arial" w:eastAsia="Times New Roman" w:hAnsi="Arial" w:cs="Arial"/>
          <w:bCs/>
          <w:color w:val="231F20"/>
          <w:sz w:val="20"/>
          <w:szCs w:val="20"/>
          <w:lang w:eastAsia="en-US"/>
        </w:rPr>
        <w:t>$100</w:t>
      </w:r>
      <w:r w:rsidRPr="00C10A1B">
        <w:rPr>
          <w:rFonts w:ascii="Arial" w:eastAsia="Times New Roman" w:hAnsi="Arial" w:cs="Arial"/>
          <w:bCs/>
          <w:color w:val="231F20"/>
          <w:sz w:val="20"/>
          <w:szCs w:val="20"/>
          <w:lang w:eastAsia="en-US"/>
        </w:rPr>
        <w:t xml:space="preserve">m in cash </w:t>
      </w:r>
      <w:r w:rsidR="00D16821" w:rsidRPr="00C10A1B">
        <w:rPr>
          <w:rFonts w:ascii="Arial" w:eastAsia="Times New Roman" w:hAnsi="Arial" w:cs="Arial"/>
          <w:bCs/>
          <w:color w:val="231F20"/>
          <w:sz w:val="20"/>
          <w:szCs w:val="20"/>
          <w:lang w:eastAsia="en-US"/>
        </w:rPr>
        <w:t>dependent on the</w:t>
      </w:r>
      <w:r w:rsidR="005950DF" w:rsidRPr="00C10A1B">
        <w:rPr>
          <w:rFonts w:ascii="Arial" w:eastAsia="Times New Roman" w:hAnsi="Arial" w:cs="Arial"/>
          <w:bCs/>
          <w:color w:val="231F20"/>
          <w:sz w:val="20"/>
          <w:szCs w:val="20"/>
          <w:lang w:eastAsia="en-US"/>
        </w:rPr>
        <w:t xml:space="preserve"> average Brent</w:t>
      </w:r>
      <w:r w:rsidR="00D16821" w:rsidRPr="00C10A1B">
        <w:rPr>
          <w:rFonts w:ascii="Arial" w:eastAsia="Times New Roman" w:hAnsi="Arial" w:cs="Arial"/>
          <w:bCs/>
          <w:color w:val="231F20"/>
          <w:sz w:val="20"/>
          <w:szCs w:val="20"/>
          <w:lang w:eastAsia="en-US"/>
        </w:rPr>
        <w:t xml:space="preserve"> oil price </w:t>
      </w:r>
      <w:r w:rsidR="005950DF" w:rsidRPr="00C10A1B">
        <w:rPr>
          <w:rFonts w:ascii="Arial" w:eastAsia="Times New Roman" w:hAnsi="Arial" w:cs="Arial"/>
          <w:bCs/>
          <w:color w:val="231F20"/>
          <w:sz w:val="20"/>
          <w:szCs w:val="20"/>
          <w:lang w:eastAsia="en-US"/>
        </w:rPr>
        <w:t>for the first six months of production</w:t>
      </w:r>
      <w:r w:rsidR="00025D7C" w:rsidRPr="00C10A1B">
        <w:rPr>
          <w:rFonts w:ascii="Arial" w:eastAsia="Times New Roman" w:hAnsi="Arial" w:cs="Arial"/>
          <w:bCs/>
          <w:color w:val="231F20"/>
          <w:sz w:val="20"/>
          <w:szCs w:val="20"/>
          <w:lang w:eastAsia="en-US"/>
        </w:rPr>
        <w:t xml:space="preserve"> and the timing of first oil. </w:t>
      </w:r>
    </w:p>
    <w:p w14:paraId="4609D63B" w14:textId="77777777" w:rsidR="00DE49E9" w:rsidRPr="00C10A1B" w:rsidRDefault="00DE49E9" w:rsidP="00DE49E9">
      <w:pPr>
        <w:spacing w:after="0" w:line="240" w:lineRule="auto"/>
        <w:jc w:val="both"/>
        <w:rPr>
          <w:rFonts w:ascii="Arial" w:eastAsia="Times New Roman" w:hAnsi="Arial" w:cs="Arial"/>
          <w:bCs/>
          <w:color w:val="231F20"/>
          <w:sz w:val="20"/>
          <w:szCs w:val="20"/>
          <w:lang w:eastAsia="en-US"/>
        </w:rPr>
      </w:pPr>
    </w:p>
    <w:p w14:paraId="020916B1" w14:textId="041EE3CE" w:rsidR="00677262" w:rsidRPr="00C10A1B" w:rsidRDefault="00677262" w:rsidP="00305475">
      <w:pPr>
        <w:spacing w:after="0" w:line="240" w:lineRule="auto"/>
        <w:jc w:val="both"/>
        <w:rPr>
          <w:rFonts w:ascii="Arial" w:eastAsia="Times New Roman" w:hAnsi="Arial" w:cs="Arial"/>
          <w:bCs/>
          <w:color w:val="231F20"/>
          <w:sz w:val="20"/>
          <w:szCs w:val="20"/>
          <w:lang w:eastAsia="en-US"/>
        </w:rPr>
      </w:pPr>
      <w:r w:rsidRPr="00C10A1B">
        <w:rPr>
          <w:rFonts w:ascii="Arial" w:eastAsia="Times New Roman" w:hAnsi="Arial" w:cs="Arial"/>
          <w:bCs/>
          <w:color w:val="231F20"/>
          <w:sz w:val="20"/>
          <w:szCs w:val="20"/>
          <w:lang w:eastAsia="en-US"/>
        </w:rPr>
        <w:t xml:space="preserve">The Transaction is conditional upon, inter alia, the approval of the </w:t>
      </w:r>
      <w:r w:rsidR="00C3488D" w:rsidRPr="00C10A1B">
        <w:rPr>
          <w:rFonts w:ascii="Arial" w:eastAsia="Times New Roman" w:hAnsi="Arial" w:cs="Arial"/>
          <w:bCs/>
          <w:color w:val="231F20"/>
          <w:sz w:val="20"/>
          <w:szCs w:val="20"/>
          <w:lang w:eastAsia="en-US"/>
        </w:rPr>
        <w:t>Minister</w:t>
      </w:r>
      <w:r w:rsidRPr="00C10A1B">
        <w:rPr>
          <w:rFonts w:ascii="Arial" w:eastAsia="Times New Roman" w:hAnsi="Arial" w:cs="Arial"/>
          <w:bCs/>
          <w:color w:val="231F20"/>
          <w:sz w:val="20"/>
          <w:szCs w:val="20"/>
          <w:lang w:eastAsia="en-US"/>
        </w:rPr>
        <w:t xml:space="preserve">, approval </w:t>
      </w:r>
      <w:r w:rsidR="00DE49E9" w:rsidRPr="00C10A1B">
        <w:rPr>
          <w:rFonts w:ascii="Arial" w:eastAsia="Times New Roman" w:hAnsi="Arial" w:cs="Arial"/>
          <w:bCs/>
          <w:color w:val="231F20"/>
          <w:sz w:val="20"/>
          <w:szCs w:val="20"/>
          <w:lang w:eastAsia="en-US"/>
        </w:rPr>
        <w:t xml:space="preserve">or deemed approval </w:t>
      </w:r>
      <w:r w:rsidRPr="00C10A1B">
        <w:rPr>
          <w:rFonts w:ascii="Arial" w:eastAsia="Times New Roman" w:hAnsi="Arial" w:cs="Arial"/>
          <w:bCs/>
          <w:color w:val="231F20"/>
          <w:sz w:val="20"/>
          <w:szCs w:val="20"/>
          <w:lang w:eastAsia="en-US"/>
        </w:rPr>
        <w:t>of the RSSD co-</w:t>
      </w:r>
      <w:proofErr w:type="spellStart"/>
      <w:r w:rsidRPr="00C10A1B">
        <w:rPr>
          <w:rFonts w:ascii="Arial" w:eastAsia="Times New Roman" w:hAnsi="Arial" w:cs="Arial"/>
          <w:bCs/>
          <w:color w:val="231F20"/>
          <w:sz w:val="20"/>
          <w:szCs w:val="20"/>
          <w:lang w:eastAsia="en-US"/>
        </w:rPr>
        <w:t>venturers</w:t>
      </w:r>
      <w:proofErr w:type="spellEnd"/>
      <w:r w:rsidRPr="00C10A1B">
        <w:rPr>
          <w:rFonts w:ascii="Arial" w:eastAsia="Times New Roman" w:hAnsi="Arial" w:cs="Arial"/>
          <w:bCs/>
          <w:color w:val="231F20"/>
          <w:sz w:val="20"/>
          <w:szCs w:val="20"/>
          <w:lang w:eastAsia="en-US"/>
        </w:rPr>
        <w:t xml:space="preserve"> and the waiver or non-exercise by the same co-</w:t>
      </w:r>
      <w:proofErr w:type="spellStart"/>
      <w:r w:rsidRPr="00C10A1B">
        <w:rPr>
          <w:rFonts w:ascii="Arial" w:eastAsia="Times New Roman" w:hAnsi="Arial" w:cs="Arial"/>
          <w:bCs/>
          <w:color w:val="231F20"/>
          <w:sz w:val="20"/>
          <w:szCs w:val="20"/>
          <w:lang w:eastAsia="en-US"/>
        </w:rPr>
        <w:t>venturers</w:t>
      </w:r>
      <w:proofErr w:type="spellEnd"/>
      <w:r w:rsidRPr="00C10A1B">
        <w:rPr>
          <w:rFonts w:ascii="Arial" w:eastAsia="Times New Roman" w:hAnsi="Arial" w:cs="Arial"/>
          <w:bCs/>
          <w:color w:val="231F20"/>
          <w:sz w:val="20"/>
          <w:szCs w:val="20"/>
          <w:lang w:eastAsia="en-US"/>
        </w:rPr>
        <w:t xml:space="preserve"> of </w:t>
      </w:r>
      <w:r w:rsidR="00696610" w:rsidRPr="00C10A1B">
        <w:rPr>
          <w:rFonts w:ascii="Arial" w:eastAsia="Times New Roman" w:hAnsi="Arial" w:cs="Arial"/>
          <w:bCs/>
          <w:color w:val="231F20"/>
          <w:sz w:val="20"/>
          <w:szCs w:val="20"/>
          <w:lang w:eastAsia="en-US"/>
        </w:rPr>
        <w:t>P</w:t>
      </w:r>
      <w:r w:rsidRPr="00C10A1B">
        <w:rPr>
          <w:rFonts w:ascii="Arial" w:eastAsia="Times New Roman" w:hAnsi="Arial" w:cs="Arial"/>
          <w:bCs/>
          <w:color w:val="231F20"/>
          <w:sz w:val="20"/>
          <w:szCs w:val="20"/>
          <w:lang w:eastAsia="en-US"/>
        </w:rPr>
        <w:t>re-</w:t>
      </w:r>
      <w:r w:rsidR="00696610" w:rsidRPr="00C10A1B">
        <w:rPr>
          <w:rFonts w:ascii="Arial" w:eastAsia="Times New Roman" w:hAnsi="Arial" w:cs="Arial"/>
          <w:bCs/>
          <w:color w:val="231F20"/>
          <w:sz w:val="20"/>
          <w:szCs w:val="20"/>
          <w:lang w:eastAsia="en-US"/>
        </w:rPr>
        <w:t>E</w:t>
      </w:r>
      <w:r w:rsidRPr="00C10A1B">
        <w:rPr>
          <w:rFonts w:ascii="Arial" w:eastAsia="Times New Roman" w:hAnsi="Arial" w:cs="Arial"/>
          <w:bCs/>
          <w:color w:val="231F20"/>
          <w:sz w:val="20"/>
          <w:szCs w:val="20"/>
          <w:lang w:eastAsia="en-US"/>
        </w:rPr>
        <w:t xml:space="preserve">mption </w:t>
      </w:r>
      <w:r w:rsidR="00696610" w:rsidRPr="00C10A1B">
        <w:rPr>
          <w:rFonts w:ascii="Arial" w:eastAsia="Times New Roman" w:hAnsi="Arial" w:cs="Arial"/>
          <w:bCs/>
          <w:color w:val="231F20"/>
          <w:sz w:val="20"/>
          <w:szCs w:val="20"/>
          <w:lang w:eastAsia="en-US"/>
        </w:rPr>
        <w:t>R</w:t>
      </w:r>
      <w:r w:rsidRPr="00C10A1B">
        <w:rPr>
          <w:rFonts w:ascii="Arial" w:eastAsia="Times New Roman" w:hAnsi="Arial" w:cs="Arial"/>
          <w:bCs/>
          <w:color w:val="231F20"/>
          <w:sz w:val="20"/>
          <w:szCs w:val="20"/>
          <w:lang w:eastAsia="en-US"/>
        </w:rPr>
        <w:t xml:space="preserve">ights. If </w:t>
      </w:r>
      <w:r w:rsidR="00696610" w:rsidRPr="00C10A1B">
        <w:rPr>
          <w:rFonts w:ascii="Arial" w:eastAsia="Times New Roman" w:hAnsi="Arial" w:cs="Arial"/>
          <w:bCs/>
          <w:color w:val="231F20"/>
          <w:sz w:val="20"/>
          <w:szCs w:val="20"/>
          <w:lang w:eastAsia="en-US"/>
        </w:rPr>
        <w:t>P</w:t>
      </w:r>
      <w:r w:rsidRPr="00C10A1B">
        <w:rPr>
          <w:rFonts w:ascii="Arial" w:eastAsia="Times New Roman" w:hAnsi="Arial" w:cs="Arial"/>
          <w:bCs/>
          <w:color w:val="231F20"/>
          <w:sz w:val="20"/>
          <w:szCs w:val="20"/>
          <w:lang w:eastAsia="en-US"/>
        </w:rPr>
        <w:t>re-</w:t>
      </w:r>
      <w:r w:rsidR="00696610" w:rsidRPr="00C10A1B">
        <w:rPr>
          <w:rFonts w:ascii="Arial" w:eastAsia="Times New Roman" w:hAnsi="Arial" w:cs="Arial"/>
          <w:bCs/>
          <w:color w:val="231F20"/>
          <w:sz w:val="20"/>
          <w:szCs w:val="20"/>
          <w:lang w:eastAsia="en-US"/>
        </w:rPr>
        <w:t>E</w:t>
      </w:r>
      <w:r w:rsidRPr="00C10A1B">
        <w:rPr>
          <w:rFonts w:ascii="Arial" w:eastAsia="Times New Roman" w:hAnsi="Arial" w:cs="Arial"/>
          <w:bCs/>
          <w:color w:val="231F20"/>
          <w:sz w:val="20"/>
          <w:szCs w:val="20"/>
          <w:lang w:eastAsia="en-US"/>
        </w:rPr>
        <w:t xml:space="preserve">mption </w:t>
      </w:r>
      <w:r w:rsidR="00696610" w:rsidRPr="00C10A1B">
        <w:rPr>
          <w:rFonts w:ascii="Arial" w:eastAsia="Times New Roman" w:hAnsi="Arial" w:cs="Arial"/>
          <w:bCs/>
          <w:color w:val="231F20"/>
          <w:sz w:val="20"/>
          <w:szCs w:val="20"/>
          <w:lang w:eastAsia="en-US"/>
        </w:rPr>
        <w:t>R</w:t>
      </w:r>
      <w:r w:rsidRPr="00C10A1B">
        <w:rPr>
          <w:rFonts w:ascii="Arial" w:eastAsia="Times New Roman" w:hAnsi="Arial" w:cs="Arial"/>
          <w:bCs/>
          <w:color w:val="231F20"/>
          <w:sz w:val="20"/>
          <w:szCs w:val="20"/>
          <w:lang w:eastAsia="en-US"/>
        </w:rPr>
        <w:t xml:space="preserve">ights are exercised, Cairn will dispose of the assets to the party </w:t>
      </w:r>
      <w:r w:rsidR="00DE49E9" w:rsidRPr="00C10A1B">
        <w:rPr>
          <w:rFonts w:ascii="Arial" w:eastAsia="Times New Roman" w:hAnsi="Arial" w:cs="Arial"/>
          <w:bCs/>
          <w:color w:val="231F20"/>
          <w:sz w:val="20"/>
          <w:szCs w:val="20"/>
          <w:lang w:eastAsia="en-US"/>
        </w:rPr>
        <w:t xml:space="preserve">or parties </w:t>
      </w:r>
      <w:r w:rsidRPr="00C10A1B">
        <w:rPr>
          <w:rFonts w:ascii="Arial" w:eastAsia="Times New Roman" w:hAnsi="Arial" w:cs="Arial"/>
          <w:bCs/>
          <w:color w:val="231F20"/>
          <w:sz w:val="20"/>
          <w:szCs w:val="20"/>
          <w:lang w:eastAsia="en-US"/>
        </w:rPr>
        <w:t xml:space="preserve">exercising such rights on the same terms and conditions as the agreement with </w:t>
      </w:r>
      <w:r w:rsidR="00B46D2A" w:rsidRPr="00C10A1B">
        <w:rPr>
          <w:rFonts w:ascii="Arial" w:eastAsia="Times New Roman" w:hAnsi="Arial" w:cs="Arial"/>
          <w:bCs/>
          <w:color w:val="231F20"/>
          <w:sz w:val="20"/>
          <w:szCs w:val="20"/>
          <w:lang w:eastAsia="en-US"/>
        </w:rPr>
        <w:t>LUKOIL</w:t>
      </w:r>
      <w:r w:rsidRPr="00C10A1B">
        <w:rPr>
          <w:rFonts w:ascii="Arial" w:eastAsia="Times New Roman" w:hAnsi="Arial" w:cs="Arial"/>
          <w:bCs/>
          <w:color w:val="231F20"/>
          <w:sz w:val="20"/>
          <w:szCs w:val="20"/>
          <w:lang w:eastAsia="en-US"/>
        </w:rPr>
        <w:t xml:space="preserve">. </w:t>
      </w:r>
    </w:p>
    <w:p w14:paraId="31B82605" w14:textId="77777777" w:rsidR="007F66A0" w:rsidRPr="00C10A1B" w:rsidRDefault="007F66A0" w:rsidP="007F66A0">
      <w:pPr>
        <w:spacing w:before="83" w:after="0" w:line="240" w:lineRule="auto"/>
        <w:ind w:left="110" w:right="55"/>
        <w:jc w:val="both"/>
        <w:rPr>
          <w:rFonts w:ascii="Arial" w:eastAsia="Times New Roman" w:hAnsi="Arial" w:cs="Arial"/>
          <w:bCs/>
          <w:color w:val="231F20"/>
          <w:sz w:val="20"/>
          <w:szCs w:val="20"/>
          <w:lang w:eastAsia="en-US"/>
        </w:rPr>
      </w:pPr>
    </w:p>
    <w:p w14:paraId="00975D9F" w14:textId="45E0D0CE" w:rsidR="007F66A0" w:rsidRPr="00C10A1B" w:rsidRDefault="00677262" w:rsidP="007F66A0">
      <w:pPr>
        <w:spacing w:after="0" w:line="240" w:lineRule="auto"/>
        <w:jc w:val="both"/>
        <w:rPr>
          <w:rFonts w:ascii="Arial" w:eastAsia="Times New Roman" w:hAnsi="Arial" w:cs="Arial"/>
          <w:sz w:val="20"/>
          <w:szCs w:val="20"/>
        </w:rPr>
      </w:pPr>
      <w:r w:rsidRPr="00C10A1B">
        <w:rPr>
          <w:rFonts w:ascii="Arial" w:eastAsia="Times New Roman" w:hAnsi="Arial" w:cs="Arial"/>
          <w:bCs/>
          <w:color w:val="231F20"/>
          <w:sz w:val="20"/>
          <w:szCs w:val="20"/>
          <w:lang w:eastAsia="en-US"/>
        </w:rPr>
        <w:t xml:space="preserve">The Transaction is of sufficient size relative to that of the Group to constitute a Class 1 transaction under the </w:t>
      </w:r>
      <w:r w:rsidR="00707013" w:rsidRPr="00C10A1B">
        <w:rPr>
          <w:rFonts w:ascii="Arial" w:eastAsia="Times New Roman" w:hAnsi="Arial" w:cs="Arial"/>
          <w:bCs/>
          <w:color w:val="231F20"/>
          <w:sz w:val="20"/>
          <w:szCs w:val="20"/>
          <w:lang w:eastAsia="en-US"/>
        </w:rPr>
        <w:t xml:space="preserve">UK </w:t>
      </w:r>
      <w:r w:rsidRPr="00C10A1B">
        <w:rPr>
          <w:rFonts w:ascii="Arial" w:eastAsia="Times New Roman" w:hAnsi="Arial" w:cs="Arial"/>
          <w:bCs/>
          <w:color w:val="231F20"/>
          <w:sz w:val="20"/>
          <w:szCs w:val="20"/>
          <w:lang w:eastAsia="en-US"/>
        </w:rPr>
        <w:t xml:space="preserve">Listing Rules </w:t>
      </w:r>
      <w:r w:rsidR="00C23D4F" w:rsidRPr="00C10A1B">
        <w:rPr>
          <w:rFonts w:ascii="Arial" w:eastAsia="Times New Roman" w:hAnsi="Arial" w:cs="Arial"/>
          <w:bCs/>
          <w:color w:val="231F20"/>
          <w:sz w:val="20"/>
          <w:szCs w:val="20"/>
          <w:lang w:eastAsia="en-US"/>
        </w:rPr>
        <w:t xml:space="preserve">of the FCA </w:t>
      </w:r>
      <w:r w:rsidRPr="00C10A1B">
        <w:rPr>
          <w:rFonts w:ascii="Arial" w:eastAsia="Times New Roman" w:hAnsi="Arial" w:cs="Arial"/>
          <w:bCs/>
          <w:color w:val="231F20"/>
          <w:sz w:val="20"/>
          <w:szCs w:val="20"/>
          <w:lang w:eastAsia="en-US"/>
        </w:rPr>
        <w:t>and is therefore also conditional upon the approval of Shareholders.</w:t>
      </w:r>
      <w:r w:rsidR="007F66A0" w:rsidRPr="00C10A1B">
        <w:rPr>
          <w:rFonts w:ascii="Arial" w:eastAsia="Times New Roman" w:hAnsi="Arial" w:cs="Arial"/>
          <w:bCs/>
          <w:color w:val="231F20"/>
          <w:sz w:val="20"/>
          <w:szCs w:val="20"/>
          <w:lang w:eastAsia="en-US"/>
        </w:rPr>
        <w:t xml:space="preserve"> </w:t>
      </w:r>
      <w:r w:rsidR="007F66A0" w:rsidRPr="00C10A1B">
        <w:rPr>
          <w:rFonts w:ascii="Arial" w:eastAsia="Times New Roman" w:hAnsi="Arial" w:cs="Arial"/>
          <w:sz w:val="20"/>
          <w:szCs w:val="20"/>
        </w:rPr>
        <w:t xml:space="preserve">Cairn will </w:t>
      </w:r>
      <w:r w:rsidR="00CA6C65">
        <w:rPr>
          <w:rFonts w:ascii="Arial" w:eastAsia="Times New Roman" w:hAnsi="Arial" w:cs="Arial"/>
          <w:sz w:val="20"/>
          <w:szCs w:val="20"/>
        </w:rPr>
        <w:t>publish</w:t>
      </w:r>
      <w:r w:rsidR="007F66A0" w:rsidRPr="00C10A1B">
        <w:rPr>
          <w:rFonts w:ascii="Arial" w:eastAsia="Times New Roman" w:hAnsi="Arial" w:cs="Arial"/>
          <w:sz w:val="20"/>
          <w:szCs w:val="20"/>
        </w:rPr>
        <w:t xml:space="preserve"> a circular to </w:t>
      </w:r>
      <w:r w:rsidR="002237F5" w:rsidRPr="00C10A1B">
        <w:rPr>
          <w:rFonts w:ascii="Arial" w:eastAsia="Times New Roman" w:hAnsi="Arial" w:cs="Arial"/>
          <w:sz w:val="20"/>
          <w:szCs w:val="20"/>
        </w:rPr>
        <w:t>S</w:t>
      </w:r>
      <w:r w:rsidR="007F66A0" w:rsidRPr="00C10A1B">
        <w:rPr>
          <w:rFonts w:ascii="Arial" w:eastAsia="Times New Roman" w:hAnsi="Arial" w:cs="Arial"/>
          <w:sz w:val="20"/>
          <w:szCs w:val="20"/>
        </w:rPr>
        <w:t xml:space="preserve">hareholders in due course setting out further details of the Transaction and convening </w:t>
      </w:r>
      <w:r w:rsidR="00BC1D87" w:rsidRPr="00C10A1B">
        <w:rPr>
          <w:rFonts w:ascii="Arial" w:eastAsia="Times New Roman" w:hAnsi="Arial" w:cs="Arial"/>
          <w:sz w:val="20"/>
          <w:szCs w:val="20"/>
        </w:rPr>
        <w:t>the</w:t>
      </w:r>
      <w:r w:rsidR="007F66A0" w:rsidRPr="00C10A1B">
        <w:rPr>
          <w:rFonts w:ascii="Arial" w:eastAsia="Times New Roman" w:hAnsi="Arial" w:cs="Arial"/>
          <w:sz w:val="20"/>
          <w:szCs w:val="20"/>
        </w:rPr>
        <w:t xml:space="preserve"> General Meeting, at which </w:t>
      </w:r>
      <w:r w:rsidR="002237F5" w:rsidRPr="00C10A1B">
        <w:rPr>
          <w:rFonts w:ascii="Arial" w:eastAsia="Times New Roman" w:hAnsi="Arial" w:cs="Arial"/>
          <w:sz w:val="20"/>
          <w:szCs w:val="20"/>
        </w:rPr>
        <w:t>S</w:t>
      </w:r>
      <w:r w:rsidR="007F66A0" w:rsidRPr="00C10A1B">
        <w:rPr>
          <w:rFonts w:ascii="Arial" w:eastAsia="Times New Roman" w:hAnsi="Arial" w:cs="Arial"/>
          <w:sz w:val="20"/>
          <w:szCs w:val="20"/>
        </w:rPr>
        <w:t>hareholder approval will be sought for the Transaction.</w:t>
      </w:r>
    </w:p>
    <w:p w14:paraId="76148E9B" w14:textId="01CEC09D" w:rsidR="00677262" w:rsidRPr="00C10A1B" w:rsidRDefault="007F66A0" w:rsidP="00497C85">
      <w:pPr>
        <w:spacing w:after="0" w:line="240" w:lineRule="auto"/>
        <w:jc w:val="both"/>
        <w:rPr>
          <w:rFonts w:ascii="Arial" w:eastAsia="Times New Roman" w:hAnsi="Arial" w:cs="Arial"/>
          <w:b/>
          <w:bCs/>
          <w:sz w:val="20"/>
          <w:szCs w:val="20"/>
        </w:rPr>
      </w:pPr>
      <w:r w:rsidRPr="00C10A1B">
        <w:rPr>
          <w:rFonts w:ascii="Arial" w:eastAsia="Times New Roman" w:hAnsi="Arial" w:cs="Arial"/>
          <w:b/>
          <w:bCs/>
          <w:sz w:val="20"/>
          <w:szCs w:val="20"/>
        </w:rPr>
        <w:t> </w:t>
      </w:r>
    </w:p>
    <w:p w14:paraId="0DAFC606" w14:textId="711C72D2" w:rsidR="00A67B28" w:rsidRPr="00C10A1B" w:rsidRDefault="00A67B28" w:rsidP="0076621E">
      <w:pPr>
        <w:pStyle w:val="ListParagraph"/>
        <w:numPr>
          <w:ilvl w:val="0"/>
          <w:numId w:val="2"/>
        </w:numPr>
        <w:spacing w:before="60" w:after="60" w:line="240" w:lineRule="exact"/>
        <w:contextualSpacing w:val="0"/>
        <w:jc w:val="both"/>
        <w:rPr>
          <w:rFonts w:ascii="Arial" w:eastAsia="Times New Roman" w:hAnsi="Arial" w:cs="Arial"/>
          <w:b/>
          <w:bCs/>
          <w:sz w:val="20"/>
          <w:szCs w:val="20"/>
        </w:rPr>
      </w:pPr>
      <w:r w:rsidRPr="00C10A1B">
        <w:rPr>
          <w:rFonts w:ascii="Arial" w:eastAsia="Times New Roman" w:hAnsi="Arial" w:cs="Arial"/>
          <w:b/>
          <w:bCs/>
          <w:sz w:val="20"/>
          <w:szCs w:val="20"/>
        </w:rPr>
        <w:t>Background to and R</w:t>
      </w:r>
      <w:r w:rsidR="00677262" w:rsidRPr="00C10A1B">
        <w:rPr>
          <w:rFonts w:ascii="Arial" w:eastAsia="Times New Roman" w:hAnsi="Arial" w:cs="Arial"/>
          <w:b/>
          <w:bCs/>
          <w:sz w:val="20"/>
          <w:szCs w:val="20"/>
        </w:rPr>
        <w:t>e</w:t>
      </w:r>
      <w:r w:rsidRPr="00C10A1B">
        <w:rPr>
          <w:rFonts w:ascii="Arial" w:eastAsia="Times New Roman" w:hAnsi="Arial" w:cs="Arial"/>
          <w:b/>
          <w:bCs/>
          <w:sz w:val="20"/>
          <w:szCs w:val="20"/>
        </w:rPr>
        <w:t>asons for the Transaction</w:t>
      </w:r>
    </w:p>
    <w:p w14:paraId="2B4C9572" w14:textId="77777777" w:rsidR="00A67B28" w:rsidRPr="00C10A1B" w:rsidRDefault="00A67B28" w:rsidP="00A67B28">
      <w:pPr>
        <w:spacing w:after="0" w:line="240" w:lineRule="auto"/>
        <w:jc w:val="both"/>
        <w:rPr>
          <w:rFonts w:ascii="Arial" w:eastAsia="Times New Roman" w:hAnsi="Arial" w:cs="Arial"/>
          <w:b/>
          <w:bCs/>
          <w:sz w:val="20"/>
          <w:szCs w:val="20"/>
        </w:rPr>
      </w:pPr>
      <w:r w:rsidRPr="00C10A1B">
        <w:rPr>
          <w:rFonts w:ascii="Arial" w:eastAsia="Times New Roman" w:hAnsi="Arial" w:cs="Arial"/>
          <w:b/>
          <w:bCs/>
          <w:sz w:val="20"/>
          <w:szCs w:val="20"/>
        </w:rPr>
        <w:t> </w:t>
      </w:r>
    </w:p>
    <w:p w14:paraId="6A2A430B" w14:textId="6778FE8C" w:rsidR="00FB5BCE" w:rsidRPr="00C10A1B" w:rsidRDefault="00FB5BCE" w:rsidP="00FB5BCE">
      <w:pPr>
        <w:spacing w:after="0" w:line="240" w:lineRule="auto"/>
        <w:jc w:val="both"/>
        <w:rPr>
          <w:rFonts w:ascii="Arial" w:eastAsia="Times New Roman" w:hAnsi="Arial" w:cs="Arial"/>
          <w:iCs/>
          <w:sz w:val="20"/>
          <w:szCs w:val="20"/>
        </w:rPr>
      </w:pPr>
      <w:r w:rsidRPr="00C10A1B">
        <w:rPr>
          <w:rFonts w:ascii="Arial" w:eastAsia="Times New Roman" w:hAnsi="Arial" w:cs="Arial"/>
          <w:iCs/>
          <w:sz w:val="20"/>
          <w:szCs w:val="20"/>
        </w:rPr>
        <w:t xml:space="preserve">In 2013, Cairn acquired a 65 per cent. operating interest under the RSSD PSC offshore Senegal. Cairn farmed down to a 40 per cent. operating interest shortly thereafter. Since its initial acquisition of the interest in RSSD, Cairn has carried out multiple exploration and appraisal drilling programmes resulting in the successful discovery of the </w:t>
      </w:r>
      <w:proofErr w:type="spellStart"/>
      <w:r w:rsidRPr="00C10A1B">
        <w:rPr>
          <w:rFonts w:ascii="Arial" w:eastAsia="Times New Roman" w:hAnsi="Arial" w:cs="Arial"/>
          <w:iCs/>
          <w:sz w:val="20"/>
          <w:szCs w:val="20"/>
        </w:rPr>
        <w:t>Sangomar</w:t>
      </w:r>
      <w:proofErr w:type="spellEnd"/>
      <w:r w:rsidRPr="00C10A1B">
        <w:rPr>
          <w:rFonts w:ascii="Arial" w:eastAsia="Times New Roman" w:hAnsi="Arial" w:cs="Arial"/>
          <w:iCs/>
          <w:sz w:val="20"/>
          <w:szCs w:val="20"/>
        </w:rPr>
        <w:t xml:space="preserve"> </w:t>
      </w:r>
      <w:r w:rsidR="00707013" w:rsidRPr="00C10A1B">
        <w:rPr>
          <w:rFonts w:ascii="Arial" w:eastAsia="Times New Roman" w:hAnsi="Arial" w:cs="Arial"/>
          <w:iCs/>
          <w:sz w:val="20"/>
          <w:szCs w:val="20"/>
        </w:rPr>
        <w:t xml:space="preserve">and FAN </w:t>
      </w:r>
      <w:r w:rsidRPr="00C10A1B">
        <w:rPr>
          <w:rFonts w:ascii="Arial" w:eastAsia="Times New Roman" w:hAnsi="Arial" w:cs="Arial"/>
          <w:iCs/>
          <w:sz w:val="20"/>
          <w:szCs w:val="20"/>
        </w:rPr>
        <w:t>field</w:t>
      </w:r>
      <w:r w:rsidR="00707013" w:rsidRPr="00C10A1B">
        <w:rPr>
          <w:rFonts w:ascii="Arial" w:eastAsia="Times New Roman" w:hAnsi="Arial" w:cs="Arial"/>
          <w:iCs/>
          <w:sz w:val="20"/>
          <w:szCs w:val="20"/>
        </w:rPr>
        <w:t>s</w:t>
      </w:r>
      <w:r w:rsidRPr="00C10A1B">
        <w:rPr>
          <w:rFonts w:ascii="Arial" w:eastAsia="Times New Roman" w:hAnsi="Arial" w:cs="Arial"/>
          <w:iCs/>
          <w:sz w:val="20"/>
          <w:szCs w:val="20"/>
        </w:rPr>
        <w:t xml:space="preserve">. The </w:t>
      </w:r>
      <w:proofErr w:type="spellStart"/>
      <w:r w:rsidRPr="00C10A1B">
        <w:rPr>
          <w:rFonts w:ascii="Arial" w:eastAsia="Times New Roman" w:hAnsi="Arial" w:cs="Arial"/>
          <w:iCs/>
          <w:sz w:val="20"/>
          <w:szCs w:val="20"/>
        </w:rPr>
        <w:t>Sangomar</w:t>
      </w:r>
      <w:proofErr w:type="spellEnd"/>
      <w:r w:rsidRPr="00C10A1B">
        <w:rPr>
          <w:rFonts w:ascii="Arial" w:eastAsia="Times New Roman" w:hAnsi="Arial" w:cs="Arial"/>
          <w:iCs/>
          <w:sz w:val="20"/>
          <w:szCs w:val="20"/>
        </w:rPr>
        <w:t xml:space="preserve"> field was discovered in 2014 and subsequent drilling laid the foundation for a multi-phase development programme with first oil targeted in 2023.</w:t>
      </w:r>
    </w:p>
    <w:p w14:paraId="27124650" w14:textId="77777777" w:rsidR="00FB5BCE" w:rsidRPr="00C10A1B" w:rsidRDefault="00FB5BCE" w:rsidP="00243606">
      <w:pPr>
        <w:spacing w:after="0" w:line="240" w:lineRule="auto"/>
        <w:jc w:val="both"/>
        <w:rPr>
          <w:rFonts w:ascii="Arial" w:eastAsia="Times New Roman" w:hAnsi="Arial" w:cs="Arial"/>
          <w:iCs/>
          <w:sz w:val="20"/>
          <w:szCs w:val="20"/>
        </w:rPr>
      </w:pPr>
    </w:p>
    <w:p w14:paraId="1D6BC799" w14:textId="34E49ACE" w:rsidR="00FB5BCE" w:rsidRPr="00C10A1B" w:rsidRDefault="00EA3F42" w:rsidP="00600193">
      <w:pPr>
        <w:autoSpaceDE w:val="0"/>
        <w:autoSpaceDN w:val="0"/>
        <w:adjustRightInd w:val="0"/>
        <w:spacing w:after="0" w:line="240" w:lineRule="auto"/>
        <w:jc w:val="both"/>
        <w:rPr>
          <w:rFonts w:ascii="Arial" w:hAnsi="Arial" w:cs="Arial"/>
          <w:sz w:val="20"/>
          <w:szCs w:val="20"/>
        </w:rPr>
      </w:pPr>
      <w:r w:rsidRPr="00C10A1B">
        <w:rPr>
          <w:rFonts w:ascii="Arial" w:eastAsia="Times New Roman" w:hAnsi="Arial" w:cs="Arial"/>
          <w:iCs/>
          <w:sz w:val="20"/>
          <w:szCs w:val="20"/>
        </w:rPr>
        <w:t>S</w:t>
      </w:r>
      <w:r w:rsidR="00FB5BCE" w:rsidRPr="00C10A1B">
        <w:rPr>
          <w:rFonts w:ascii="Arial" w:eastAsia="Times New Roman" w:hAnsi="Arial" w:cs="Arial"/>
          <w:iCs/>
          <w:sz w:val="20"/>
          <w:szCs w:val="20"/>
        </w:rPr>
        <w:t xml:space="preserve">ubstantial progress was made on the </w:t>
      </w:r>
      <w:proofErr w:type="spellStart"/>
      <w:r w:rsidR="00FB5BCE" w:rsidRPr="00C10A1B">
        <w:rPr>
          <w:rFonts w:ascii="Arial" w:eastAsia="Times New Roman" w:hAnsi="Arial" w:cs="Arial"/>
          <w:iCs/>
          <w:sz w:val="20"/>
          <w:szCs w:val="20"/>
        </w:rPr>
        <w:t>Sangomar</w:t>
      </w:r>
      <w:proofErr w:type="spellEnd"/>
      <w:r w:rsidR="00FB5BCE" w:rsidRPr="00C10A1B">
        <w:rPr>
          <w:rFonts w:ascii="Arial" w:eastAsia="Times New Roman" w:hAnsi="Arial" w:cs="Arial"/>
          <w:iCs/>
          <w:sz w:val="20"/>
          <w:szCs w:val="20"/>
        </w:rPr>
        <w:t xml:space="preserve"> field multi-phase devel</w:t>
      </w:r>
      <w:r w:rsidR="0002411B" w:rsidRPr="00C10A1B">
        <w:rPr>
          <w:rFonts w:ascii="Arial" w:eastAsia="Times New Roman" w:hAnsi="Arial" w:cs="Arial"/>
          <w:iCs/>
          <w:sz w:val="20"/>
          <w:szCs w:val="20"/>
        </w:rPr>
        <w:t>opment during the course of 2019</w:t>
      </w:r>
      <w:r w:rsidR="00FB5BCE" w:rsidRPr="00C10A1B">
        <w:rPr>
          <w:rFonts w:ascii="Arial" w:eastAsia="Times New Roman" w:hAnsi="Arial" w:cs="Arial"/>
          <w:iCs/>
          <w:sz w:val="20"/>
          <w:szCs w:val="20"/>
        </w:rPr>
        <w:t xml:space="preserve">, with a number of key milestones achieved. </w:t>
      </w:r>
      <w:r w:rsidR="00707013" w:rsidRPr="00C10A1B">
        <w:rPr>
          <w:rFonts w:ascii="Arial" w:eastAsia="Times New Roman" w:hAnsi="Arial" w:cs="Arial"/>
          <w:iCs/>
          <w:sz w:val="20"/>
          <w:szCs w:val="20"/>
        </w:rPr>
        <w:t>Cairn’s</w:t>
      </w:r>
      <w:r w:rsidR="00FB5BCE" w:rsidRPr="00C10A1B">
        <w:rPr>
          <w:rFonts w:ascii="Arial" w:eastAsia="Times New Roman" w:hAnsi="Arial" w:cs="Arial"/>
          <w:iCs/>
          <w:sz w:val="20"/>
          <w:szCs w:val="20"/>
        </w:rPr>
        <w:t xml:space="preserve"> partner Woodside has now assumed the role of operator</w:t>
      </w:r>
      <w:r w:rsidR="007C4575" w:rsidRPr="00C10A1B">
        <w:rPr>
          <w:rFonts w:ascii="Arial" w:eastAsia="Times New Roman" w:hAnsi="Arial" w:cs="Arial"/>
          <w:iCs/>
          <w:sz w:val="20"/>
          <w:szCs w:val="20"/>
        </w:rPr>
        <w:t xml:space="preserve"> </w:t>
      </w:r>
      <w:r w:rsidR="007C4575" w:rsidRPr="00C10A1B">
        <w:rPr>
          <w:rFonts w:ascii="Arial" w:hAnsi="Arial" w:cs="Arial"/>
          <w:sz w:val="20"/>
          <w:szCs w:val="20"/>
        </w:rPr>
        <w:t xml:space="preserve">and the RSSD JV reached FID on 14 January 2020 in relation to the </w:t>
      </w:r>
      <w:proofErr w:type="spellStart"/>
      <w:r w:rsidR="007C4575" w:rsidRPr="00C10A1B">
        <w:rPr>
          <w:rFonts w:ascii="Arial" w:hAnsi="Arial" w:cs="Arial"/>
          <w:sz w:val="20"/>
          <w:szCs w:val="20"/>
        </w:rPr>
        <w:t>Sangomar</w:t>
      </w:r>
      <w:proofErr w:type="spellEnd"/>
      <w:r w:rsidR="007C4575" w:rsidRPr="00C10A1B">
        <w:rPr>
          <w:rFonts w:ascii="Arial" w:hAnsi="Arial" w:cs="Arial"/>
          <w:sz w:val="20"/>
          <w:szCs w:val="20"/>
        </w:rPr>
        <w:t xml:space="preserve"> Phase 1 development</w:t>
      </w:r>
      <w:r w:rsidR="0035053C" w:rsidRPr="00C10A1B">
        <w:rPr>
          <w:rFonts w:ascii="Arial" w:hAnsi="Arial" w:cs="Arial"/>
          <w:sz w:val="20"/>
          <w:szCs w:val="20"/>
        </w:rPr>
        <w:t>,</w:t>
      </w:r>
      <w:r w:rsidR="007C4575" w:rsidRPr="00C10A1B">
        <w:rPr>
          <w:rFonts w:ascii="Arial" w:hAnsi="Arial" w:cs="Arial"/>
          <w:sz w:val="20"/>
          <w:szCs w:val="20"/>
        </w:rPr>
        <w:t xml:space="preserve"> following grant of the exploitation authorisation</w:t>
      </w:r>
      <w:r w:rsidR="0035053C" w:rsidRPr="00C10A1B">
        <w:rPr>
          <w:rFonts w:ascii="Arial" w:hAnsi="Arial" w:cs="Arial"/>
          <w:sz w:val="20"/>
          <w:szCs w:val="20"/>
        </w:rPr>
        <w:t xml:space="preserve"> by the Government of Senegal</w:t>
      </w:r>
      <w:r w:rsidR="007C4575" w:rsidRPr="00C10A1B">
        <w:rPr>
          <w:rFonts w:ascii="Arial" w:hAnsi="Arial" w:cs="Arial"/>
          <w:sz w:val="20"/>
          <w:szCs w:val="20"/>
        </w:rPr>
        <w:t>.</w:t>
      </w:r>
    </w:p>
    <w:p w14:paraId="10FE72C1" w14:textId="77777777" w:rsidR="00243606" w:rsidRPr="00C10A1B" w:rsidRDefault="00243606" w:rsidP="00243606">
      <w:pPr>
        <w:spacing w:after="0" w:line="240" w:lineRule="auto"/>
        <w:jc w:val="both"/>
        <w:rPr>
          <w:rFonts w:ascii="Arial" w:eastAsia="Times New Roman" w:hAnsi="Arial" w:cs="Arial"/>
          <w:iCs/>
          <w:sz w:val="20"/>
          <w:szCs w:val="20"/>
        </w:rPr>
      </w:pPr>
    </w:p>
    <w:p w14:paraId="7E9293B6" w14:textId="2105FC08" w:rsidR="00EA3F42" w:rsidRPr="00C10A1B" w:rsidRDefault="00E84F1B" w:rsidP="008B33EC">
      <w:pPr>
        <w:spacing w:after="0" w:line="240" w:lineRule="auto"/>
        <w:jc w:val="both"/>
        <w:rPr>
          <w:rFonts w:ascii="Arial" w:eastAsia="Times New Roman" w:hAnsi="Arial" w:cs="Arial"/>
          <w:sz w:val="20"/>
          <w:szCs w:val="20"/>
        </w:rPr>
      </w:pPr>
      <w:r w:rsidRPr="00C10A1B">
        <w:rPr>
          <w:rFonts w:ascii="Arial" w:hAnsi="Arial" w:cs="Arial"/>
          <w:sz w:val="20"/>
          <w:szCs w:val="20"/>
        </w:rPr>
        <w:t xml:space="preserve">Cairn’s long-term </w:t>
      </w:r>
      <w:r w:rsidR="00EA3F42" w:rsidRPr="00C10A1B">
        <w:rPr>
          <w:rFonts w:ascii="Arial" w:hAnsi="Arial" w:cs="Arial"/>
          <w:sz w:val="20"/>
          <w:szCs w:val="20"/>
        </w:rPr>
        <w:t xml:space="preserve">capital allocation </w:t>
      </w:r>
      <w:r w:rsidRPr="00C10A1B">
        <w:rPr>
          <w:rFonts w:ascii="Arial" w:hAnsi="Arial" w:cs="Arial"/>
          <w:sz w:val="20"/>
          <w:szCs w:val="20"/>
        </w:rPr>
        <w:t xml:space="preserve">strategy </w:t>
      </w:r>
      <w:r w:rsidR="0096726D" w:rsidRPr="00C10A1B">
        <w:rPr>
          <w:rFonts w:ascii="Arial" w:hAnsi="Arial" w:cs="Arial"/>
          <w:sz w:val="20"/>
          <w:szCs w:val="20"/>
        </w:rPr>
        <w:t xml:space="preserve">is </w:t>
      </w:r>
      <w:r w:rsidRPr="00C10A1B">
        <w:rPr>
          <w:rFonts w:ascii="Arial" w:hAnsi="Arial" w:cs="Arial"/>
          <w:sz w:val="20"/>
          <w:szCs w:val="20"/>
        </w:rPr>
        <w:t xml:space="preserve">to </w:t>
      </w:r>
      <w:r w:rsidR="0035053C" w:rsidRPr="00C10A1B">
        <w:rPr>
          <w:rFonts w:ascii="Arial" w:hAnsi="Arial" w:cs="Arial"/>
          <w:sz w:val="20"/>
          <w:szCs w:val="20"/>
        </w:rPr>
        <w:t xml:space="preserve">actively manage its portfolio and to </w:t>
      </w:r>
      <w:r w:rsidRPr="00C10A1B">
        <w:rPr>
          <w:rFonts w:ascii="Arial" w:hAnsi="Arial" w:cs="Arial"/>
          <w:sz w:val="20"/>
          <w:szCs w:val="20"/>
        </w:rPr>
        <w:t>realise</w:t>
      </w:r>
      <w:r w:rsidR="0035053C" w:rsidRPr="00C10A1B">
        <w:rPr>
          <w:rFonts w:ascii="Arial" w:hAnsi="Arial" w:cs="Arial"/>
          <w:sz w:val="20"/>
          <w:szCs w:val="20"/>
        </w:rPr>
        <w:t xml:space="preserve"> and return</w:t>
      </w:r>
      <w:r w:rsidRPr="00C10A1B">
        <w:rPr>
          <w:rFonts w:ascii="Arial" w:hAnsi="Arial" w:cs="Arial"/>
          <w:sz w:val="20"/>
          <w:szCs w:val="20"/>
        </w:rPr>
        <w:t xml:space="preserve"> </w:t>
      </w:r>
      <w:r w:rsidR="00EA3F42" w:rsidRPr="00C10A1B">
        <w:rPr>
          <w:rFonts w:ascii="Arial" w:hAnsi="Arial" w:cs="Arial"/>
          <w:sz w:val="20"/>
          <w:szCs w:val="20"/>
        </w:rPr>
        <w:t xml:space="preserve">capital </w:t>
      </w:r>
      <w:r w:rsidRPr="00C10A1B">
        <w:rPr>
          <w:rFonts w:ascii="Arial" w:hAnsi="Arial" w:cs="Arial"/>
          <w:sz w:val="20"/>
          <w:szCs w:val="20"/>
        </w:rPr>
        <w:t xml:space="preserve">for </w:t>
      </w:r>
      <w:r w:rsidR="00852736" w:rsidRPr="00C10A1B">
        <w:rPr>
          <w:rFonts w:ascii="Arial" w:hAnsi="Arial" w:cs="Arial"/>
          <w:sz w:val="20"/>
          <w:szCs w:val="20"/>
        </w:rPr>
        <w:t>S</w:t>
      </w:r>
      <w:r w:rsidRPr="00C10A1B">
        <w:rPr>
          <w:rFonts w:ascii="Arial" w:hAnsi="Arial" w:cs="Arial"/>
          <w:sz w:val="20"/>
          <w:szCs w:val="20"/>
        </w:rPr>
        <w:t>hareholders</w:t>
      </w:r>
      <w:r w:rsidR="0096726D" w:rsidRPr="00C10A1B">
        <w:rPr>
          <w:rFonts w:ascii="Arial" w:hAnsi="Arial" w:cs="Arial"/>
          <w:sz w:val="20"/>
          <w:szCs w:val="20"/>
        </w:rPr>
        <w:t>, and</w:t>
      </w:r>
      <w:r w:rsidRPr="00C10A1B">
        <w:rPr>
          <w:rFonts w:ascii="Arial" w:hAnsi="Arial" w:cs="Arial"/>
          <w:sz w:val="20"/>
          <w:szCs w:val="20"/>
        </w:rPr>
        <w:t xml:space="preserve"> </w:t>
      </w:r>
      <w:r w:rsidR="0096726D" w:rsidRPr="00C10A1B">
        <w:rPr>
          <w:rFonts w:ascii="Arial" w:eastAsia="Times New Roman" w:hAnsi="Arial" w:cs="Arial"/>
          <w:iCs/>
          <w:sz w:val="20"/>
          <w:szCs w:val="20"/>
        </w:rPr>
        <w:t xml:space="preserve">the </w:t>
      </w:r>
      <w:r w:rsidR="0096726D" w:rsidRPr="00C10A1B">
        <w:rPr>
          <w:rFonts w:ascii="Arial" w:hAnsi="Arial" w:cs="Arial"/>
          <w:sz w:val="20"/>
          <w:szCs w:val="20"/>
        </w:rPr>
        <w:t>Transaction is consistent with th</w:t>
      </w:r>
      <w:r w:rsidR="00707013" w:rsidRPr="00C10A1B">
        <w:rPr>
          <w:rFonts w:ascii="Arial" w:hAnsi="Arial" w:cs="Arial"/>
          <w:sz w:val="20"/>
          <w:szCs w:val="20"/>
        </w:rPr>
        <w:t>at</w:t>
      </w:r>
      <w:r w:rsidR="0096726D" w:rsidRPr="00C10A1B">
        <w:rPr>
          <w:rFonts w:ascii="Arial" w:hAnsi="Arial" w:cs="Arial"/>
          <w:sz w:val="20"/>
          <w:szCs w:val="20"/>
        </w:rPr>
        <w:t xml:space="preserve">. </w:t>
      </w:r>
      <w:r w:rsidR="0021128C" w:rsidRPr="00C10A1B">
        <w:rPr>
          <w:rFonts w:ascii="Arial" w:eastAsia="Times New Roman" w:hAnsi="Arial" w:cs="Arial"/>
          <w:iCs/>
          <w:sz w:val="20"/>
          <w:szCs w:val="20"/>
        </w:rPr>
        <w:t>The</w:t>
      </w:r>
      <w:r w:rsidR="00EA3F42" w:rsidRPr="00C10A1B">
        <w:rPr>
          <w:rFonts w:ascii="Arial" w:eastAsia="Times New Roman" w:hAnsi="Arial" w:cs="Arial"/>
          <w:iCs/>
          <w:sz w:val="20"/>
          <w:szCs w:val="20"/>
        </w:rPr>
        <w:t xml:space="preserve"> Board believes the Transaction </w:t>
      </w:r>
      <w:r w:rsidR="0021128C" w:rsidRPr="00C10A1B">
        <w:rPr>
          <w:rFonts w:ascii="Arial" w:eastAsia="Times New Roman" w:hAnsi="Arial" w:cs="Arial"/>
          <w:iCs/>
          <w:sz w:val="20"/>
          <w:szCs w:val="20"/>
        </w:rPr>
        <w:t xml:space="preserve">will </w:t>
      </w:r>
      <w:r w:rsidR="00EA3F42" w:rsidRPr="00C10A1B">
        <w:rPr>
          <w:rFonts w:ascii="Arial" w:eastAsia="Times New Roman" w:hAnsi="Arial" w:cs="Arial"/>
          <w:iCs/>
          <w:sz w:val="20"/>
          <w:szCs w:val="20"/>
        </w:rPr>
        <w:t>provide the Group with the financial flexibility that is appropriate for the current challenging and uncertain oil market conditions</w:t>
      </w:r>
      <w:r w:rsidR="0096726D" w:rsidRPr="00C10A1B">
        <w:rPr>
          <w:rFonts w:ascii="Arial" w:eastAsia="Times New Roman" w:hAnsi="Arial" w:cs="Arial"/>
          <w:iCs/>
          <w:sz w:val="20"/>
          <w:szCs w:val="20"/>
        </w:rPr>
        <w:t xml:space="preserve">. </w:t>
      </w:r>
      <w:r w:rsidR="0021128C" w:rsidRPr="00C10A1B">
        <w:rPr>
          <w:rFonts w:ascii="Arial" w:eastAsia="Times New Roman" w:hAnsi="Arial" w:cs="Arial"/>
          <w:iCs/>
          <w:sz w:val="20"/>
          <w:szCs w:val="20"/>
        </w:rPr>
        <w:t>T</w:t>
      </w:r>
      <w:r w:rsidR="00EA3F42" w:rsidRPr="00C10A1B">
        <w:rPr>
          <w:rFonts w:ascii="Arial" w:eastAsia="Times New Roman" w:hAnsi="Arial" w:cs="Arial"/>
          <w:sz w:val="20"/>
          <w:szCs w:val="20"/>
        </w:rPr>
        <w:t>he Transaction eliminates the need for significant capital expenditure in a multi-year development with its requirement for additional financing.</w:t>
      </w:r>
      <w:r w:rsidR="0021128C" w:rsidRPr="00C10A1B">
        <w:rPr>
          <w:rFonts w:ascii="Arial" w:eastAsia="Times New Roman" w:hAnsi="Arial" w:cs="Arial"/>
          <w:sz w:val="20"/>
          <w:szCs w:val="20"/>
        </w:rPr>
        <w:t xml:space="preserve"> In addition, the Board intends to return a significant portion of the proceeds to Shareholders through a special dividend of at least </w:t>
      </w:r>
      <w:r w:rsidR="00CA6C65">
        <w:rPr>
          <w:rFonts w:ascii="Arial" w:eastAsia="Times New Roman" w:hAnsi="Arial" w:cs="Arial"/>
          <w:sz w:val="20"/>
          <w:szCs w:val="20"/>
        </w:rPr>
        <w:t>US</w:t>
      </w:r>
      <w:r w:rsidR="0021128C" w:rsidRPr="00537158">
        <w:rPr>
          <w:rFonts w:ascii="Arial" w:eastAsia="Times New Roman" w:hAnsi="Arial" w:cs="Arial"/>
          <w:sz w:val="20"/>
          <w:szCs w:val="20"/>
        </w:rPr>
        <w:t>$250</w:t>
      </w:r>
      <w:r w:rsidR="00537158">
        <w:rPr>
          <w:rFonts w:ascii="Arial" w:eastAsia="Times New Roman" w:hAnsi="Arial" w:cs="Arial"/>
          <w:sz w:val="20"/>
          <w:szCs w:val="20"/>
        </w:rPr>
        <w:t>m</w:t>
      </w:r>
      <w:r w:rsidR="0021128C" w:rsidRPr="00C10A1B">
        <w:rPr>
          <w:rFonts w:ascii="Arial" w:eastAsia="Times New Roman" w:hAnsi="Arial" w:cs="Arial"/>
          <w:sz w:val="20"/>
          <w:szCs w:val="20"/>
        </w:rPr>
        <w:t xml:space="preserve"> following Completion. </w:t>
      </w:r>
    </w:p>
    <w:p w14:paraId="536D38E2" w14:textId="77777777" w:rsidR="0096726D" w:rsidRPr="00C10A1B" w:rsidRDefault="0096726D" w:rsidP="008B33EC">
      <w:pPr>
        <w:spacing w:after="0" w:line="240" w:lineRule="auto"/>
        <w:jc w:val="both"/>
        <w:rPr>
          <w:rFonts w:ascii="Arial" w:eastAsia="Times New Roman" w:hAnsi="Arial" w:cs="Arial"/>
          <w:iCs/>
          <w:sz w:val="20"/>
          <w:szCs w:val="20"/>
        </w:rPr>
      </w:pPr>
    </w:p>
    <w:p w14:paraId="202C29DE" w14:textId="77777777" w:rsidR="0096726D" w:rsidRPr="00C10A1B" w:rsidRDefault="0096726D" w:rsidP="00083004">
      <w:pPr>
        <w:spacing w:after="0" w:line="240" w:lineRule="auto"/>
        <w:jc w:val="both"/>
        <w:rPr>
          <w:rFonts w:ascii="Arial" w:eastAsia="Times New Roman" w:hAnsi="Arial" w:cs="Arial"/>
          <w:iCs/>
          <w:sz w:val="20"/>
          <w:szCs w:val="20"/>
        </w:rPr>
      </w:pPr>
      <w:r w:rsidRPr="00C10A1B">
        <w:rPr>
          <w:rFonts w:ascii="Arial" w:eastAsia="Times New Roman" w:hAnsi="Arial" w:cs="Arial"/>
          <w:iCs/>
          <w:sz w:val="20"/>
          <w:szCs w:val="20"/>
        </w:rPr>
        <w:t xml:space="preserve">Following the Transaction, Cairn will be well positioned to continue to implement its long-term strategy. </w:t>
      </w:r>
      <w:r w:rsidRPr="00C10A1B">
        <w:rPr>
          <w:rFonts w:ascii="Arial" w:hAnsi="Arial" w:cs="Arial"/>
          <w:sz w:val="20"/>
          <w:szCs w:val="20"/>
        </w:rPr>
        <w:t>With a strong balance sheet, low breakeven cash flows from North Sea assets and limited capital commitments, Cairn will enter a new phase with enhanced financial flexibility to invest and deliver additional value in the future using its strict capital allocation framework.</w:t>
      </w:r>
    </w:p>
    <w:p w14:paraId="4A77E4B4" w14:textId="333D3CAA" w:rsidR="00EA3F42" w:rsidRPr="00C10A1B" w:rsidRDefault="00EA3F42" w:rsidP="00083004">
      <w:pPr>
        <w:spacing w:after="0" w:line="240" w:lineRule="auto"/>
        <w:jc w:val="both"/>
        <w:rPr>
          <w:rFonts w:ascii="Arial" w:hAnsi="Arial" w:cs="Arial"/>
          <w:sz w:val="20"/>
          <w:szCs w:val="20"/>
        </w:rPr>
      </w:pPr>
    </w:p>
    <w:p w14:paraId="69900611" w14:textId="35FB0756" w:rsidR="00EA3F42" w:rsidRPr="00C10A1B" w:rsidRDefault="0021128C" w:rsidP="00EA3F42">
      <w:pPr>
        <w:pStyle w:val="ListParagraph"/>
        <w:numPr>
          <w:ilvl w:val="0"/>
          <w:numId w:val="2"/>
        </w:numPr>
        <w:spacing w:before="60" w:after="60" w:line="240" w:lineRule="exact"/>
        <w:contextualSpacing w:val="0"/>
        <w:jc w:val="both"/>
        <w:rPr>
          <w:rFonts w:ascii="Arial" w:eastAsia="Times New Roman" w:hAnsi="Arial" w:cs="Arial"/>
          <w:b/>
          <w:bCs/>
          <w:sz w:val="20"/>
          <w:szCs w:val="20"/>
        </w:rPr>
      </w:pPr>
      <w:r w:rsidRPr="00C10A1B">
        <w:rPr>
          <w:rFonts w:ascii="Arial" w:eastAsia="Times New Roman" w:hAnsi="Arial" w:cs="Arial"/>
          <w:b/>
          <w:bCs/>
          <w:sz w:val="20"/>
          <w:szCs w:val="20"/>
        </w:rPr>
        <w:t>Summary of the k</w:t>
      </w:r>
      <w:r w:rsidR="00EA3F42" w:rsidRPr="00C10A1B">
        <w:rPr>
          <w:rFonts w:ascii="Arial" w:eastAsia="Times New Roman" w:hAnsi="Arial" w:cs="Arial"/>
          <w:b/>
          <w:bCs/>
          <w:sz w:val="20"/>
          <w:szCs w:val="20"/>
        </w:rPr>
        <w:t>ey terms of the Transaction</w:t>
      </w:r>
    </w:p>
    <w:p w14:paraId="748DAA26" w14:textId="77777777" w:rsidR="00EA3F42" w:rsidRPr="00C10A1B" w:rsidRDefault="00EA3F42" w:rsidP="00083004">
      <w:pPr>
        <w:spacing w:after="0" w:line="240" w:lineRule="auto"/>
        <w:jc w:val="both"/>
        <w:rPr>
          <w:rFonts w:ascii="Arial" w:hAnsi="Arial" w:cs="Arial"/>
          <w:sz w:val="20"/>
          <w:szCs w:val="20"/>
        </w:rPr>
      </w:pPr>
    </w:p>
    <w:p w14:paraId="2C996D40" w14:textId="524624CC" w:rsidR="0021128C" w:rsidRPr="00C10A1B" w:rsidRDefault="0021128C" w:rsidP="0021128C">
      <w:pPr>
        <w:tabs>
          <w:tab w:val="left" w:pos="2835"/>
        </w:tabs>
        <w:spacing w:after="0" w:line="240" w:lineRule="auto"/>
        <w:jc w:val="both"/>
        <w:rPr>
          <w:rFonts w:ascii="Arial" w:eastAsia="Times New Roman" w:hAnsi="Arial" w:cs="Arial"/>
          <w:iCs/>
          <w:sz w:val="20"/>
          <w:szCs w:val="20"/>
        </w:rPr>
      </w:pPr>
      <w:r w:rsidRPr="00C10A1B">
        <w:rPr>
          <w:rFonts w:ascii="Arial" w:eastAsia="Times New Roman" w:hAnsi="Arial" w:cs="Arial"/>
          <w:iCs/>
          <w:sz w:val="20"/>
          <w:szCs w:val="20"/>
        </w:rPr>
        <w:t xml:space="preserve">The Sale and Purchase Agreement was entered into on </w:t>
      </w:r>
      <w:r w:rsidR="00537158">
        <w:rPr>
          <w:rFonts w:ascii="Arial" w:eastAsia="Times New Roman" w:hAnsi="Arial" w:cs="Arial"/>
          <w:iCs/>
          <w:sz w:val="20"/>
          <w:szCs w:val="20"/>
        </w:rPr>
        <w:t>24</w:t>
      </w:r>
      <w:r w:rsidR="00A76078" w:rsidRPr="00A76078">
        <w:rPr>
          <w:rFonts w:ascii="Arial" w:eastAsia="Times New Roman" w:hAnsi="Arial" w:cs="Arial"/>
          <w:iCs/>
          <w:sz w:val="20"/>
          <w:szCs w:val="20"/>
          <w:vertAlign w:val="superscript"/>
        </w:rPr>
        <w:t>th</w:t>
      </w:r>
      <w:r w:rsidR="00A76078">
        <w:rPr>
          <w:rFonts w:ascii="Arial" w:eastAsia="Times New Roman" w:hAnsi="Arial" w:cs="Arial"/>
          <w:iCs/>
          <w:sz w:val="20"/>
          <w:szCs w:val="20"/>
        </w:rPr>
        <w:t xml:space="preserve"> </w:t>
      </w:r>
      <w:r w:rsidR="00537158">
        <w:rPr>
          <w:rFonts w:ascii="Arial" w:eastAsia="Times New Roman" w:hAnsi="Arial" w:cs="Arial"/>
          <w:iCs/>
          <w:sz w:val="20"/>
          <w:szCs w:val="20"/>
        </w:rPr>
        <w:t xml:space="preserve">July </w:t>
      </w:r>
      <w:r w:rsidRPr="00C10A1B">
        <w:rPr>
          <w:rFonts w:ascii="Arial" w:eastAsia="Times New Roman" w:hAnsi="Arial" w:cs="Arial"/>
          <w:iCs/>
          <w:sz w:val="20"/>
          <w:szCs w:val="20"/>
        </w:rPr>
        <w:t xml:space="preserve">2020 by and between Capricorn Senegal, </w:t>
      </w:r>
      <w:r w:rsidR="00226060" w:rsidRPr="00C10A1B">
        <w:rPr>
          <w:rFonts w:ascii="Arial" w:eastAsia="Times New Roman" w:hAnsi="Arial" w:cs="Arial"/>
          <w:iCs/>
          <w:sz w:val="20"/>
          <w:szCs w:val="20"/>
        </w:rPr>
        <w:t>LUKOIL</w:t>
      </w:r>
      <w:r w:rsidRPr="00C10A1B">
        <w:rPr>
          <w:rFonts w:ascii="Arial" w:eastAsia="Times New Roman" w:hAnsi="Arial" w:cs="Arial"/>
          <w:iCs/>
          <w:sz w:val="20"/>
          <w:szCs w:val="20"/>
        </w:rPr>
        <w:t xml:space="preserve"> and Cairn, pursuant to which Capricorn Senegal has conditionally agreed to sell to </w:t>
      </w:r>
      <w:r w:rsidR="00226060" w:rsidRPr="00C10A1B">
        <w:rPr>
          <w:rFonts w:ascii="Arial" w:eastAsia="Times New Roman" w:hAnsi="Arial" w:cs="Arial"/>
          <w:iCs/>
          <w:sz w:val="20"/>
          <w:szCs w:val="20"/>
        </w:rPr>
        <w:t>LUKOIL</w:t>
      </w:r>
      <w:r w:rsidRPr="00C10A1B">
        <w:rPr>
          <w:rFonts w:ascii="Arial" w:eastAsia="Times New Roman" w:hAnsi="Arial" w:cs="Arial"/>
          <w:iCs/>
          <w:sz w:val="20"/>
          <w:szCs w:val="20"/>
        </w:rPr>
        <w:t xml:space="preserve"> the Sale Interest.</w:t>
      </w:r>
    </w:p>
    <w:p w14:paraId="752DF927" w14:textId="77777777" w:rsidR="00ED1B86" w:rsidRPr="00C10A1B" w:rsidRDefault="00ED1B86" w:rsidP="00243606">
      <w:pPr>
        <w:spacing w:after="0" w:line="240" w:lineRule="auto"/>
        <w:jc w:val="both"/>
        <w:rPr>
          <w:rFonts w:ascii="Arial" w:eastAsia="Times New Roman" w:hAnsi="Arial" w:cs="Arial"/>
          <w:iCs/>
          <w:sz w:val="20"/>
          <w:szCs w:val="20"/>
        </w:rPr>
      </w:pPr>
    </w:p>
    <w:p w14:paraId="65B6E412" w14:textId="3C9DF112" w:rsidR="00243606" w:rsidRPr="00C10A1B" w:rsidRDefault="0094098C" w:rsidP="00AA6016">
      <w:pPr>
        <w:pStyle w:val="ListParagraph"/>
        <w:numPr>
          <w:ilvl w:val="0"/>
          <w:numId w:val="22"/>
        </w:numPr>
        <w:spacing w:after="0" w:line="240" w:lineRule="auto"/>
        <w:jc w:val="both"/>
        <w:rPr>
          <w:rFonts w:ascii="Arial" w:eastAsia="Times New Roman" w:hAnsi="Arial" w:cs="Arial"/>
          <w:iCs/>
          <w:sz w:val="20"/>
          <w:szCs w:val="20"/>
        </w:rPr>
      </w:pPr>
      <w:r w:rsidRPr="00C10A1B">
        <w:rPr>
          <w:rFonts w:ascii="Arial" w:eastAsia="Times New Roman" w:hAnsi="Arial" w:cs="Arial"/>
          <w:iCs/>
          <w:sz w:val="20"/>
          <w:szCs w:val="20"/>
        </w:rPr>
        <w:lastRenderedPageBreak/>
        <w:t xml:space="preserve">Capricorn Senegal </w:t>
      </w:r>
      <w:r w:rsidR="00243606" w:rsidRPr="00C10A1B">
        <w:rPr>
          <w:rFonts w:ascii="Arial" w:eastAsia="Times New Roman" w:hAnsi="Arial" w:cs="Arial"/>
          <w:iCs/>
          <w:sz w:val="20"/>
          <w:szCs w:val="20"/>
        </w:rPr>
        <w:t xml:space="preserve">will receive </w:t>
      </w:r>
      <w:r w:rsidR="00AF76A4">
        <w:rPr>
          <w:rFonts w:ascii="Arial" w:eastAsia="Times New Roman" w:hAnsi="Arial" w:cs="Arial"/>
          <w:iCs/>
          <w:sz w:val="20"/>
          <w:szCs w:val="20"/>
        </w:rPr>
        <w:t>US</w:t>
      </w:r>
      <w:r w:rsidR="00243606" w:rsidRPr="00C10A1B">
        <w:rPr>
          <w:rFonts w:ascii="Arial" w:eastAsia="Times New Roman" w:hAnsi="Arial" w:cs="Arial"/>
          <w:iCs/>
          <w:sz w:val="20"/>
          <w:szCs w:val="20"/>
        </w:rPr>
        <w:t>$</w:t>
      </w:r>
      <w:r w:rsidR="00940406" w:rsidRPr="00C10A1B">
        <w:rPr>
          <w:rFonts w:ascii="Arial" w:eastAsia="Times New Roman" w:hAnsi="Arial" w:cs="Arial"/>
          <w:iCs/>
          <w:sz w:val="20"/>
          <w:szCs w:val="20"/>
        </w:rPr>
        <w:t>300</w:t>
      </w:r>
      <w:r w:rsidR="00243606" w:rsidRPr="00C10A1B">
        <w:rPr>
          <w:rFonts w:ascii="Arial" w:eastAsia="Times New Roman" w:hAnsi="Arial" w:cs="Arial"/>
          <w:iCs/>
          <w:sz w:val="20"/>
          <w:szCs w:val="20"/>
        </w:rPr>
        <w:t>m in cash for</w:t>
      </w:r>
      <w:r w:rsidR="007A0316" w:rsidRPr="00C10A1B">
        <w:rPr>
          <w:rFonts w:ascii="Arial" w:eastAsia="Times New Roman" w:hAnsi="Arial" w:cs="Arial"/>
          <w:iCs/>
          <w:sz w:val="20"/>
          <w:szCs w:val="20"/>
        </w:rPr>
        <w:t xml:space="preserve"> its</w:t>
      </w:r>
      <w:r w:rsidR="00243606" w:rsidRPr="00C10A1B">
        <w:rPr>
          <w:rFonts w:ascii="Arial" w:eastAsia="Times New Roman" w:hAnsi="Arial" w:cs="Arial"/>
          <w:iCs/>
          <w:sz w:val="20"/>
          <w:szCs w:val="20"/>
        </w:rPr>
        <w:t xml:space="preserve"> </w:t>
      </w:r>
      <w:r w:rsidR="007A0316" w:rsidRPr="00C10A1B">
        <w:rPr>
          <w:rFonts w:ascii="Arial" w:eastAsia="Times New Roman" w:hAnsi="Arial" w:cs="Arial"/>
          <w:iCs/>
          <w:sz w:val="20"/>
          <w:szCs w:val="20"/>
        </w:rPr>
        <w:t>4</w:t>
      </w:r>
      <w:r w:rsidR="00243606" w:rsidRPr="00C10A1B">
        <w:rPr>
          <w:rFonts w:ascii="Arial" w:eastAsia="Times New Roman" w:hAnsi="Arial" w:cs="Arial"/>
          <w:iCs/>
          <w:sz w:val="20"/>
          <w:szCs w:val="20"/>
        </w:rPr>
        <w:t>0 per cent</w:t>
      </w:r>
      <w:r w:rsidR="008920FD" w:rsidRPr="00C10A1B">
        <w:rPr>
          <w:rFonts w:ascii="Arial" w:eastAsia="Times New Roman" w:hAnsi="Arial" w:cs="Arial"/>
          <w:iCs/>
          <w:sz w:val="20"/>
          <w:szCs w:val="20"/>
        </w:rPr>
        <w:t>.</w:t>
      </w:r>
      <w:r w:rsidR="00243606" w:rsidRPr="00C10A1B">
        <w:rPr>
          <w:rFonts w:ascii="Arial" w:eastAsia="Times New Roman" w:hAnsi="Arial" w:cs="Arial"/>
          <w:iCs/>
          <w:sz w:val="20"/>
          <w:szCs w:val="20"/>
        </w:rPr>
        <w:t xml:space="preserve"> interest in the RSSD PSC and</w:t>
      </w:r>
      <w:r w:rsidR="007A0316" w:rsidRPr="00C10A1B">
        <w:rPr>
          <w:rFonts w:ascii="Arial" w:eastAsia="Times New Roman" w:hAnsi="Arial" w:cs="Arial"/>
          <w:iCs/>
          <w:sz w:val="20"/>
          <w:szCs w:val="20"/>
        </w:rPr>
        <w:t xml:space="preserve"> the RSSD</w:t>
      </w:r>
      <w:r w:rsidR="00243606" w:rsidRPr="00C10A1B">
        <w:rPr>
          <w:rFonts w:ascii="Arial" w:eastAsia="Times New Roman" w:hAnsi="Arial" w:cs="Arial"/>
          <w:iCs/>
          <w:sz w:val="20"/>
          <w:szCs w:val="20"/>
        </w:rPr>
        <w:t xml:space="preserve"> JOA</w:t>
      </w:r>
      <w:r w:rsidR="007A0316" w:rsidRPr="00C10A1B">
        <w:rPr>
          <w:rFonts w:ascii="Arial" w:eastAsia="Times New Roman" w:hAnsi="Arial" w:cs="Arial"/>
          <w:iCs/>
          <w:sz w:val="20"/>
          <w:szCs w:val="20"/>
        </w:rPr>
        <w:t>, together with an interim period adjustment for expenditure related to the Sale Interest from the economic date of 1 January 2020</w:t>
      </w:r>
      <w:r w:rsidRPr="00C10A1B">
        <w:rPr>
          <w:rFonts w:ascii="Arial" w:eastAsia="Times New Roman" w:hAnsi="Arial" w:cs="Arial"/>
          <w:iCs/>
          <w:sz w:val="20"/>
          <w:szCs w:val="20"/>
        </w:rPr>
        <w:t>;</w:t>
      </w:r>
    </w:p>
    <w:p w14:paraId="2CC4BA23" w14:textId="58EA5614" w:rsidR="007A0316" w:rsidRPr="00C10A1B" w:rsidRDefault="007A0316" w:rsidP="00AA6016">
      <w:pPr>
        <w:pStyle w:val="ListParagraph"/>
        <w:numPr>
          <w:ilvl w:val="0"/>
          <w:numId w:val="22"/>
        </w:numPr>
        <w:spacing w:after="0" w:line="240" w:lineRule="auto"/>
        <w:jc w:val="both"/>
        <w:rPr>
          <w:rFonts w:ascii="Arial" w:eastAsia="Times New Roman" w:hAnsi="Arial" w:cs="Arial"/>
          <w:iCs/>
          <w:sz w:val="20"/>
          <w:szCs w:val="20"/>
        </w:rPr>
      </w:pPr>
      <w:r w:rsidRPr="00C10A1B">
        <w:rPr>
          <w:rFonts w:ascii="Arial" w:eastAsia="Times New Roman" w:hAnsi="Arial" w:cs="Arial"/>
          <w:iCs/>
          <w:sz w:val="20"/>
          <w:szCs w:val="20"/>
        </w:rPr>
        <w:t xml:space="preserve">In addition, after Completion </w:t>
      </w:r>
      <w:bookmarkStart w:id="6" w:name="_Hlk29889368"/>
      <w:r w:rsidRPr="00C10A1B">
        <w:rPr>
          <w:rFonts w:ascii="Arial" w:eastAsia="Times New Roman" w:hAnsi="Arial" w:cs="Arial"/>
          <w:iCs/>
          <w:sz w:val="20"/>
          <w:szCs w:val="20"/>
        </w:rPr>
        <w:t xml:space="preserve">Capricorn Senegal </w:t>
      </w:r>
      <w:bookmarkEnd w:id="6"/>
      <w:r w:rsidRPr="00C10A1B">
        <w:rPr>
          <w:rFonts w:ascii="Arial" w:eastAsia="Times New Roman" w:hAnsi="Arial" w:cs="Arial"/>
          <w:iCs/>
          <w:sz w:val="20"/>
          <w:szCs w:val="20"/>
        </w:rPr>
        <w:t xml:space="preserve">may become entitled to the following additional payments from </w:t>
      </w:r>
      <w:r w:rsidR="00226060" w:rsidRPr="00C10A1B">
        <w:rPr>
          <w:rFonts w:ascii="Arial" w:eastAsia="Times New Roman" w:hAnsi="Arial" w:cs="Arial"/>
          <w:iCs/>
          <w:sz w:val="20"/>
          <w:szCs w:val="20"/>
        </w:rPr>
        <w:t>LUKOIL</w:t>
      </w:r>
      <w:r w:rsidRPr="00C10A1B">
        <w:rPr>
          <w:rFonts w:ascii="Arial" w:eastAsia="Times New Roman" w:hAnsi="Arial" w:cs="Arial"/>
          <w:iCs/>
          <w:sz w:val="20"/>
          <w:szCs w:val="20"/>
        </w:rPr>
        <w:t>:</w:t>
      </w:r>
    </w:p>
    <w:p w14:paraId="2CFA025C" w14:textId="33374A82" w:rsidR="00ED1B86" w:rsidRPr="00C10A1B" w:rsidRDefault="00083004" w:rsidP="00AA6016">
      <w:pPr>
        <w:pStyle w:val="ListParagraph"/>
        <w:numPr>
          <w:ilvl w:val="1"/>
          <w:numId w:val="14"/>
        </w:numPr>
        <w:spacing w:after="0" w:line="240" w:lineRule="auto"/>
        <w:jc w:val="both"/>
        <w:rPr>
          <w:rFonts w:ascii="Arial" w:hAnsi="Arial" w:cs="Arial"/>
          <w:sz w:val="20"/>
          <w:szCs w:val="20"/>
        </w:rPr>
      </w:pPr>
      <w:r w:rsidRPr="00C10A1B">
        <w:rPr>
          <w:rFonts w:ascii="Arial" w:eastAsia="Times New Roman" w:hAnsi="Arial" w:cs="Arial"/>
          <w:iCs/>
          <w:sz w:val="20"/>
          <w:szCs w:val="20"/>
        </w:rPr>
        <w:t xml:space="preserve">additional consideration </w:t>
      </w:r>
      <w:r w:rsidR="00940406" w:rsidRPr="00C10A1B">
        <w:rPr>
          <w:rFonts w:ascii="Arial" w:eastAsia="Times New Roman" w:hAnsi="Arial" w:cs="Arial"/>
          <w:iCs/>
          <w:sz w:val="20"/>
          <w:szCs w:val="20"/>
        </w:rPr>
        <w:t>as follows:</w:t>
      </w:r>
    </w:p>
    <w:p w14:paraId="6337CAD5" w14:textId="121F4352" w:rsidR="00940406" w:rsidRPr="00C10A1B" w:rsidRDefault="00940406" w:rsidP="00AA6016">
      <w:pPr>
        <w:pStyle w:val="ListParagraph"/>
        <w:numPr>
          <w:ilvl w:val="2"/>
          <w:numId w:val="23"/>
        </w:numPr>
        <w:spacing w:after="0" w:line="240" w:lineRule="auto"/>
        <w:jc w:val="both"/>
        <w:rPr>
          <w:rFonts w:ascii="Arial" w:hAnsi="Arial" w:cs="Arial"/>
          <w:sz w:val="20"/>
          <w:szCs w:val="20"/>
        </w:rPr>
      </w:pPr>
      <w:r w:rsidRPr="00C10A1B">
        <w:rPr>
          <w:rFonts w:ascii="Arial" w:eastAsia="Times New Roman" w:hAnsi="Arial" w:cs="Arial"/>
          <w:iCs/>
          <w:sz w:val="20"/>
          <w:szCs w:val="20"/>
        </w:rPr>
        <w:t>if first oil occurs in 2023:</w:t>
      </w:r>
    </w:p>
    <w:p w14:paraId="5466529E" w14:textId="747D33F9" w:rsidR="00940406" w:rsidRPr="00AA6016" w:rsidRDefault="00940406" w:rsidP="00AA6016">
      <w:pPr>
        <w:pStyle w:val="ListParagraph"/>
        <w:numPr>
          <w:ilvl w:val="3"/>
          <w:numId w:val="28"/>
        </w:numPr>
        <w:spacing w:after="0" w:line="240" w:lineRule="auto"/>
        <w:jc w:val="both"/>
        <w:rPr>
          <w:rFonts w:ascii="Arial" w:hAnsi="Arial" w:cs="Arial"/>
          <w:sz w:val="20"/>
          <w:szCs w:val="20"/>
        </w:rPr>
      </w:pPr>
      <w:r w:rsidRPr="00C10A1B">
        <w:rPr>
          <w:rFonts w:ascii="Arial" w:eastAsia="Times New Roman" w:hAnsi="Arial" w:cs="Arial"/>
          <w:iCs/>
          <w:sz w:val="20"/>
          <w:szCs w:val="20"/>
        </w:rPr>
        <w:t xml:space="preserve">a payment of </w:t>
      </w:r>
      <w:r w:rsidR="00AF76A4">
        <w:rPr>
          <w:rFonts w:ascii="Arial" w:eastAsia="Times New Roman" w:hAnsi="Arial" w:cs="Arial"/>
          <w:iCs/>
          <w:sz w:val="20"/>
          <w:szCs w:val="20"/>
        </w:rPr>
        <w:t>US</w:t>
      </w:r>
      <w:r w:rsidRPr="00C10A1B">
        <w:rPr>
          <w:rFonts w:ascii="Arial" w:eastAsia="Times New Roman" w:hAnsi="Arial" w:cs="Arial"/>
          <w:iCs/>
          <w:sz w:val="20"/>
          <w:szCs w:val="20"/>
        </w:rPr>
        <w:t>$100</w:t>
      </w:r>
      <w:r w:rsidR="00A76078">
        <w:rPr>
          <w:rFonts w:ascii="Arial" w:eastAsia="Times New Roman" w:hAnsi="Arial" w:cs="Arial"/>
          <w:iCs/>
          <w:sz w:val="20"/>
          <w:szCs w:val="20"/>
        </w:rPr>
        <w:t>m</w:t>
      </w:r>
      <w:r w:rsidRPr="00C10A1B">
        <w:rPr>
          <w:rFonts w:ascii="Arial" w:eastAsia="Times New Roman" w:hAnsi="Arial" w:cs="Arial"/>
          <w:iCs/>
          <w:sz w:val="20"/>
          <w:szCs w:val="20"/>
        </w:rPr>
        <w:t xml:space="preserve"> if the Brent oil price during the first six months of production averages above </w:t>
      </w:r>
      <w:r w:rsidR="00AF76A4">
        <w:rPr>
          <w:rFonts w:ascii="Arial" w:eastAsia="Times New Roman" w:hAnsi="Arial" w:cs="Arial"/>
          <w:iCs/>
          <w:sz w:val="20"/>
          <w:szCs w:val="20"/>
        </w:rPr>
        <w:t>US</w:t>
      </w:r>
      <w:r w:rsidRPr="00C10A1B">
        <w:rPr>
          <w:rFonts w:ascii="Arial" w:eastAsia="Times New Roman" w:hAnsi="Arial" w:cs="Arial"/>
          <w:iCs/>
          <w:sz w:val="20"/>
          <w:szCs w:val="20"/>
        </w:rPr>
        <w:t>$60 per barrel</w:t>
      </w:r>
    </w:p>
    <w:p w14:paraId="4BE7D8B7" w14:textId="162AB1EF" w:rsidR="00940406" w:rsidRPr="00C10A1B" w:rsidRDefault="00940406" w:rsidP="00AA6016">
      <w:pPr>
        <w:pStyle w:val="ListParagraph"/>
        <w:numPr>
          <w:ilvl w:val="3"/>
          <w:numId w:val="28"/>
        </w:numPr>
        <w:spacing w:after="0" w:line="240" w:lineRule="auto"/>
        <w:jc w:val="both"/>
        <w:rPr>
          <w:rFonts w:ascii="Arial" w:hAnsi="Arial" w:cs="Arial"/>
          <w:sz w:val="20"/>
          <w:szCs w:val="20"/>
        </w:rPr>
      </w:pPr>
      <w:r w:rsidRPr="00C10A1B">
        <w:rPr>
          <w:rFonts w:ascii="Arial" w:eastAsia="Times New Roman" w:hAnsi="Arial" w:cs="Arial"/>
          <w:iCs/>
          <w:sz w:val="20"/>
          <w:szCs w:val="20"/>
        </w:rPr>
        <w:t>a payment of</w:t>
      </w:r>
      <w:r w:rsidR="00AF76A4">
        <w:rPr>
          <w:rFonts w:ascii="Arial" w:eastAsia="Times New Roman" w:hAnsi="Arial" w:cs="Arial"/>
          <w:iCs/>
          <w:sz w:val="20"/>
          <w:szCs w:val="20"/>
        </w:rPr>
        <w:t xml:space="preserve"> US</w:t>
      </w:r>
      <w:r w:rsidRPr="00C10A1B">
        <w:rPr>
          <w:rFonts w:ascii="Arial" w:eastAsia="Times New Roman" w:hAnsi="Arial" w:cs="Arial"/>
          <w:iCs/>
          <w:sz w:val="20"/>
          <w:szCs w:val="20"/>
        </w:rPr>
        <w:t>$50</w:t>
      </w:r>
      <w:r w:rsidR="00594B27">
        <w:rPr>
          <w:rFonts w:ascii="Arial" w:eastAsia="Times New Roman" w:hAnsi="Arial" w:cs="Arial"/>
          <w:iCs/>
          <w:sz w:val="20"/>
          <w:szCs w:val="20"/>
        </w:rPr>
        <w:t>m</w:t>
      </w:r>
      <w:r w:rsidRPr="00C10A1B">
        <w:rPr>
          <w:rFonts w:ascii="Arial" w:eastAsia="Times New Roman" w:hAnsi="Arial" w:cs="Arial"/>
          <w:iCs/>
          <w:sz w:val="20"/>
          <w:szCs w:val="20"/>
        </w:rPr>
        <w:t xml:space="preserve"> if the Brent oil price during the first six months of production averages above </w:t>
      </w:r>
      <w:r w:rsidR="00AF76A4">
        <w:rPr>
          <w:rFonts w:ascii="Arial" w:eastAsia="Times New Roman" w:hAnsi="Arial" w:cs="Arial"/>
          <w:iCs/>
          <w:sz w:val="20"/>
          <w:szCs w:val="20"/>
        </w:rPr>
        <w:t>US</w:t>
      </w:r>
      <w:r w:rsidRPr="00C10A1B">
        <w:rPr>
          <w:rFonts w:ascii="Arial" w:eastAsia="Times New Roman" w:hAnsi="Arial" w:cs="Arial"/>
          <w:iCs/>
          <w:sz w:val="20"/>
          <w:szCs w:val="20"/>
        </w:rPr>
        <w:t>$55 per barrel</w:t>
      </w:r>
      <w:r w:rsidR="008A4145" w:rsidRPr="00C10A1B">
        <w:rPr>
          <w:rFonts w:ascii="Arial" w:eastAsia="Times New Roman" w:hAnsi="Arial" w:cs="Arial"/>
          <w:iCs/>
          <w:sz w:val="20"/>
          <w:szCs w:val="20"/>
        </w:rPr>
        <w:t xml:space="preserve"> but less than </w:t>
      </w:r>
      <w:r w:rsidR="00AF76A4">
        <w:rPr>
          <w:rFonts w:ascii="Arial" w:eastAsia="Times New Roman" w:hAnsi="Arial" w:cs="Arial"/>
          <w:iCs/>
          <w:sz w:val="20"/>
          <w:szCs w:val="20"/>
        </w:rPr>
        <w:t>US</w:t>
      </w:r>
      <w:r w:rsidR="008A4145" w:rsidRPr="00C10A1B">
        <w:rPr>
          <w:rFonts w:ascii="Arial" w:eastAsia="Times New Roman" w:hAnsi="Arial" w:cs="Arial"/>
          <w:iCs/>
          <w:sz w:val="20"/>
          <w:szCs w:val="20"/>
        </w:rPr>
        <w:t>$60 per barrel</w:t>
      </w:r>
    </w:p>
    <w:p w14:paraId="34A22F55" w14:textId="52A625B3" w:rsidR="00940406" w:rsidRPr="00C10A1B" w:rsidRDefault="00940406" w:rsidP="00AA6016">
      <w:pPr>
        <w:pStyle w:val="ListParagraph"/>
        <w:numPr>
          <w:ilvl w:val="2"/>
          <w:numId w:val="23"/>
        </w:numPr>
        <w:spacing w:after="0" w:line="240" w:lineRule="auto"/>
        <w:jc w:val="both"/>
        <w:rPr>
          <w:rFonts w:ascii="Arial" w:hAnsi="Arial" w:cs="Arial"/>
          <w:sz w:val="20"/>
          <w:szCs w:val="20"/>
        </w:rPr>
      </w:pPr>
      <w:r w:rsidRPr="00C10A1B">
        <w:rPr>
          <w:rFonts w:ascii="Arial" w:eastAsia="Times New Roman" w:hAnsi="Arial" w:cs="Arial"/>
          <w:iCs/>
          <w:sz w:val="20"/>
          <w:szCs w:val="20"/>
        </w:rPr>
        <w:t>if first oil occurs in the first half of 2024:</w:t>
      </w:r>
    </w:p>
    <w:p w14:paraId="1F89C92D" w14:textId="526932D5" w:rsidR="00940406" w:rsidRPr="00C10A1B" w:rsidRDefault="00940406" w:rsidP="00AA6016">
      <w:pPr>
        <w:pStyle w:val="ListParagraph"/>
        <w:numPr>
          <w:ilvl w:val="3"/>
          <w:numId w:val="29"/>
        </w:numPr>
        <w:spacing w:after="0" w:line="240" w:lineRule="auto"/>
        <w:jc w:val="both"/>
        <w:rPr>
          <w:rFonts w:ascii="Arial" w:hAnsi="Arial" w:cs="Arial"/>
          <w:sz w:val="20"/>
          <w:szCs w:val="20"/>
        </w:rPr>
      </w:pPr>
      <w:r w:rsidRPr="00C10A1B">
        <w:rPr>
          <w:rFonts w:ascii="Arial" w:hAnsi="Arial" w:cs="Arial"/>
          <w:sz w:val="20"/>
          <w:szCs w:val="20"/>
        </w:rPr>
        <w:t xml:space="preserve">a payment of </w:t>
      </w:r>
      <w:r w:rsidR="00AF76A4">
        <w:rPr>
          <w:rFonts w:ascii="Arial" w:hAnsi="Arial" w:cs="Arial"/>
          <w:sz w:val="20"/>
          <w:szCs w:val="20"/>
        </w:rPr>
        <w:t>US</w:t>
      </w:r>
      <w:r w:rsidRPr="00C10A1B">
        <w:rPr>
          <w:rFonts w:ascii="Arial" w:hAnsi="Arial" w:cs="Arial"/>
          <w:sz w:val="20"/>
          <w:szCs w:val="20"/>
        </w:rPr>
        <w:t>$50</w:t>
      </w:r>
      <w:r w:rsidR="00594B27">
        <w:rPr>
          <w:rFonts w:ascii="Arial" w:hAnsi="Arial" w:cs="Arial"/>
          <w:sz w:val="20"/>
          <w:szCs w:val="20"/>
        </w:rPr>
        <w:t>m</w:t>
      </w:r>
      <w:r w:rsidRPr="00C10A1B">
        <w:rPr>
          <w:rFonts w:ascii="Arial" w:hAnsi="Arial" w:cs="Arial"/>
          <w:sz w:val="20"/>
          <w:szCs w:val="20"/>
        </w:rPr>
        <w:t xml:space="preserve"> if the Brent oil price during the first six months of production averages above </w:t>
      </w:r>
      <w:r w:rsidR="00AF76A4">
        <w:rPr>
          <w:rFonts w:ascii="Arial" w:hAnsi="Arial" w:cs="Arial"/>
          <w:sz w:val="20"/>
          <w:szCs w:val="20"/>
        </w:rPr>
        <w:t>US</w:t>
      </w:r>
      <w:r w:rsidRPr="00C10A1B">
        <w:rPr>
          <w:rFonts w:ascii="Arial" w:hAnsi="Arial" w:cs="Arial"/>
          <w:sz w:val="20"/>
          <w:szCs w:val="20"/>
        </w:rPr>
        <w:t>$60 per barrel</w:t>
      </w:r>
    </w:p>
    <w:p w14:paraId="22C99C49" w14:textId="54F3EDF5" w:rsidR="00940406" w:rsidRPr="00C10A1B" w:rsidRDefault="00940406" w:rsidP="00AA6016">
      <w:pPr>
        <w:pStyle w:val="ListParagraph"/>
        <w:numPr>
          <w:ilvl w:val="3"/>
          <w:numId w:val="29"/>
        </w:numPr>
        <w:spacing w:after="0" w:line="240" w:lineRule="auto"/>
        <w:jc w:val="both"/>
        <w:rPr>
          <w:rFonts w:ascii="Arial" w:hAnsi="Arial" w:cs="Arial"/>
          <w:sz w:val="20"/>
          <w:szCs w:val="20"/>
        </w:rPr>
      </w:pPr>
      <w:r w:rsidRPr="00C10A1B">
        <w:rPr>
          <w:rFonts w:ascii="Arial" w:hAnsi="Arial" w:cs="Arial"/>
          <w:sz w:val="20"/>
          <w:szCs w:val="20"/>
        </w:rPr>
        <w:t xml:space="preserve">a payment of </w:t>
      </w:r>
      <w:r w:rsidR="00AF76A4">
        <w:rPr>
          <w:rFonts w:ascii="Arial" w:hAnsi="Arial" w:cs="Arial"/>
          <w:sz w:val="20"/>
          <w:szCs w:val="20"/>
        </w:rPr>
        <w:t>US</w:t>
      </w:r>
      <w:r w:rsidRPr="00C10A1B">
        <w:rPr>
          <w:rFonts w:ascii="Arial" w:hAnsi="Arial" w:cs="Arial"/>
          <w:sz w:val="20"/>
          <w:szCs w:val="20"/>
        </w:rPr>
        <w:t>$25</w:t>
      </w:r>
      <w:r w:rsidR="00594B27">
        <w:rPr>
          <w:rFonts w:ascii="Arial" w:hAnsi="Arial" w:cs="Arial"/>
          <w:sz w:val="20"/>
          <w:szCs w:val="20"/>
        </w:rPr>
        <w:t xml:space="preserve">m </w:t>
      </w:r>
      <w:r w:rsidRPr="00C10A1B">
        <w:rPr>
          <w:rFonts w:ascii="Arial" w:hAnsi="Arial" w:cs="Arial"/>
          <w:sz w:val="20"/>
          <w:szCs w:val="20"/>
        </w:rPr>
        <w:t xml:space="preserve">of the Brent oil price during the first months of production averages above </w:t>
      </w:r>
      <w:r w:rsidR="00AF76A4">
        <w:rPr>
          <w:rFonts w:ascii="Arial" w:hAnsi="Arial" w:cs="Arial"/>
          <w:sz w:val="20"/>
          <w:szCs w:val="20"/>
        </w:rPr>
        <w:t>US</w:t>
      </w:r>
      <w:r w:rsidRPr="00C10A1B">
        <w:rPr>
          <w:rFonts w:ascii="Arial" w:hAnsi="Arial" w:cs="Arial"/>
          <w:sz w:val="20"/>
          <w:szCs w:val="20"/>
        </w:rPr>
        <w:t>$55 per barrel</w:t>
      </w:r>
      <w:r w:rsidR="008A4145" w:rsidRPr="00C10A1B">
        <w:rPr>
          <w:rFonts w:ascii="Arial" w:hAnsi="Arial" w:cs="Arial"/>
          <w:sz w:val="20"/>
          <w:szCs w:val="20"/>
        </w:rPr>
        <w:t xml:space="preserve"> but less than </w:t>
      </w:r>
      <w:r w:rsidR="00AF76A4">
        <w:rPr>
          <w:rFonts w:ascii="Arial" w:hAnsi="Arial" w:cs="Arial"/>
          <w:sz w:val="20"/>
          <w:szCs w:val="20"/>
        </w:rPr>
        <w:t>US</w:t>
      </w:r>
      <w:r w:rsidR="008A4145" w:rsidRPr="00C10A1B">
        <w:rPr>
          <w:rFonts w:ascii="Arial" w:hAnsi="Arial" w:cs="Arial"/>
          <w:sz w:val="20"/>
          <w:szCs w:val="20"/>
        </w:rPr>
        <w:t>$60 per barrel</w:t>
      </w:r>
    </w:p>
    <w:p w14:paraId="55C9BE3F" w14:textId="77777777" w:rsidR="0021128C" w:rsidRPr="00C10A1B" w:rsidRDefault="0021128C" w:rsidP="00AA6016">
      <w:pPr>
        <w:pStyle w:val="ListParagraph"/>
        <w:spacing w:after="0" w:line="240" w:lineRule="auto"/>
        <w:ind w:left="2880"/>
        <w:jc w:val="both"/>
        <w:rPr>
          <w:rFonts w:ascii="Arial" w:hAnsi="Arial" w:cs="Arial"/>
          <w:sz w:val="20"/>
          <w:szCs w:val="20"/>
        </w:rPr>
      </w:pPr>
    </w:p>
    <w:p w14:paraId="526504A9" w14:textId="77777777" w:rsidR="0021128C" w:rsidRPr="00C10A1B" w:rsidRDefault="0021128C" w:rsidP="00AA6016">
      <w:pPr>
        <w:tabs>
          <w:tab w:val="left" w:pos="2835"/>
        </w:tabs>
        <w:spacing w:after="0" w:line="240" w:lineRule="auto"/>
        <w:jc w:val="both"/>
        <w:rPr>
          <w:rFonts w:ascii="Arial" w:eastAsia="Times New Roman" w:hAnsi="Arial" w:cs="Arial"/>
          <w:iCs/>
          <w:sz w:val="20"/>
          <w:szCs w:val="20"/>
        </w:rPr>
      </w:pPr>
      <w:r w:rsidRPr="00C10A1B">
        <w:rPr>
          <w:rFonts w:ascii="Arial" w:eastAsia="Times New Roman" w:hAnsi="Arial" w:cs="Arial"/>
          <w:iCs/>
          <w:sz w:val="20"/>
          <w:szCs w:val="20"/>
        </w:rPr>
        <w:t>The Transaction is conditional upon the satisfaction or, where applicable, waiver of the following conditions, amongst others:</w:t>
      </w:r>
    </w:p>
    <w:p w14:paraId="0870AAC1" w14:textId="77777777" w:rsidR="0021128C" w:rsidRPr="00C10A1B" w:rsidRDefault="0021128C" w:rsidP="00AA6016">
      <w:pPr>
        <w:tabs>
          <w:tab w:val="left" w:pos="2835"/>
        </w:tabs>
        <w:spacing w:after="0" w:line="240" w:lineRule="auto"/>
        <w:jc w:val="both"/>
        <w:rPr>
          <w:rFonts w:ascii="Arial" w:eastAsia="Times New Roman" w:hAnsi="Arial" w:cs="Arial"/>
          <w:iCs/>
          <w:sz w:val="20"/>
          <w:szCs w:val="20"/>
        </w:rPr>
      </w:pPr>
    </w:p>
    <w:p w14:paraId="65535C0B" w14:textId="67A934A9" w:rsidR="0021128C" w:rsidRPr="00774283" w:rsidRDefault="0021128C" w:rsidP="00AA6016">
      <w:pPr>
        <w:pStyle w:val="ListParagraph"/>
        <w:numPr>
          <w:ilvl w:val="0"/>
          <w:numId w:val="24"/>
        </w:numPr>
        <w:tabs>
          <w:tab w:val="left" w:pos="2835"/>
        </w:tabs>
        <w:spacing w:after="0" w:line="240" w:lineRule="auto"/>
        <w:jc w:val="both"/>
        <w:rPr>
          <w:rFonts w:ascii="Arial" w:eastAsia="Times New Roman" w:hAnsi="Arial" w:cs="Arial"/>
          <w:iCs/>
          <w:sz w:val="20"/>
          <w:szCs w:val="20"/>
        </w:rPr>
      </w:pPr>
      <w:r w:rsidRPr="00774283">
        <w:rPr>
          <w:rFonts w:ascii="Arial" w:eastAsia="Times New Roman" w:hAnsi="Arial" w:cs="Arial"/>
          <w:iCs/>
          <w:sz w:val="20"/>
          <w:szCs w:val="20"/>
        </w:rPr>
        <w:t xml:space="preserve">written approval </w:t>
      </w:r>
      <w:r w:rsidR="00707013" w:rsidRPr="00774283">
        <w:rPr>
          <w:rFonts w:ascii="Arial" w:eastAsia="Times New Roman" w:hAnsi="Arial" w:cs="Arial"/>
          <w:iCs/>
          <w:sz w:val="20"/>
          <w:szCs w:val="20"/>
        </w:rPr>
        <w:t>from</w:t>
      </w:r>
      <w:r w:rsidRPr="00774283">
        <w:rPr>
          <w:rFonts w:ascii="Arial" w:eastAsia="Times New Roman" w:hAnsi="Arial" w:cs="Arial"/>
          <w:iCs/>
          <w:sz w:val="20"/>
          <w:szCs w:val="20"/>
        </w:rPr>
        <w:t xml:space="preserve"> the Minister </w:t>
      </w:r>
      <w:r w:rsidR="00707013" w:rsidRPr="00774283">
        <w:rPr>
          <w:rFonts w:ascii="Arial" w:eastAsia="Times New Roman" w:hAnsi="Arial" w:cs="Arial"/>
          <w:iCs/>
          <w:sz w:val="20"/>
          <w:szCs w:val="20"/>
        </w:rPr>
        <w:t>of</w:t>
      </w:r>
      <w:r w:rsidRPr="00774283">
        <w:rPr>
          <w:rFonts w:ascii="Arial" w:eastAsia="Times New Roman" w:hAnsi="Arial" w:cs="Arial"/>
          <w:iCs/>
          <w:sz w:val="20"/>
          <w:szCs w:val="20"/>
        </w:rPr>
        <w:t xml:space="preserve"> the transfer of the Sale Interest being obtained;</w:t>
      </w:r>
    </w:p>
    <w:p w14:paraId="49FEF919" w14:textId="14F9D1F5" w:rsidR="0021128C" w:rsidRPr="00774283" w:rsidRDefault="0021128C" w:rsidP="00AA6016">
      <w:pPr>
        <w:pStyle w:val="ListParagraph"/>
        <w:numPr>
          <w:ilvl w:val="0"/>
          <w:numId w:val="24"/>
        </w:numPr>
        <w:tabs>
          <w:tab w:val="left" w:pos="2835"/>
        </w:tabs>
        <w:spacing w:after="0" w:line="240" w:lineRule="auto"/>
        <w:jc w:val="both"/>
        <w:rPr>
          <w:rFonts w:ascii="Arial" w:eastAsia="Times New Roman" w:hAnsi="Arial" w:cs="Arial"/>
          <w:iCs/>
          <w:sz w:val="20"/>
          <w:szCs w:val="20"/>
        </w:rPr>
      </w:pPr>
      <w:r w:rsidRPr="00C43C48">
        <w:rPr>
          <w:rFonts w:ascii="Arial" w:eastAsia="Times New Roman" w:hAnsi="Arial" w:cs="Arial"/>
          <w:iCs/>
          <w:sz w:val="20"/>
          <w:szCs w:val="20"/>
        </w:rPr>
        <w:t>the written waiver by the other parties to the RSSD JOA of the Pre-Emption Rights in respect of</w:t>
      </w:r>
      <w:r w:rsidR="00522255" w:rsidRPr="00C43C48">
        <w:rPr>
          <w:rFonts w:ascii="Arial" w:eastAsia="Times New Roman" w:hAnsi="Arial" w:cs="Arial"/>
          <w:iCs/>
          <w:sz w:val="20"/>
          <w:szCs w:val="20"/>
        </w:rPr>
        <w:t xml:space="preserve">, and the written approvals </w:t>
      </w:r>
      <w:r w:rsidR="00E37E3B">
        <w:rPr>
          <w:rFonts w:ascii="Arial" w:eastAsia="Times New Roman" w:hAnsi="Arial" w:cs="Arial"/>
          <w:iCs/>
          <w:sz w:val="20"/>
          <w:szCs w:val="20"/>
        </w:rPr>
        <w:t>of</w:t>
      </w:r>
      <w:r w:rsidR="00522255" w:rsidRPr="00774283">
        <w:rPr>
          <w:rFonts w:ascii="Arial" w:eastAsia="Times New Roman" w:hAnsi="Arial" w:cs="Arial"/>
          <w:iCs/>
          <w:sz w:val="20"/>
          <w:szCs w:val="20"/>
        </w:rPr>
        <w:t>,</w:t>
      </w:r>
      <w:r w:rsidRPr="00774283">
        <w:rPr>
          <w:rFonts w:ascii="Arial" w:eastAsia="Times New Roman" w:hAnsi="Arial" w:cs="Arial"/>
          <w:iCs/>
          <w:sz w:val="20"/>
          <w:szCs w:val="20"/>
        </w:rPr>
        <w:t xml:space="preserve"> the Transaction being obtained;</w:t>
      </w:r>
    </w:p>
    <w:p w14:paraId="55A70B86" w14:textId="77777777" w:rsidR="0021128C" w:rsidRPr="00C43C48" w:rsidRDefault="0021128C" w:rsidP="00AA6016">
      <w:pPr>
        <w:pStyle w:val="ListParagraph"/>
        <w:numPr>
          <w:ilvl w:val="0"/>
          <w:numId w:val="24"/>
        </w:numPr>
        <w:tabs>
          <w:tab w:val="left" w:pos="2835"/>
        </w:tabs>
        <w:spacing w:after="0" w:line="240" w:lineRule="auto"/>
        <w:jc w:val="both"/>
        <w:rPr>
          <w:rFonts w:ascii="Arial" w:eastAsia="Times New Roman" w:hAnsi="Arial" w:cs="Arial"/>
          <w:iCs/>
          <w:sz w:val="20"/>
          <w:szCs w:val="20"/>
        </w:rPr>
      </w:pPr>
      <w:r w:rsidRPr="00C43C48">
        <w:rPr>
          <w:rFonts w:ascii="Arial" w:eastAsia="Times New Roman" w:hAnsi="Arial" w:cs="Arial"/>
          <w:iCs/>
          <w:sz w:val="20"/>
          <w:szCs w:val="20"/>
        </w:rPr>
        <w:t>no material adverse change in relation to the RSSD PSC or the Sale Interest having occurred;</w:t>
      </w:r>
    </w:p>
    <w:p w14:paraId="0471EC8C" w14:textId="3CDBFEFF" w:rsidR="0021128C" w:rsidRPr="00C43C48" w:rsidRDefault="0021128C" w:rsidP="00AA6016">
      <w:pPr>
        <w:pStyle w:val="ListParagraph"/>
        <w:numPr>
          <w:ilvl w:val="0"/>
          <w:numId w:val="24"/>
        </w:numPr>
        <w:tabs>
          <w:tab w:val="left" w:pos="2835"/>
        </w:tabs>
        <w:spacing w:after="0" w:line="240" w:lineRule="auto"/>
        <w:jc w:val="both"/>
        <w:rPr>
          <w:rFonts w:ascii="Arial" w:eastAsia="Times New Roman" w:hAnsi="Arial" w:cs="Arial"/>
          <w:iCs/>
          <w:sz w:val="20"/>
          <w:szCs w:val="20"/>
        </w:rPr>
      </w:pPr>
      <w:r w:rsidRPr="00C43C48">
        <w:rPr>
          <w:rFonts w:ascii="Arial" w:hAnsi="Arial" w:cs="Arial"/>
          <w:sz w:val="20"/>
          <w:szCs w:val="20"/>
          <w:lang w:eastAsia="en-US"/>
        </w:rPr>
        <w:t xml:space="preserve">certain </w:t>
      </w:r>
      <w:r w:rsidR="00707013" w:rsidRPr="00C43C48">
        <w:rPr>
          <w:rFonts w:ascii="Arial" w:hAnsi="Arial" w:cs="Arial"/>
          <w:sz w:val="20"/>
          <w:szCs w:val="20"/>
          <w:lang w:eastAsia="en-US"/>
        </w:rPr>
        <w:t xml:space="preserve">customary </w:t>
      </w:r>
      <w:r w:rsidRPr="00C43C48">
        <w:rPr>
          <w:rFonts w:ascii="Arial" w:hAnsi="Arial" w:cs="Arial"/>
          <w:sz w:val="20"/>
          <w:szCs w:val="20"/>
          <w:lang w:eastAsia="en-US"/>
        </w:rPr>
        <w:t xml:space="preserve">warranties remaining true, accurate and not misleading at closing in all material respects; </w:t>
      </w:r>
      <w:r w:rsidR="00DE03F7" w:rsidRPr="00C43C48">
        <w:rPr>
          <w:rFonts w:ascii="Arial" w:hAnsi="Arial" w:cs="Arial"/>
          <w:sz w:val="20"/>
          <w:szCs w:val="20"/>
          <w:lang w:eastAsia="en-US"/>
        </w:rPr>
        <w:t>and,</w:t>
      </w:r>
    </w:p>
    <w:p w14:paraId="254ADAB9" w14:textId="690AB252" w:rsidR="0021128C" w:rsidRPr="00C43C48" w:rsidRDefault="0021128C" w:rsidP="00AA6016">
      <w:pPr>
        <w:pStyle w:val="ListParagraph"/>
        <w:numPr>
          <w:ilvl w:val="0"/>
          <w:numId w:val="24"/>
        </w:numPr>
        <w:tabs>
          <w:tab w:val="left" w:pos="2835"/>
        </w:tabs>
        <w:spacing w:after="0" w:line="240" w:lineRule="auto"/>
        <w:jc w:val="both"/>
        <w:rPr>
          <w:rFonts w:ascii="Arial" w:eastAsia="Times New Roman" w:hAnsi="Arial" w:cs="Arial"/>
          <w:iCs/>
          <w:sz w:val="20"/>
          <w:szCs w:val="20"/>
        </w:rPr>
      </w:pPr>
      <w:r w:rsidRPr="00C43C48">
        <w:rPr>
          <w:rFonts w:ascii="Arial" w:eastAsia="Times New Roman" w:hAnsi="Arial" w:cs="Arial"/>
          <w:iCs/>
          <w:sz w:val="20"/>
          <w:szCs w:val="20"/>
        </w:rPr>
        <w:t>Shareholders passing a resolution to approve the Transaction at the General Meeting</w:t>
      </w:r>
      <w:r w:rsidR="003D5B90">
        <w:rPr>
          <w:rFonts w:ascii="Arial" w:eastAsia="Times New Roman" w:hAnsi="Arial" w:cs="Arial"/>
          <w:iCs/>
          <w:sz w:val="20"/>
          <w:szCs w:val="20"/>
        </w:rPr>
        <w:t>.</w:t>
      </w:r>
    </w:p>
    <w:p w14:paraId="43B5B490" w14:textId="77777777" w:rsidR="0021128C" w:rsidRPr="00C43C48" w:rsidRDefault="0021128C" w:rsidP="00AA6016">
      <w:pPr>
        <w:tabs>
          <w:tab w:val="left" w:pos="2835"/>
        </w:tabs>
        <w:spacing w:after="0" w:line="240" w:lineRule="auto"/>
        <w:jc w:val="both"/>
        <w:rPr>
          <w:rFonts w:ascii="Arial" w:eastAsia="Times New Roman" w:hAnsi="Arial" w:cs="Arial"/>
          <w:iCs/>
          <w:sz w:val="20"/>
          <w:szCs w:val="20"/>
        </w:rPr>
      </w:pPr>
    </w:p>
    <w:p w14:paraId="2CDCCB7C" w14:textId="77777777" w:rsidR="0021128C" w:rsidRPr="00C43C48" w:rsidRDefault="0021128C" w:rsidP="00AA6016">
      <w:pPr>
        <w:tabs>
          <w:tab w:val="left" w:pos="2835"/>
        </w:tabs>
        <w:spacing w:after="0" w:line="240" w:lineRule="auto"/>
        <w:jc w:val="both"/>
        <w:rPr>
          <w:rFonts w:ascii="Arial" w:eastAsia="Times New Roman" w:hAnsi="Arial" w:cs="Arial"/>
          <w:iCs/>
          <w:sz w:val="20"/>
          <w:szCs w:val="20"/>
        </w:rPr>
      </w:pPr>
      <w:r w:rsidRPr="00C43C48">
        <w:rPr>
          <w:rFonts w:ascii="Arial" w:eastAsia="Times New Roman" w:hAnsi="Arial" w:cs="Arial"/>
          <w:iCs/>
          <w:sz w:val="20"/>
          <w:szCs w:val="20"/>
        </w:rPr>
        <w:t>During the period between the date of the Sale and Purchase Agreement and Completion, Capricorn</w:t>
      </w:r>
    </w:p>
    <w:p w14:paraId="2D771F5A" w14:textId="39AB3075" w:rsidR="0021128C" w:rsidRPr="00C43C48" w:rsidRDefault="0021128C" w:rsidP="00AA6016">
      <w:pPr>
        <w:tabs>
          <w:tab w:val="left" w:pos="2835"/>
        </w:tabs>
        <w:spacing w:after="0" w:line="240" w:lineRule="auto"/>
        <w:jc w:val="both"/>
        <w:rPr>
          <w:rFonts w:ascii="Arial" w:eastAsia="Times New Roman" w:hAnsi="Arial" w:cs="Arial"/>
          <w:b/>
          <w:i/>
          <w:iCs/>
          <w:sz w:val="20"/>
          <w:szCs w:val="20"/>
        </w:rPr>
      </w:pPr>
      <w:r w:rsidRPr="00C43C48">
        <w:rPr>
          <w:rFonts w:ascii="Arial" w:eastAsia="Times New Roman" w:hAnsi="Arial" w:cs="Arial"/>
          <w:iCs/>
          <w:sz w:val="20"/>
          <w:szCs w:val="20"/>
        </w:rPr>
        <w:t xml:space="preserve">Senegal has agreed to interim period </w:t>
      </w:r>
      <w:r w:rsidR="00DE03F7" w:rsidRPr="00C43C48">
        <w:rPr>
          <w:rFonts w:ascii="Arial" w:eastAsia="Times New Roman" w:hAnsi="Arial" w:cs="Arial"/>
          <w:iCs/>
          <w:sz w:val="20"/>
          <w:szCs w:val="20"/>
        </w:rPr>
        <w:t>undertakings</w:t>
      </w:r>
      <w:r w:rsidRPr="00C43C48">
        <w:rPr>
          <w:rFonts w:ascii="Arial" w:eastAsia="Times New Roman" w:hAnsi="Arial" w:cs="Arial"/>
          <w:iCs/>
          <w:sz w:val="20"/>
          <w:szCs w:val="20"/>
        </w:rPr>
        <w:t xml:space="preserve"> in relation to the RSSD PSC and RSSD JOA that are customary for disposal</w:t>
      </w:r>
      <w:r w:rsidR="00707013" w:rsidRPr="00C43C48">
        <w:rPr>
          <w:rFonts w:ascii="Arial" w:eastAsia="Times New Roman" w:hAnsi="Arial" w:cs="Arial"/>
          <w:iCs/>
          <w:sz w:val="20"/>
          <w:szCs w:val="20"/>
        </w:rPr>
        <w:t>s</w:t>
      </w:r>
      <w:r w:rsidRPr="00C43C48">
        <w:rPr>
          <w:rFonts w:ascii="Arial" w:eastAsia="Times New Roman" w:hAnsi="Arial" w:cs="Arial"/>
          <w:iCs/>
          <w:sz w:val="20"/>
          <w:szCs w:val="20"/>
        </w:rPr>
        <w:t xml:space="preserve"> similar to the Transaction.</w:t>
      </w:r>
    </w:p>
    <w:p w14:paraId="4DFA883A" w14:textId="77777777" w:rsidR="0021128C" w:rsidRPr="00C43C48" w:rsidRDefault="0021128C" w:rsidP="00AA6016">
      <w:pPr>
        <w:tabs>
          <w:tab w:val="left" w:pos="2835"/>
        </w:tabs>
        <w:spacing w:after="0" w:line="240" w:lineRule="auto"/>
        <w:jc w:val="both"/>
        <w:rPr>
          <w:rFonts w:ascii="Arial" w:eastAsia="Times New Roman" w:hAnsi="Arial" w:cs="Arial"/>
          <w:b/>
          <w:i/>
          <w:iCs/>
          <w:sz w:val="20"/>
          <w:szCs w:val="20"/>
        </w:rPr>
      </w:pPr>
    </w:p>
    <w:p w14:paraId="1F48EC51" w14:textId="7A486054" w:rsidR="0021128C" w:rsidRPr="00C43C48" w:rsidRDefault="0021128C" w:rsidP="00AA6016">
      <w:pPr>
        <w:tabs>
          <w:tab w:val="left" w:pos="2835"/>
        </w:tabs>
        <w:spacing w:after="0" w:line="240" w:lineRule="auto"/>
        <w:jc w:val="both"/>
        <w:rPr>
          <w:rFonts w:ascii="Arial" w:eastAsia="Times New Roman" w:hAnsi="Arial" w:cs="Arial"/>
          <w:iCs/>
          <w:sz w:val="20"/>
          <w:szCs w:val="20"/>
        </w:rPr>
      </w:pPr>
      <w:r w:rsidRPr="00C43C48">
        <w:rPr>
          <w:rFonts w:ascii="Arial" w:eastAsia="Times New Roman" w:hAnsi="Arial" w:cs="Arial"/>
          <w:iCs/>
          <w:sz w:val="20"/>
          <w:szCs w:val="20"/>
        </w:rPr>
        <w:t>Each of the parties ha</w:t>
      </w:r>
      <w:r w:rsidR="00707013" w:rsidRPr="00C43C48">
        <w:rPr>
          <w:rFonts w:ascii="Arial" w:eastAsia="Times New Roman" w:hAnsi="Arial" w:cs="Arial"/>
          <w:iCs/>
          <w:sz w:val="20"/>
          <w:szCs w:val="20"/>
        </w:rPr>
        <w:t>s</w:t>
      </w:r>
      <w:r w:rsidRPr="00C43C48">
        <w:rPr>
          <w:rFonts w:ascii="Arial" w:eastAsia="Times New Roman" w:hAnsi="Arial" w:cs="Arial"/>
          <w:iCs/>
          <w:sz w:val="20"/>
          <w:szCs w:val="20"/>
        </w:rPr>
        <w:t xml:space="preserve"> also given customary warranties to the others in connection with the Transaction, certain of which will be repeated on the date of Completion. Capricorn Senegal’s liability in relation to the warranties in the Sale and Purchase Agreement is subject to customary limitations and exclusions. </w:t>
      </w:r>
    </w:p>
    <w:p w14:paraId="4B9EB1B2" w14:textId="77777777" w:rsidR="0021128C" w:rsidRPr="00C43C48" w:rsidRDefault="0021128C" w:rsidP="00AA6016">
      <w:pPr>
        <w:tabs>
          <w:tab w:val="left" w:pos="2835"/>
        </w:tabs>
        <w:spacing w:after="0" w:line="240" w:lineRule="auto"/>
        <w:jc w:val="both"/>
        <w:rPr>
          <w:rFonts w:ascii="Arial" w:eastAsia="Times New Roman" w:hAnsi="Arial" w:cs="Arial"/>
          <w:iCs/>
          <w:sz w:val="20"/>
          <w:szCs w:val="20"/>
        </w:rPr>
      </w:pPr>
    </w:p>
    <w:p w14:paraId="50204C64" w14:textId="4F3EE7A9" w:rsidR="00083004" w:rsidRPr="00C10A1B" w:rsidRDefault="0021128C" w:rsidP="006A0895">
      <w:pPr>
        <w:tabs>
          <w:tab w:val="left" w:pos="2835"/>
        </w:tabs>
        <w:spacing w:after="0" w:line="240" w:lineRule="auto"/>
        <w:jc w:val="both"/>
        <w:rPr>
          <w:rFonts w:ascii="Arial" w:eastAsia="Times New Roman" w:hAnsi="Arial" w:cs="Arial"/>
          <w:iCs/>
          <w:sz w:val="20"/>
          <w:szCs w:val="20"/>
        </w:rPr>
      </w:pPr>
      <w:r w:rsidRPr="00C43C48">
        <w:rPr>
          <w:rFonts w:ascii="Arial" w:eastAsia="Times New Roman" w:hAnsi="Arial" w:cs="Arial"/>
          <w:iCs/>
          <w:sz w:val="20"/>
          <w:szCs w:val="20"/>
        </w:rPr>
        <w:t xml:space="preserve">The Sale and Purchase Agreement includes a guarantee from Cairn in favour of </w:t>
      </w:r>
      <w:r w:rsidR="00767028" w:rsidRPr="00C43C48">
        <w:rPr>
          <w:rFonts w:ascii="Arial" w:eastAsia="Times New Roman" w:hAnsi="Arial" w:cs="Arial"/>
          <w:iCs/>
          <w:sz w:val="20"/>
          <w:szCs w:val="20"/>
        </w:rPr>
        <w:t>LUKOIL</w:t>
      </w:r>
      <w:r w:rsidRPr="00C43C48">
        <w:rPr>
          <w:rFonts w:ascii="Arial" w:eastAsia="Times New Roman" w:hAnsi="Arial" w:cs="Arial"/>
          <w:iCs/>
          <w:sz w:val="20"/>
          <w:szCs w:val="20"/>
        </w:rPr>
        <w:t xml:space="preserve"> in respect of</w:t>
      </w:r>
      <w:r w:rsidR="006C54CB" w:rsidRPr="00C43C48">
        <w:rPr>
          <w:rFonts w:ascii="Arial" w:eastAsia="Times New Roman" w:hAnsi="Arial" w:cs="Arial"/>
          <w:iCs/>
          <w:sz w:val="20"/>
          <w:szCs w:val="20"/>
        </w:rPr>
        <w:t xml:space="preserve"> </w:t>
      </w:r>
      <w:r w:rsidRPr="00C43C48">
        <w:rPr>
          <w:rFonts w:ascii="Arial" w:eastAsia="Times New Roman" w:hAnsi="Arial" w:cs="Arial"/>
          <w:iCs/>
          <w:sz w:val="20"/>
          <w:szCs w:val="20"/>
        </w:rPr>
        <w:t>all of Capricorn Senegal’s liabilities and obligations, financial and otherwise, under or arising out of the</w:t>
      </w:r>
      <w:r w:rsidR="00B42D92" w:rsidRPr="00C43C48">
        <w:rPr>
          <w:rFonts w:ascii="Arial" w:eastAsia="Times New Roman" w:hAnsi="Arial" w:cs="Arial"/>
          <w:iCs/>
          <w:sz w:val="20"/>
          <w:szCs w:val="20"/>
        </w:rPr>
        <w:t xml:space="preserve"> </w:t>
      </w:r>
      <w:r w:rsidRPr="00C43C48">
        <w:rPr>
          <w:rFonts w:ascii="Arial" w:eastAsia="Times New Roman" w:hAnsi="Arial" w:cs="Arial"/>
          <w:iCs/>
          <w:sz w:val="20"/>
          <w:szCs w:val="20"/>
        </w:rPr>
        <w:t>agreement.</w:t>
      </w:r>
      <w:r w:rsidR="00B42D92" w:rsidRPr="00C43C48">
        <w:rPr>
          <w:rFonts w:ascii="Arial" w:eastAsia="Times New Roman" w:hAnsi="Arial" w:cs="Arial"/>
          <w:iCs/>
          <w:sz w:val="20"/>
          <w:szCs w:val="20"/>
        </w:rPr>
        <w:t xml:space="preserve"> Similarly, LUKOIL International Upstream Holding B.V. is providing a guarantee in favour of Capricorn Senegal in respect of LUKOIL’s obligations under the Sale and Purchase Agreement</w:t>
      </w:r>
      <w:r w:rsidR="006C54CB" w:rsidRPr="00C43C48">
        <w:rPr>
          <w:rFonts w:ascii="Arial" w:eastAsia="Times New Roman" w:hAnsi="Arial" w:cs="Arial"/>
          <w:iCs/>
          <w:sz w:val="20"/>
          <w:szCs w:val="20"/>
        </w:rPr>
        <w:t>.</w:t>
      </w:r>
    </w:p>
    <w:p w14:paraId="79ED388C" w14:textId="77777777" w:rsidR="00A161A9" w:rsidRPr="00C10A1B" w:rsidRDefault="00A161A9" w:rsidP="00AA6016">
      <w:pPr>
        <w:spacing w:after="0" w:line="240" w:lineRule="auto"/>
        <w:jc w:val="both"/>
        <w:rPr>
          <w:rFonts w:ascii="Arial" w:eastAsia="Times New Roman" w:hAnsi="Arial" w:cs="Arial"/>
          <w:iCs/>
          <w:sz w:val="20"/>
          <w:szCs w:val="20"/>
        </w:rPr>
      </w:pPr>
    </w:p>
    <w:p w14:paraId="748B9A4B" w14:textId="7A74E821" w:rsidR="0076621E" w:rsidRPr="00C10A1B" w:rsidRDefault="0076621E" w:rsidP="00AA6016">
      <w:pPr>
        <w:pStyle w:val="ListParagraph"/>
        <w:numPr>
          <w:ilvl w:val="0"/>
          <w:numId w:val="2"/>
        </w:numPr>
        <w:spacing w:before="60" w:after="60" w:line="240" w:lineRule="exact"/>
        <w:contextualSpacing w:val="0"/>
        <w:jc w:val="both"/>
        <w:rPr>
          <w:rFonts w:ascii="Arial" w:hAnsi="Arial" w:cs="Arial"/>
          <w:b/>
          <w:bCs/>
          <w:color w:val="000000"/>
          <w:sz w:val="20"/>
          <w:szCs w:val="20"/>
        </w:rPr>
      </w:pPr>
      <w:r w:rsidRPr="00C10A1B">
        <w:rPr>
          <w:rFonts w:ascii="Arial" w:hAnsi="Arial" w:cs="Arial"/>
          <w:b/>
          <w:bCs/>
          <w:color w:val="000000"/>
          <w:sz w:val="20"/>
          <w:szCs w:val="20"/>
        </w:rPr>
        <w:t xml:space="preserve">Information on the RSSD </w:t>
      </w:r>
      <w:r w:rsidR="004E0289" w:rsidRPr="00C10A1B">
        <w:rPr>
          <w:rFonts w:ascii="Arial" w:hAnsi="Arial" w:cs="Arial"/>
          <w:b/>
          <w:bCs/>
          <w:color w:val="000000"/>
          <w:sz w:val="20"/>
          <w:szCs w:val="20"/>
        </w:rPr>
        <w:t>Contract Area</w:t>
      </w:r>
      <w:r w:rsidR="004E0289" w:rsidRPr="00C10A1B">
        <w:rPr>
          <w:rFonts w:ascii="Arial" w:hAnsi="Arial" w:cs="Arial"/>
          <w:noProof/>
          <w:sz w:val="20"/>
          <w:szCs w:val="20"/>
        </w:rPr>
        <w:t xml:space="preserve"> </w:t>
      </w:r>
    </w:p>
    <w:p w14:paraId="44179DD1" w14:textId="77777777" w:rsidR="00130C85" w:rsidRPr="00C10A1B" w:rsidRDefault="00130C85" w:rsidP="00AA6016">
      <w:pPr>
        <w:pStyle w:val="ListParagraph"/>
        <w:spacing w:before="60" w:after="60" w:line="240" w:lineRule="exact"/>
        <w:contextualSpacing w:val="0"/>
        <w:jc w:val="both"/>
        <w:rPr>
          <w:rFonts w:ascii="Arial" w:hAnsi="Arial" w:cs="Arial"/>
          <w:b/>
          <w:bCs/>
          <w:color w:val="000000"/>
          <w:sz w:val="20"/>
          <w:szCs w:val="20"/>
        </w:rPr>
      </w:pPr>
    </w:p>
    <w:p w14:paraId="2AAB2DCD" w14:textId="5B78CEBC" w:rsidR="0076621E" w:rsidRPr="00C10A1B" w:rsidRDefault="0076621E" w:rsidP="00AA6016">
      <w:pPr>
        <w:jc w:val="both"/>
        <w:rPr>
          <w:rFonts w:ascii="Arial" w:hAnsi="Arial" w:cs="Arial"/>
          <w:b/>
          <w:i/>
          <w:sz w:val="20"/>
          <w:szCs w:val="20"/>
        </w:rPr>
      </w:pPr>
      <w:r w:rsidRPr="00C10A1B">
        <w:rPr>
          <w:rFonts w:ascii="Arial" w:hAnsi="Arial" w:cs="Arial"/>
          <w:b/>
          <w:i/>
          <w:sz w:val="20"/>
          <w:szCs w:val="20"/>
        </w:rPr>
        <w:t>Overview and history of development</w:t>
      </w:r>
    </w:p>
    <w:p w14:paraId="0408E360" w14:textId="780E00A1" w:rsidR="0076621E" w:rsidRPr="00C10A1B" w:rsidRDefault="0076621E" w:rsidP="00AA6016">
      <w:pPr>
        <w:spacing w:after="0" w:line="240" w:lineRule="auto"/>
        <w:jc w:val="both"/>
        <w:rPr>
          <w:rFonts w:ascii="Arial" w:eastAsia="Times New Roman" w:hAnsi="Arial" w:cs="Arial"/>
          <w:iCs/>
          <w:sz w:val="20"/>
          <w:szCs w:val="20"/>
        </w:rPr>
      </w:pPr>
      <w:r w:rsidRPr="00C10A1B">
        <w:rPr>
          <w:rFonts w:ascii="Arial" w:eastAsia="Times New Roman" w:hAnsi="Arial" w:cs="Arial"/>
          <w:iCs/>
          <w:sz w:val="20"/>
          <w:szCs w:val="20"/>
        </w:rPr>
        <w:t xml:space="preserve">The RSSD </w:t>
      </w:r>
      <w:r w:rsidR="00D947C1" w:rsidRPr="00C10A1B">
        <w:rPr>
          <w:rFonts w:ascii="Arial" w:eastAsia="Times New Roman" w:hAnsi="Arial" w:cs="Arial"/>
          <w:iCs/>
          <w:sz w:val="20"/>
          <w:szCs w:val="20"/>
        </w:rPr>
        <w:t>C</w:t>
      </w:r>
      <w:r w:rsidRPr="00C10A1B">
        <w:rPr>
          <w:rFonts w:ascii="Arial" w:eastAsia="Times New Roman" w:hAnsi="Arial" w:cs="Arial"/>
          <w:iCs/>
          <w:sz w:val="20"/>
          <w:szCs w:val="20"/>
        </w:rPr>
        <w:t xml:space="preserve">ontract </w:t>
      </w:r>
      <w:r w:rsidR="00D947C1" w:rsidRPr="00C10A1B">
        <w:rPr>
          <w:rFonts w:ascii="Arial" w:eastAsia="Times New Roman" w:hAnsi="Arial" w:cs="Arial"/>
          <w:iCs/>
          <w:sz w:val="20"/>
          <w:szCs w:val="20"/>
        </w:rPr>
        <w:t>A</w:t>
      </w:r>
      <w:r w:rsidRPr="00C10A1B">
        <w:rPr>
          <w:rFonts w:ascii="Arial" w:eastAsia="Times New Roman" w:hAnsi="Arial" w:cs="Arial"/>
          <w:iCs/>
          <w:sz w:val="20"/>
          <w:szCs w:val="20"/>
        </w:rPr>
        <w:t>rea lies to the South of Dakar</w:t>
      </w:r>
      <w:r w:rsidR="00D947C1" w:rsidRPr="00C10A1B">
        <w:rPr>
          <w:rFonts w:ascii="Arial" w:eastAsia="Times New Roman" w:hAnsi="Arial" w:cs="Arial"/>
          <w:iCs/>
          <w:sz w:val="20"/>
          <w:szCs w:val="20"/>
        </w:rPr>
        <w:t>, Senegal</w:t>
      </w:r>
      <w:r w:rsidR="00425AE3">
        <w:rPr>
          <w:rFonts w:ascii="Arial" w:eastAsia="Times New Roman" w:hAnsi="Arial" w:cs="Arial"/>
          <w:iCs/>
          <w:sz w:val="20"/>
          <w:szCs w:val="20"/>
        </w:rPr>
        <w:t>,</w:t>
      </w:r>
      <w:r w:rsidRPr="00C10A1B">
        <w:rPr>
          <w:rFonts w:ascii="Arial" w:eastAsia="Times New Roman" w:hAnsi="Arial" w:cs="Arial"/>
          <w:iCs/>
          <w:sz w:val="20"/>
          <w:szCs w:val="20"/>
        </w:rPr>
        <w:t xml:space="preserve"> in offshore waters and comprises three blocks (</w:t>
      </w:r>
      <w:proofErr w:type="spellStart"/>
      <w:r w:rsidRPr="00C10A1B">
        <w:rPr>
          <w:rFonts w:ascii="Arial" w:eastAsia="Times New Roman" w:hAnsi="Arial" w:cs="Arial"/>
          <w:iCs/>
          <w:sz w:val="20"/>
          <w:szCs w:val="20"/>
        </w:rPr>
        <w:t>Rufisque</w:t>
      </w:r>
      <w:proofErr w:type="spellEnd"/>
      <w:r w:rsidRPr="00C10A1B">
        <w:rPr>
          <w:rFonts w:ascii="Arial" w:eastAsia="Times New Roman" w:hAnsi="Arial" w:cs="Arial"/>
          <w:iCs/>
          <w:sz w:val="20"/>
          <w:szCs w:val="20"/>
        </w:rPr>
        <w:t xml:space="preserve"> Offshore, </w:t>
      </w:r>
      <w:proofErr w:type="spellStart"/>
      <w:r w:rsidRPr="00C10A1B">
        <w:rPr>
          <w:rFonts w:ascii="Arial" w:eastAsia="Times New Roman" w:hAnsi="Arial" w:cs="Arial"/>
          <w:iCs/>
          <w:sz w:val="20"/>
          <w:szCs w:val="20"/>
        </w:rPr>
        <w:t>Sangomar</w:t>
      </w:r>
      <w:proofErr w:type="spellEnd"/>
      <w:r w:rsidRPr="00C10A1B">
        <w:rPr>
          <w:rFonts w:ascii="Arial" w:eastAsia="Times New Roman" w:hAnsi="Arial" w:cs="Arial"/>
          <w:iCs/>
          <w:sz w:val="20"/>
          <w:szCs w:val="20"/>
        </w:rPr>
        <w:t xml:space="preserve"> Offshore and </w:t>
      </w:r>
      <w:proofErr w:type="spellStart"/>
      <w:r w:rsidRPr="00C10A1B">
        <w:rPr>
          <w:rFonts w:ascii="Arial" w:eastAsia="Times New Roman" w:hAnsi="Arial" w:cs="Arial"/>
          <w:iCs/>
          <w:sz w:val="20"/>
          <w:szCs w:val="20"/>
        </w:rPr>
        <w:t>Sangomar</w:t>
      </w:r>
      <w:proofErr w:type="spellEnd"/>
      <w:r w:rsidRPr="00C10A1B">
        <w:rPr>
          <w:rFonts w:ascii="Arial" w:eastAsia="Times New Roman" w:hAnsi="Arial" w:cs="Arial"/>
          <w:iCs/>
          <w:sz w:val="20"/>
          <w:szCs w:val="20"/>
        </w:rPr>
        <w:t xml:space="preserve"> Deep Offshore). The </w:t>
      </w:r>
      <w:proofErr w:type="spellStart"/>
      <w:r w:rsidR="00D947C1" w:rsidRPr="00C10A1B">
        <w:rPr>
          <w:rFonts w:ascii="Arial" w:eastAsia="Times New Roman" w:hAnsi="Arial" w:cs="Arial"/>
          <w:iCs/>
          <w:sz w:val="20"/>
          <w:szCs w:val="20"/>
        </w:rPr>
        <w:t>Sangomar</w:t>
      </w:r>
      <w:proofErr w:type="spellEnd"/>
      <w:r w:rsidR="00D947C1" w:rsidRPr="00C10A1B">
        <w:rPr>
          <w:rFonts w:ascii="Arial" w:eastAsia="Times New Roman" w:hAnsi="Arial" w:cs="Arial"/>
          <w:iCs/>
          <w:sz w:val="20"/>
          <w:szCs w:val="20"/>
        </w:rPr>
        <w:t xml:space="preserve"> field</w:t>
      </w:r>
      <w:r w:rsidRPr="00C10A1B">
        <w:rPr>
          <w:rFonts w:ascii="Arial" w:eastAsia="Times New Roman" w:hAnsi="Arial" w:cs="Arial"/>
          <w:iCs/>
          <w:sz w:val="20"/>
          <w:szCs w:val="20"/>
        </w:rPr>
        <w:t xml:space="preserve"> is located primarily in the </w:t>
      </w:r>
      <w:proofErr w:type="spellStart"/>
      <w:r w:rsidRPr="00C10A1B">
        <w:rPr>
          <w:rFonts w:ascii="Arial" w:eastAsia="Times New Roman" w:hAnsi="Arial" w:cs="Arial"/>
          <w:iCs/>
          <w:sz w:val="20"/>
          <w:szCs w:val="20"/>
        </w:rPr>
        <w:t>Sangomar</w:t>
      </w:r>
      <w:proofErr w:type="spellEnd"/>
      <w:r w:rsidRPr="00C10A1B">
        <w:rPr>
          <w:rFonts w:ascii="Arial" w:eastAsia="Times New Roman" w:hAnsi="Arial" w:cs="Arial"/>
          <w:iCs/>
          <w:sz w:val="20"/>
          <w:szCs w:val="20"/>
        </w:rPr>
        <w:t xml:space="preserve"> Deep Offshore block approximately 90 km offshore in water depths of 900</w:t>
      </w:r>
      <w:r w:rsidR="009B5796">
        <w:rPr>
          <w:rFonts w:ascii="Arial" w:eastAsia="Times New Roman" w:hAnsi="Arial" w:cs="Arial"/>
          <w:iCs/>
          <w:sz w:val="20"/>
          <w:szCs w:val="20"/>
        </w:rPr>
        <w:t xml:space="preserve"> </w:t>
      </w:r>
      <w:r w:rsidR="00D947C1" w:rsidRPr="00C10A1B">
        <w:rPr>
          <w:rFonts w:ascii="Arial" w:eastAsia="Times New Roman" w:hAnsi="Arial" w:cs="Arial"/>
          <w:iCs/>
          <w:sz w:val="20"/>
          <w:szCs w:val="20"/>
        </w:rPr>
        <w:t>m</w:t>
      </w:r>
      <w:r w:rsidR="009B5796">
        <w:rPr>
          <w:rFonts w:ascii="Arial" w:eastAsia="Times New Roman" w:hAnsi="Arial" w:cs="Arial"/>
          <w:iCs/>
          <w:sz w:val="20"/>
          <w:szCs w:val="20"/>
        </w:rPr>
        <w:t>etre</w:t>
      </w:r>
      <w:r w:rsidR="00D947C1" w:rsidRPr="00C10A1B">
        <w:rPr>
          <w:rFonts w:ascii="Arial" w:eastAsia="Times New Roman" w:hAnsi="Arial" w:cs="Arial"/>
          <w:iCs/>
          <w:sz w:val="20"/>
          <w:szCs w:val="20"/>
        </w:rPr>
        <w:t xml:space="preserve"> to</w:t>
      </w:r>
      <w:r w:rsidRPr="00C10A1B">
        <w:rPr>
          <w:rFonts w:ascii="Arial" w:eastAsia="Times New Roman" w:hAnsi="Arial" w:cs="Arial"/>
          <w:iCs/>
          <w:sz w:val="20"/>
          <w:szCs w:val="20"/>
        </w:rPr>
        <w:t xml:space="preserve"> 1,500</w:t>
      </w:r>
      <w:r w:rsidR="009B5796">
        <w:rPr>
          <w:rFonts w:ascii="Arial" w:eastAsia="Times New Roman" w:hAnsi="Arial" w:cs="Arial"/>
          <w:iCs/>
          <w:sz w:val="20"/>
          <w:szCs w:val="20"/>
        </w:rPr>
        <w:t xml:space="preserve"> </w:t>
      </w:r>
      <w:r w:rsidR="00D947C1" w:rsidRPr="00C10A1B">
        <w:rPr>
          <w:rFonts w:ascii="Arial" w:eastAsia="Times New Roman" w:hAnsi="Arial" w:cs="Arial"/>
          <w:iCs/>
          <w:sz w:val="20"/>
          <w:szCs w:val="20"/>
        </w:rPr>
        <w:t>m</w:t>
      </w:r>
      <w:r w:rsidR="009B5796">
        <w:rPr>
          <w:rFonts w:ascii="Arial" w:eastAsia="Times New Roman" w:hAnsi="Arial" w:cs="Arial"/>
          <w:iCs/>
          <w:sz w:val="20"/>
          <w:szCs w:val="20"/>
        </w:rPr>
        <w:t>etre</w:t>
      </w:r>
      <w:r w:rsidRPr="00C10A1B">
        <w:rPr>
          <w:rFonts w:ascii="Arial" w:eastAsia="Times New Roman" w:hAnsi="Arial" w:cs="Arial"/>
          <w:iCs/>
          <w:sz w:val="20"/>
          <w:szCs w:val="20"/>
        </w:rPr>
        <w:t xml:space="preserve">. The </w:t>
      </w:r>
      <w:r w:rsidR="00D947C1" w:rsidRPr="00C10A1B">
        <w:rPr>
          <w:rFonts w:ascii="Arial" w:eastAsia="Times New Roman" w:hAnsi="Arial" w:cs="Arial"/>
          <w:iCs/>
          <w:sz w:val="20"/>
          <w:szCs w:val="20"/>
        </w:rPr>
        <w:t xml:space="preserve">proposed </w:t>
      </w:r>
      <w:proofErr w:type="spellStart"/>
      <w:r w:rsidR="00D947C1" w:rsidRPr="00C10A1B">
        <w:rPr>
          <w:rFonts w:ascii="Arial" w:eastAsia="Times New Roman" w:hAnsi="Arial" w:cs="Arial"/>
          <w:iCs/>
          <w:sz w:val="20"/>
          <w:szCs w:val="20"/>
        </w:rPr>
        <w:t>Sangomar</w:t>
      </w:r>
      <w:proofErr w:type="spellEnd"/>
      <w:r w:rsidR="00D947C1" w:rsidRPr="00C10A1B">
        <w:rPr>
          <w:rFonts w:ascii="Arial" w:eastAsia="Times New Roman" w:hAnsi="Arial" w:cs="Arial"/>
          <w:iCs/>
          <w:sz w:val="20"/>
          <w:szCs w:val="20"/>
        </w:rPr>
        <w:t xml:space="preserve"> </w:t>
      </w:r>
      <w:r w:rsidRPr="00C10A1B">
        <w:rPr>
          <w:rFonts w:ascii="Arial" w:eastAsia="Times New Roman" w:hAnsi="Arial" w:cs="Arial"/>
          <w:iCs/>
          <w:sz w:val="20"/>
          <w:szCs w:val="20"/>
        </w:rPr>
        <w:t>exploitation area is 711 km</w:t>
      </w:r>
      <w:r w:rsidRPr="00C10A1B">
        <w:rPr>
          <w:rFonts w:ascii="Arial" w:eastAsia="Times New Roman" w:hAnsi="Arial" w:cs="Arial"/>
          <w:iCs/>
          <w:sz w:val="20"/>
          <w:szCs w:val="20"/>
          <w:vertAlign w:val="superscript"/>
        </w:rPr>
        <w:t>2</w:t>
      </w:r>
      <w:r w:rsidRPr="00C10A1B">
        <w:rPr>
          <w:rFonts w:ascii="Arial" w:eastAsia="Times New Roman" w:hAnsi="Arial" w:cs="Arial"/>
          <w:iCs/>
          <w:sz w:val="20"/>
          <w:szCs w:val="20"/>
        </w:rPr>
        <w:t xml:space="preserve">. The </w:t>
      </w:r>
      <w:proofErr w:type="spellStart"/>
      <w:r w:rsidR="00D947C1" w:rsidRPr="00C10A1B">
        <w:rPr>
          <w:rFonts w:ascii="Arial" w:eastAsia="Times New Roman" w:hAnsi="Arial" w:cs="Arial"/>
          <w:iCs/>
          <w:sz w:val="20"/>
          <w:szCs w:val="20"/>
        </w:rPr>
        <w:t>Sangomar</w:t>
      </w:r>
      <w:proofErr w:type="spellEnd"/>
      <w:r w:rsidR="00D947C1" w:rsidRPr="00C10A1B">
        <w:rPr>
          <w:rFonts w:ascii="Arial" w:eastAsia="Times New Roman" w:hAnsi="Arial" w:cs="Arial"/>
          <w:iCs/>
          <w:sz w:val="20"/>
          <w:szCs w:val="20"/>
        </w:rPr>
        <w:t xml:space="preserve"> </w:t>
      </w:r>
      <w:r w:rsidRPr="00C10A1B">
        <w:rPr>
          <w:rFonts w:ascii="Arial" w:eastAsia="Times New Roman" w:hAnsi="Arial" w:cs="Arial"/>
          <w:iCs/>
          <w:sz w:val="20"/>
          <w:szCs w:val="20"/>
        </w:rPr>
        <w:t>field is a large, low relief NNE-SSW oriented field that is dip closed to the south and east, and stratigraphically closed to the north and west.</w:t>
      </w:r>
    </w:p>
    <w:p w14:paraId="73208B47" w14:textId="77777777" w:rsidR="00ED1B86" w:rsidRPr="00C10A1B" w:rsidRDefault="00ED1B86" w:rsidP="00AA6016">
      <w:pPr>
        <w:spacing w:after="0" w:line="240" w:lineRule="auto"/>
        <w:jc w:val="both"/>
        <w:rPr>
          <w:rFonts w:ascii="Arial" w:eastAsia="Times New Roman" w:hAnsi="Arial" w:cs="Arial"/>
          <w:iCs/>
          <w:sz w:val="20"/>
          <w:szCs w:val="20"/>
        </w:rPr>
      </w:pPr>
    </w:p>
    <w:p w14:paraId="64077B71" w14:textId="5C5D14AB" w:rsidR="0076621E" w:rsidRPr="00C10A1B" w:rsidRDefault="009A1DAE" w:rsidP="00AA6016">
      <w:pPr>
        <w:spacing w:after="0" w:line="240" w:lineRule="auto"/>
        <w:jc w:val="both"/>
        <w:rPr>
          <w:rFonts w:ascii="Arial" w:eastAsia="Times New Roman" w:hAnsi="Arial" w:cs="Arial"/>
          <w:iCs/>
          <w:sz w:val="20"/>
          <w:szCs w:val="20"/>
        </w:rPr>
      </w:pPr>
      <w:r w:rsidRPr="00C10A1B">
        <w:rPr>
          <w:rFonts w:ascii="Arial" w:eastAsia="Times New Roman" w:hAnsi="Arial" w:cs="Arial"/>
          <w:iCs/>
          <w:sz w:val="20"/>
          <w:szCs w:val="20"/>
        </w:rPr>
        <w:t>Eleven</w:t>
      </w:r>
      <w:r w:rsidR="0076621E" w:rsidRPr="00C10A1B">
        <w:rPr>
          <w:rFonts w:ascii="Arial" w:eastAsia="Times New Roman" w:hAnsi="Arial" w:cs="Arial"/>
          <w:iCs/>
          <w:sz w:val="20"/>
          <w:szCs w:val="20"/>
        </w:rPr>
        <w:t xml:space="preserve"> exploration and appraisal wells have been drilled in the </w:t>
      </w:r>
      <w:r w:rsidR="00D947C1" w:rsidRPr="00C10A1B">
        <w:rPr>
          <w:rFonts w:ascii="Arial" w:eastAsia="Times New Roman" w:hAnsi="Arial" w:cs="Arial"/>
          <w:iCs/>
          <w:sz w:val="20"/>
          <w:szCs w:val="20"/>
        </w:rPr>
        <w:t xml:space="preserve">RSSD </w:t>
      </w:r>
      <w:r w:rsidR="0076621E" w:rsidRPr="00C10A1B">
        <w:rPr>
          <w:rFonts w:ascii="Arial" w:eastAsia="Times New Roman" w:hAnsi="Arial" w:cs="Arial"/>
          <w:iCs/>
          <w:sz w:val="20"/>
          <w:szCs w:val="20"/>
        </w:rPr>
        <w:t>Contract Area to date:</w:t>
      </w:r>
    </w:p>
    <w:p w14:paraId="2A78F9E3" w14:textId="77777777" w:rsidR="00130C85" w:rsidRPr="00C10A1B" w:rsidRDefault="00130C85" w:rsidP="00AA6016">
      <w:pPr>
        <w:pStyle w:val="ListParagraph"/>
        <w:spacing w:after="0" w:line="240" w:lineRule="auto"/>
        <w:jc w:val="both"/>
        <w:rPr>
          <w:rFonts w:ascii="Arial" w:eastAsia="Times New Roman" w:hAnsi="Arial" w:cs="Arial"/>
          <w:iCs/>
          <w:sz w:val="20"/>
          <w:szCs w:val="20"/>
        </w:rPr>
      </w:pPr>
    </w:p>
    <w:p w14:paraId="0E178648" w14:textId="79EEDDA7" w:rsidR="0076621E" w:rsidRPr="00C10A1B" w:rsidRDefault="009A1DAE" w:rsidP="00AA6016">
      <w:pPr>
        <w:pStyle w:val="ListParagraph"/>
        <w:numPr>
          <w:ilvl w:val="0"/>
          <w:numId w:val="27"/>
        </w:numPr>
        <w:spacing w:after="0" w:line="240" w:lineRule="auto"/>
        <w:jc w:val="both"/>
        <w:rPr>
          <w:rFonts w:ascii="Arial" w:eastAsia="Times New Roman" w:hAnsi="Arial" w:cs="Arial"/>
          <w:iCs/>
          <w:sz w:val="20"/>
          <w:szCs w:val="20"/>
        </w:rPr>
      </w:pPr>
      <w:r w:rsidRPr="00C10A1B">
        <w:rPr>
          <w:rFonts w:ascii="Arial" w:eastAsia="Times New Roman" w:hAnsi="Arial" w:cs="Arial"/>
          <w:iCs/>
          <w:sz w:val="20"/>
          <w:szCs w:val="20"/>
        </w:rPr>
        <w:t>Eight</w:t>
      </w:r>
      <w:r w:rsidR="0076621E" w:rsidRPr="00C10A1B">
        <w:rPr>
          <w:rFonts w:ascii="Arial" w:eastAsia="Times New Roman" w:hAnsi="Arial" w:cs="Arial"/>
          <w:iCs/>
          <w:sz w:val="20"/>
          <w:szCs w:val="20"/>
        </w:rPr>
        <w:t xml:space="preserve"> wells within the </w:t>
      </w:r>
      <w:proofErr w:type="spellStart"/>
      <w:r w:rsidR="00D947C1" w:rsidRPr="00C10A1B">
        <w:rPr>
          <w:rFonts w:ascii="Arial" w:eastAsia="Times New Roman" w:hAnsi="Arial" w:cs="Arial"/>
          <w:iCs/>
          <w:sz w:val="20"/>
          <w:szCs w:val="20"/>
        </w:rPr>
        <w:t>Sangomar</w:t>
      </w:r>
      <w:proofErr w:type="spellEnd"/>
      <w:r w:rsidR="00D947C1" w:rsidRPr="00C10A1B">
        <w:rPr>
          <w:rFonts w:ascii="Arial" w:eastAsia="Times New Roman" w:hAnsi="Arial" w:cs="Arial"/>
          <w:iCs/>
          <w:sz w:val="20"/>
          <w:szCs w:val="20"/>
        </w:rPr>
        <w:t xml:space="preserve"> </w:t>
      </w:r>
      <w:r w:rsidR="0076621E" w:rsidRPr="00C10A1B">
        <w:rPr>
          <w:rFonts w:ascii="Arial" w:eastAsia="Times New Roman" w:hAnsi="Arial" w:cs="Arial"/>
          <w:iCs/>
          <w:sz w:val="20"/>
          <w:szCs w:val="20"/>
        </w:rPr>
        <w:t>field (SNE</w:t>
      </w:r>
      <w:r w:rsidR="00D947C1" w:rsidRPr="00C10A1B">
        <w:rPr>
          <w:rFonts w:ascii="Arial" w:eastAsia="Times New Roman" w:hAnsi="Arial" w:cs="Arial"/>
          <w:iCs/>
          <w:sz w:val="20"/>
          <w:szCs w:val="20"/>
        </w:rPr>
        <w:t>-</w:t>
      </w:r>
      <w:r w:rsidR="0076621E" w:rsidRPr="00C10A1B">
        <w:rPr>
          <w:rFonts w:ascii="Arial" w:eastAsia="Times New Roman" w:hAnsi="Arial" w:cs="Arial"/>
          <w:iCs/>
          <w:sz w:val="20"/>
          <w:szCs w:val="20"/>
        </w:rPr>
        <w:t>1,2,3,4,5 and -6, BEL-1 and VR1)</w:t>
      </w:r>
    </w:p>
    <w:p w14:paraId="37871EAC" w14:textId="4FB28883" w:rsidR="0076621E" w:rsidRPr="00C10A1B" w:rsidRDefault="00C10A1B" w:rsidP="00AA6016">
      <w:pPr>
        <w:pStyle w:val="ListParagraph"/>
        <w:numPr>
          <w:ilvl w:val="0"/>
          <w:numId w:val="27"/>
        </w:numPr>
        <w:spacing w:after="0" w:line="240" w:lineRule="auto"/>
        <w:jc w:val="both"/>
        <w:rPr>
          <w:rFonts w:ascii="Arial" w:eastAsia="Times New Roman" w:hAnsi="Arial" w:cs="Arial"/>
          <w:iCs/>
          <w:sz w:val="20"/>
          <w:szCs w:val="20"/>
        </w:rPr>
      </w:pPr>
      <w:r w:rsidRPr="00C10A1B">
        <w:rPr>
          <w:rFonts w:ascii="Arial" w:eastAsia="Times New Roman" w:hAnsi="Arial" w:cs="Arial"/>
          <w:iCs/>
          <w:sz w:val="20"/>
          <w:szCs w:val="20"/>
        </w:rPr>
        <w:t>T</w:t>
      </w:r>
      <w:r w:rsidR="009A1DAE" w:rsidRPr="00C10A1B">
        <w:rPr>
          <w:rFonts w:ascii="Arial" w:eastAsia="Times New Roman" w:hAnsi="Arial" w:cs="Arial"/>
          <w:iCs/>
          <w:sz w:val="20"/>
          <w:szCs w:val="20"/>
        </w:rPr>
        <w:t>hree</w:t>
      </w:r>
      <w:r w:rsidR="0076621E" w:rsidRPr="00C10A1B">
        <w:rPr>
          <w:rFonts w:ascii="Arial" w:eastAsia="Times New Roman" w:hAnsi="Arial" w:cs="Arial"/>
          <w:iCs/>
          <w:sz w:val="20"/>
          <w:szCs w:val="20"/>
        </w:rPr>
        <w:t xml:space="preserve"> wells outside the </w:t>
      </w:r>
      <w:proofErr w:type="spellStart"/>
      <w:r w:rsidR="00D947C1" w:rsidRPr="00C10A1B">
        <w:rPr>
          <w:rFonts w:ascii="Arial" w:eastAsia="Times New Roman" w:hAnsi="Arial" w:cs="Arial"/>
          <w:iCs/>
          <w:sz w:val="20"/>
          <w:szCs w:val="20"/>
        </w:rPr>
        <w:t>Sangomar</w:t>
      </w:r>
      <w:proofErr w:type="spellEnd"/>
      <w:r w:rsidR="00D947C1" w:rsidRPr="00C10A1B">
        <w:rPr>
          <w:rFonts w:ascii="Arial" w:eastAsia="Times New Roman" w:hAnsi="Arial" w:cs="Arial"/>
          <w:iCs/>
          <w:sz w:val="20"/>
          <w:szCs w:val="20"/>
        </w:rPr>
        <w:t xml:space="preserve"> </w:t>
      </w:r>
      <w:r w:rsidR="0076621E" w:rsidRPr="00C10A1B">
        <w:rPr>
          <w:rFonts w:ascii="Arial" w:eastAsia="Times New Roman" w:hAnsi="Arial" w:cs="Arial"/>
          <w:iCs/>
          <w:sz w:val="20"/>
          <w:szCs w:val="20"/>
        </w:rPr>
        <w:t xml:space="preserve">field (one each in FAN, FAN South and </w:t>
      </w:r>
      <w:proofErr w:type="spellStart"/>
      <w:r w:rsidR="00D947C1" w:rsidRPr="00C10A1B">
        <w:rPr>
          <w:rFonts w:ascii="Arial" w:eastAsia="Times New Roman" w:hAnsi="Arial" w:cs="Arial"/>
          <w:iCs/>
          <w:sz w:val="20"/>
          <w:szCs w:val="20"/>
        </w:rPr>
        <w:t>Sangomar</w:t>
      </w:r>
      <w:proofErr w:type="spellEnd"/>
      <w:r w:rsidR="00D947C1" w:rsidRPr="00C10A1B">
        <w:rPr>
          <w:rFonts w:ascii="Arial" w:eastAsia="Times New Roman" w:hAnsi="Arial" w:cs="Arial"/>
          <w:iCs/>
          <w:sz w:val="20"/>
          <w:szCs w:val="20"/>
        </w:rPr>
        <w:t xml:space="preserve"> </w:t>
      </w:r>
      <w:r w:rsidR="0076621E" w:rsidRPr="00C10A1B">
        <w:rPr>
          <w:rFonts w:ascii="Arial" w:eastAsia="Times New Roman" w:hAnsi="Arial" w:cs="Arial"/>
          <w:iCs/>
          <w:sz w:val="20"/>
          <w:szCs w:val="20"/>
        </w:rPr>
        <w:t>North)</w:t>
      </w:r>
    </w:p>
    <w:p w14:paraId="335A01D7" w14:textId="77777777" w:rsidR="00130C85" w:rsidRPr="00C10A1B" w:rsidRDefault="00130C85" w:rsidP="00AA6016">
      <w:pPr>
        <w:spacing w:after="0" w:line="240" w:lineRule="auto"/>
        <w:jc w:val="both"/>
        <w:rPr>
          <w:rFonts w:ascii="Arial" w:eastAsia="Times New Roman" w:hAnsi="Arial" w:cs="Arial"/>
          <w:iCs/>
          <w:sz w:val="20"/>
          <w:szCs w:val="20"/>
        </w:rPr>
      </w:pPr>
    </w:p>
    <w:p w14:paraId="593A039A" w14:textId="77777777" w:rsidR="00C23D4F" w:rsidRPr="00C10A1B" w:rsidRDefault="00D947C1" w:rsidP="00AA6016">
      <w:pPr>
        <w:spacing w:after="0" w:line="240" w:lineRule="auto"/>
        <w:jc w:val="both"/>
        <w:rPr>
          <w:rFonts w:ascii="Arial" w:eastAsia="Times New Roman" w:hAnsi="Arial" w:cs="Arial"/>
          <w:iCs/>
          <w:sz w:val="20"/>
          <w:szCs w:val="20"/>
        </w:rPr>
      </w:pPr>
      <w:r w:rsidRPr="00C10A1B">
        <w:rPr>
          <w:rFonts w:ascii="Arial" w:eastAsia="Times New Roman" w:hAnsi="Arial" w:cs="Arial"/>
          <w:iCs/>
          <w:sz w:val="20"/>
          <w:szCs w:val="20"/>
        </w:rPr>
        <w:lastRenderedPageBreak/>
        <w:t xml:space="preserve">Phase 1 of the FAN South-1 and SNE North-1 evaluation programmes for areas outside the proposed </w:t>
      </w:r>
      <w:proofErr w:type="spellStart"/>
      <w:r w:rsidRPr="00C10A1B">
        <w:rPr>
          <w:rFonts w:ascii="Arial" w:eastAsia="Times New Roman" w:hAnsi="Arial" w:cs="Arial"/>
          <w:iCs/>
          <w:sz w:val="20"/>
          <w:szCs w:val="20"/>
        </w:rPr>
        <w:t>Sangomar</w:t>
      </w:r>
      <w:proofErr w:type="spellEnd"/>
      <w:r w:rsidRPr="00C10A1B">
        <w:rPr>
          <w:rFonts w:ascii="Arial" w:eastAsia="Times New Roman" w:hAnsi="Arial" w:cs="Arial"/>
          <w:iCs/>
          <w:sz w:val="20"/>
          <w:szCs w:val="20"/>
        </w:rPr>
        <w:t xml:space="preserve"> exploitation area were agreed with the Ministry </w:t>
      </w:r>
      <w:r w:rsidR="00C23D4F" w:rsidRPr="00C10A1B">
        <w:rPr>
          <w:rFonts w:ascii="Arial" w:eastAsia="Times New Roman" w:hAnsi="Arial" w:cs="Arial"/>
          <w:iCs/>
          <w:sz w:val="20"/>
          <w:szCs w:val="20"/>
        </w:rPr>
        <w:t>of Petroleum and Energy of the Republic of</w:t>
      </w:r>
    </w:p>
    <w:p w14:paraId="3C2FAEB9" w14:textId="746612C2" w:rsidR="00D947C1" w:rsidRPr="00C10A1B" w:rsidRDefault="00C23D4F" w:rsidP="00AA6016">
      <w:pPr>
        <w:spacing w:after="0" w:line="240" w:lineRule="auto"/>
        <w:jc w:val="both"/>
        <w:rPr>
          <w:rFonts w:ascii="Arial" w:eastAsia="Times New Roman" w:hAnsi="Arial" w:cs="Arial"/>
          <w:iCs/>
          <w:sz w:val="20"/>
          <w:szCs w:val="20"/>
        </w:rPr>
      </w:pPr>
      <w:r w:rsidRPr="00C10A1B">
        <w:rPr>
          <w:rFonts w:ascii="Arial" w:eastAsia="Times New Roman" w:hAnsi="Arial" w:cs="Arial"/>
          <w:iCs/>
          <w:sz w:val="20"/>
          <w:szCs w:val="20"/>
        </w:rPr>
        <w:t xml:space="preserve">Senegal </w:t>
      </w:r>
      <w:r w:rsidR="00D947C1" w:rsidRPr="00C10A1B">
        <w:rPr>
          <w:rFonts w:ascii="Arial" w:eastAsia="Times New Roman" w:hAnsi="Arial" w:cs="Arial"/>
          <w:iCs/>
          <w:sz w:val="20"/>
          <w:szCs w:val="20"/>
        </w:rPr>
        <w:t>and completed in January 2019. Evaluation extension programs for these areas and FAN were requested by the RSSD JV, and on 16</w:t>
      </w:r>
      <w:r w:rsidR="009B5796" w:rsidRPr="009B5796">
        <w:rPr>
          <w:rFonts w:ascii="Arial" w:eastAsia="Times New Roman" w:hAnsi="Arial" w:cs="Arial"/>
          <w:iCs/>
          <w:sz w:val="20"/>
          <w:szCs w:val="20"/>
          <w:vertAlign w:val="superscript"/>
        </w:rPr>
        <w:t>th</w:t>
      </w:r>
      <w:r w:rsidR="009B5796">
        <w:rPr>
          <w:rFonts w:ascii="Arial" w:eastAsia="Times New Roman" w:hAnsi="Arial" w:cs="Arial"/>
          <w:iCs/>
          <w:sz w:val="20"/>
          <w:szCs w:val="20"/>
        </w:rPr>
        <w:t xml:space="preserve"> </w:t>
      </w:r>
      <w:r w:rsidR="00D947C1" w:rsidRPr="00C10A1B">
        <w:rPr>
          <w:rFonts w:ascii="Arial" w:eastAsia="Times New Roman" w:hAnsi="Arial" w:cs="Arial"/>
          <w:iCs/>
          <w:sz w:val="20"/>
          <w:szCs w:val="20"/>
        </w:rPr>
        <w:t>October 2019 the Minister issued a decree granting a two</w:t>
      </w:r>
      <w:r w:rsidR="006C54CB">
        <w:rPr>
          <w:rFonts w:ascii="Arial" w:eastAsia="Times New Roman" w:hAnsi="Arial" w:cs="Arial"/>
          <w:iCs/>
          <w:sz w:val="20"/>
          <w:szCs w:val="20"/>
        </w:rPr>
        <w:t>-</w:t>
      </w:r>
      <w:r w:rsidR="00D947C1" w:rsidRPr="00C10A1B">
        <w:rPr>
          <w:rFonts w:ascii="Arial" w:eastAsia="Times New Roman" w:hAnsi="Arial" w:cs="Arial"/>
          <w:iCs/>
          <w:sz w:val="20"/>
          <w:szCs w:val="20"/>
        </w:rPr>
        <w:t xml:space="preserve">year extension of the RSSD PSC exploration period covering the FAN and </w:t>
      </w:r>
      <w:proofErr w:type="spellStart"/>
      <w:r w:rsidR="00D947C1" w:rsidRPr="00C10A1B">
        <w:rPr>
          <w:rFonts w:ascii="Arial" w:eastAsia="Times New Roman" w:hAnsi="Arial" w:cs="Arial"/>
          <w:iCs/>
          <w:sz w:val="20"/>
          <w:szCs w:val="20"/>
        </w:rPr>
        <w:t>Sangomar</w:t>
      </w:r>
      <w:proofErr w:type="spellEnd"/>
      <w:r w:rsidR="00D947C1" w:rsidRPr="00C10A1B">
        <w:rPr>
          <w:rFonts w:ascii="Arial" w:eastAsia="Times New Roman" w:hAnsi="Arial" w:cs="Arial"/>
          <w:iCs/>
          <w:sz w:val="20"/>
          <w:szCs w:val="20"/>
        </w:rPr>
        <w:t xml:space="preserve"> North/SPICA areas. The grant of this extension included a commitment by the RSSD JV to drill at least one exploration or appraisal well on the relevant acreage.</w:t>
      </w:r>
    </w:p>
    <w:p w14:paraId="32F576AA" w14:textId="77777777" w:rsidR="00C72921" w:rsidRPr="00C10A1B" w:rsidRDefault="00C72921" w:rsidP="00C20C40">
      <w:pPr>
        <w:pStyle w:val="bb"/>
        <w:rPr>
          <w:i/>
          <w:color w:val="000000"/>
        </w:rPr>
      </w:pPr>
    </w:p>
    <w:p w14:paraId="2B323434" w14:textId="29309886" w:rsidR="0076621E" w:rsidRPr="00C10A1B" w:rsidRDefault="009208A4" w:rsidP="00C20C40">
      <w:pPr>
        <w:pStyle w:val="bb"/>
        <w:rPr>
          <w:i/>
          <w:color w:val="000000"/>
        </w:rPr>
      </w:pPr>
      <w:r w:rsidRPr="00C10A1B">
        <w:rPr>
          <w:i/>
          <w:color w:val="000000"/>
        </w:rPr>
        <w:t xml:space="preserve">Approval of </w:t>
      </w:r>
      <w:proofErr w:type="spellStart"/>
      <w:r w:rsidRPr="00C10A1B">
        <w:rPr>
          <w:i/>
          <w:color w:val="000000"/>
        </w:rPr>
        <w:t>San</w:t>
      </w:r>
      <w:r w:rsidR="00E52DF0" w:rsidRPr="00C10A1B">
        <w:rPr>
          <w:i/>
          <w:color w:val="000000"/>
        </w:rPr>
        <w:t>g</w:t>
      </w:r>
      <w:r w:rsidRPr="00C10A1B">
        <w:rPr>
          <w:i/>
          <w:color w:val="000000"/>
        </w:rPr>
        <w:t>omar</w:t>
      </w:r>
      <w:proofErr w:type="spellEnd"/>
      <w:r w:rsidRPr="00C10A1B">
        <w:rPr>
          <w:i/>
          <w:color w:val="000000"/>
        </w:rPr>
        <w:t xml:space="preserve"> </w:t>
      </w:r>
      <w:r w:rsidR="0076621E" w:rsidRPr="00C10A1B">
        <w:rPr>
          <w:i/>
          <w:color w:val="000000"/>
        </w:rPr>
        <w:t>Exploitation Plan</w:t>
      </w:r>
      <w:r w:rsidRPr="00C10A1B">
        <w:rPr>
          <w:i/>
          <w:color w:val="000000"/>
        </w:rPr>
        <w:t xml:space="preserve"> and grant of Exploitation Authorisation</w:t>
      </w:r>
    </w:p>
    <w:p w14:paraId="67088632" w14:textId="77777777" w:rsidR="009208A4" w:rsidRPr="00C10A1B" w:rsidRDefault="009208A4" w:rsidP="009208A4">
      <w:pPr>
        <w:spacing w:after="0" w:line="240" w:lineRule="auto"/>
        <w:jc w:val="both"/>
        <w:rPr>
          <w:rFonts w:ascii="Arial" w:eastAsia="Times New Roman" w:hAnsi="Arial" w:cs="Arial"/>
          <w:iCs/>
          <w:sz w:val="20"/>
          <w:szCs w:val="20"/>
        </w:rPr>
      </w:pPr>
    </w:p>
    <w:p w14:paraId="452757AC" w14:textId="7EDEAB9D" w:rsidR="009208A4" w:rsidRPr="00C10A1B" w:rsidRDefault="009208A4" w:rsidP="009208A4">
      <w:pPr>
        <w:spacing w:after="0" w:line="240" w:lineRule="auto"/>
        <w:jc w:val="both"/>
        <w:rPr>
          <w:rFonts w:ascii="Arial" w:eastAsia="Times New Roman" w:hAnsi="Arial" w:cs="Arial"/>
          <w:iCs/>
          <w:sz w:val="20"/>
          <w:szCs w:val="20"/>
        </w:rPr>
      </w:pPr>
      <w:r w:rsidRPr="00C10A1B">
        <w:rPr>
          <w:rFonts w:ascii="Arial" w:eastAsia="Times New Roman" w:hAnsi="Arial" w:cs="Arial"/>
          <w:iCs/>
          <w:sz w:val="20"/>
          <w:szCs w:val="20"/>
        </w:rPr>
        <w:t>On 2</w:t>
      </w:r>
      <w:r w:rsidR="009B5796" w:rsidRPr="009B5796">
        <w:rPr>
          <w:rFonts w:ascii="Arial" w:eastAsia="Times New Roman" w:hAnsi="Arial" w:cs="Arial"/>
          <w:iCs/>
          <w:sz w:val="20"/>
          <w:szCs w:val="20"/>
          <w:vertAlign w:val="superscript"/>
        </w:rPr>
        <w:t>nd</w:t>
      </w:r>
      <w:r w:rsidR="009B5796">
        <w:rPr>
          <w:rFonts w:ascii="Arial" w:eastAsia="Times New Roman" w:hAnsi="Arial" w:cs="Arial"/>
          <w:iCs/>
          <w:sz w:val="20"/>
          <w:szCs w:val="20"/>
        </w:rPr>
        <w:t xml:space="preserve"> </w:t>
      </w:r>
      <w:r w:rsidRPr="00C10A1B">
        <w:rPr>
          <w:rFonts w:ascii="Arial" w:eastAsia="Times New Roman" w:hAnsi="Arial" w:cs="Arial"/>
          <w:iCs/>
          <w:sz w:val="20"/>
          <w:szCs w:val="20"/>
        </w:rPr>
        <w:t xml:space="preserve">December 2019, the RSSD JV submitted to the Minister the final </w:t>
      </w:r>
      <w:proofErr w:type="spellStart"/>
      <w:r w:rsidRPr="00C10A1B">
        <w:rPr>
          <w:rFonts w:ascii="Arial" w:eastAsia="Times New Roman" w:hAnsi="Arial" w:cs="Arial"/>
          <w:iCs/>
          <w:sz w:val="20"/>
          <w:szCs w:val="20"/>
        </w:rPr>
        <w:t>Sangomar</w:t>
      </w:r>
      <w:proofErr w:type="spellEnd"/>
      <w:r w:rsidRPr="00C10A1B">
        <w:rPr>
          <w:rFonts w:ascii="Arial" w:eastAsia="Times New Roman" w:hAnsi="Arial" w:cs="Arial"/>
          <w:iCs/>
          <w:sz w:val="20"/>
          <w:szCs w:val="20"/>
        </w:rPr>
        <w:t xml:space="preserve"> Exploitation Plan and the corresponding application for an exploitation authorisation for </w:t>
      </w:r>
      <w:proofErr w:type="spellStart"/>
      <w:r w:rsidRPr="00C10A1B">
        <w:rPr>
          <w:rFonts w:ascii="Arial" w:eastAsia="Times New Roman" w:hAnsi="Arial" w:cs="Arial"/>
          <w:iCs/>
          <w:sz w:val="20"/>
          <w:szCs w:val="20"/>
        </w:rPr>
        <w:t>Sangomar</w:t>
      </w:r>
      <w:proofErr w:type="spellEnd"/>
      <w:r w:rsidRPr="00C10A1B">
        <w:rPr>
          <w:rFonts w:ascii="Arial" w:eastAsia="Times New Roman" w:hAnsi="Arial" w:cs="Arial"/>
          <w:iCs/>
          <w:sz w:val="20"/>
          <w:szCs w:val="20"/>
        </w:rPr>
        <w:t>, covering the exploitation area. On 8</w:t>
      </w:r>
      <w:r w:rsidR="009B5796" w:rsidRPr="009B5796">
        <w:rPr>
          <w:rFonts w:ascii="Arial" w:eastAsia="Times New Roman" w:hAnsi="Arial" w:cs="Arial"/>
          <w:iCs/>
          <w:sz w:val="20"/>
          <w:szCs w:val="20"/>
          <w:vertAlign w:val="superscript"/>
        </w:rPr>
        <w:t>th</w:t>
      </w:r>
      <w:r w:rsidR="009B5796">
        <w:rPr>
          <w:rFonts w:ascii="Arial" w:eastAsia="Times New Roman" w:hAnsi="Arial" w:cs="Arial"/>
          <w:iCs/>
          <w:sz w:val="20"/>
          <w:szCs w:val="20"/>
        </w:rPr>
        <w:t xml:space="preserve"> </w:t>
      </w:r>
      <w:r w:rsidRPr="00C10A1B">
        <w:rPr>
          <w:rFonts w:ascii="Arial" w:eastAsia="Times New Roman" w:hAnsi="Arial" w:cs="Arial"/>
          <w:iCs/>
          <w:sz w:val="20"/>
          <w:szCs w:val="20"/>
        </w:rPr>
        <w:t>January 2020 Woodside notified Ca</w:t>
      </w:r>
      <w:r w:rsidR="006C54CB">
        <w:rPr>
          <w:rFonts w:ascii="Arial" w:eastAsia="Times New Roman" w:hAnsi="Arial" w:cs="Arial"/>
          <w:iCs/>
          <w:sz w:val="20"/>
          <w:szCs w:val="20"/>
        </w:rPr>
        <w:t>pricorn S</w:t>
      </w:r>
      <w:r w:rsidRPr="00C10A1B">
        <w:rPr>
          <w:rFonts w:ascii="Arial" w:eastAsia="Times New Roman" w:hAnsi="Arial" w:cs="Arial"/>
          <w:iCs/>
          <w:sz w:val="20"/>
          <w:szCs w:val="20"/>
        </w:rPr>
        <w:t xml:space="preserve">enegal that the government of Senegal had approved the </w:t>
      </w:r>
      <w:proofErr w:type="spellStart"/>
      <w:r w:rsidRPr="00C10A1B">
        <w:rPr>
          <w:rFonts w:ascii="Arial" w:eastAsia="Times New Roman" w:hAnsi="Arial" w:cs="Arial"/>
          <w:iCs/>
          <w:sz w:val="20"/>
          <w:szCs w:val="20"/>
        </w:rPr>
        <w:t>Sangomar</w:t>
      </w:r>
      <w:proofErr w:type="spellEnd"/>
      <w:r w:rsidRPr="00C10A1B">
        <w:rPr>
          <w:rFonts w:ascii="Arial" w:eastAsia="Times New Roman" w:hAnsi="Arial" w:cs="Arial"/>
          <w:iCs/>
          <w:sz w:val="20"/>
          <w:szCs w:val="20"/>
        </w:rPr>
        <w:t xml:space="preserve"> Exploitation Plan and granted the exploitation authorisation. The effective date of the </w:t>
      </w:r>
      <w:proofErr w:type="spellStart"/>
      <w:r w:rsidRPr="00C10A1B">
        <w:rPr>
          <w:rFonts w:ascii="Arial" w:eastAsia="Times New Roman" w:hAnsi="Arial" w:cs="Arial"/>
          <w:iCs/>
          <w:sz w:val="20"/>
          <w:szCs w:val="20"/>
        </w:rPr>
        <w:t>Sangomar</w:t>
      </w:r>
      <w:proofErr w:type="spellEnd"/>
      <w:r w:rsidRPr="00C10A1B">
        <w:rPr>
          <w:rFonts w:ascii="Arial" w:eastAsia="Times New Roman" w:hAnsi="Arial" w:cs="Arial"/>
          <w:iCs/>
          <w:sz w:val="20"/>
          <w:szCs w:val="20"/>
        </w:rPr>
        <w:t xml:space="preserve"> exploitation authorisation was</w:t>
      </w:r>
      <w:r w:rsidR="004A5C1B" w:rsidRPr="00C10A1B">
        <w:rPr>
          <w:rFonts w:ascii="Arial" w:eastAsia="Times New Roman" w:hAnsi="Arial" w:cs="Arial"/>
          <w:iCs/>
          <w:sz w:val="20"/>
          <w:szCs w:val="20"/>
        </w:rPr>
        <w:t xml:space="preserve"> 8</w:t>
      </w:r>
      <w:r w:rsidR="00110B9C" w:rsidRPr="00110B9C">
        <w:rPr>
          <w:rFonts w:ascii="Arial" w:eastAsia="Times New Roman" w:hAnsi="Arial" w:cs="Arial"/>
          <w:iCs/>
          <w:sz w:val="20"/>
          <w:szCs w:val="20"/>
          <w:vertAlign w:val="superscript"/>
        </w:rPr>
        <w:t>th</w:t>
      </w:r>
      <w:r w:rsidR="00110B9C">
        <w:rPr>
          <w:rFonts w:ascii="Arial" w:eastAsia="Times New Roman" w:hAnsi="Arial" w:cs="Arial"/>
          <w:iCs/>
          <w:sz w:val="20"/>
          <w:szCs w:val="20"/>
        </w:rPr>
        <w:t xml:space="preserve"> </w:t>
      </w:r>
      <w:r w:rsidR="004A5C1B" w:rsidRPr="00C10A1B">
        <w:rPr>
          <w:rFonts w:ascii="Arial" w:eastAsia="Times New Roman" w:hAnsi="Arial" w:cs="Arial"/>
          <w:iCs/>
          <w:sz w:val="20"/>
          <w:szCs w:val="20"/>
        </w:rPr>
        <w:t xml:space="preserve">January </w:t>
      </w:r>
      <w:r w:rsidRPr="00C10A1B">
        <w:rPr>
          <w:rFonts w:ascii="Arial" w:eastAsia="Times New Roman" w:hAnsi="Arial" w:cs="Arial"/>
          <w:iCs/>
          <w:sz w:val="20"/>
          <w:szCs w:val="20"/>
        </w:rPr>
        <w:t>2020, from which date the initial 25</w:t>
      </w:r>
      <w:r w:rsidR="006C54CB">
        <w:rPr>
          <w:rFonts w:ascii="Arial" w:eastAsia="Times New Roman" w:hAnsi="Arial" w:cs="Arial"/>
          <w:iCs/>
          <w:sz w:val="20"/>
          <w:szCs w:val="20"/>
        </w:rPr>
        <w:t>-</w:t>
      </w:r>
      <w:r w:rsidRPr="00C10A1B">
        <w:rPr>
          <w:rFonts w:ascii="Arial" w:eastAsia="Times New Roman" w:hAnsi="Arial" w:cs="Arial"/>
          <w:iCs/>
          <w:sz w:val="20"/>
          <w:szCs w:val="20"/>
        </w:rPr>
        <w:t xml:space="preserve">year exploitation period for </w:t>
      </w:r>
      <w:proofErr w:type="spellStart"/>
      <w:r w:rsidRPr="00C10A1B">
        <w:rPr>
          <w:rFonts w:ascii="Arial" w:eastAsia="Times New Roman" w:hAnsi="Arial" w:cs="Arial"/>
          <w:iCs/>
          <w:sz w:val="20"/>
          <w:szCs w:val="20"/>
        </w:rPr>
        <w:t>Sangomar</w:t>
      </w:r>
      <w:proofErr w:type="spellEnd"/>
      <w:r w:rsidRPr="00C10A1B">
        <w:rPr>
          <w:rFonts w:ascii="Arial" w:eastAsia="Times New Roman" w:hAnsi="Arial" w:cs="Arial"/>
          <w:iCs/>
          <w:sz w:val="20"/>
          <w:szCs w:val="20"/>
        </w:rPr>
        <w:t xml:space="preserve"> commenced under the RSSD PSC. The </w:t>
      </w:r>
      <w:proofErr w:type="spellStart"/>
      <w:r w:rsidRPr="00C10A1B">
        <w:rPr>
          <w:rFonts w:ascii="Arial" w:eastAsia="Times New Roman" w:hAnsi="Arial" w:cs="Arial"/>
          <w:iCs/>
          <w:sz w:val="20"/>
          <w:szCs w:val="20"/>
        </w:rPr>
        <w:t>Sangomar</w:t>
      </w:r>
      <w:proofErr w:type="spellEnd"/>
      <w:r w:rsidRPr="00C10A1B">
        <w:rPr>
          <w:rFonts w:ascii="Arial" w:eastAsia="Times New Roman" w:hAnsi="Arial" w:cs="Arial"/>
          <w:iCs/>
          <w:sz w:val="20"/>
          <w:szCs w:val="20"/>
        </w:rPr>
        <w:t xml:space="preserve"> Exploitation Plan, as approved, envisages a phased development, allowing installation of foundation elements of the overall development through Phase 1 and incorporating the flexibility of future oil phases as well as the opportunity to bring domestic gas to shore. The </w:t>
      </w:r>
      <w:proofErr w:type="spellStart"/>
      <w:r w:rsidRPr="00C10A1B">
        <w:rPr>
          <w:rFonts w:ascii="Arial" w:eastAsia="Times New Roman" w:hAnsi="Arial" w:cs="Arial"/>
          <w:iCs/>
          <w:sz w:val="20"/>
          <w:szCs w:val="20"/>
        </w:rPr>
        <w:t>Sangomar</w:t>
      </w:r>
      <w:proofErr w:type="spellEnd"/>
      <w:r w:rsidRPr="00C10A1B">
        <w:rPr>
          <w:rFonts w:ascii="Arial" w:eastAsia="Times New Roman" w:hAnsi="Arial" w:cs="Arial"/>
          <w:iCs/>
          <w:sz w:val="20"/>
          <w:szCs w:val="20"/>
        </w:rPr>
        <w:t xml:space="preserve"> development concept for the life of the project is a standalone FPSO vessel facility with a capacity of around 100,000 </w:t>
      </w:r>
      <w:proofErr w:type="spellStart"/>
      <w:r w:rsidRPr="00C10A1B">
        <w:rPr>
          <w:rFonts w:ascii="Arial" w:eastAsia="Times New Roman" w:hAnsi="Arial" w:cs="Arial"/>
          <w:iCs/>
          <w:sz w:val="20"/>
          <w:szCs w:val="20"/>
        </w:rPr>
        <w:t>bopd</w:t>
      </w:r>
      <w:proofErr w:type="spellEnd"/>
      <w:r w:rsidRPr="00C10A1B">
        <w:rPr>
          <w:rFonts w:ascii="Arial" w:eastAsia="Times New Roman" w:hAnsi="Arial" w:cs="Arial"/>
          <w:iCs/>
          <w:sz w:val="20"/>
          <w:szCs w:val="20"/>
        </w:rPr>
        <w:t xml:space="preserve"> and supporting subsea infrastructure, with up to 23 subsea wells drilled during Phase 1 of the development. Phase 1 of the </w:t>
      </w:r>
      <w:proofErr w:type="spellStart"/>
      <w:r w:rsidRPr="00C10A1B">
        <w:rPr>
          <w:rFonts w:ascii="Arial" w:eastAsia="Times New Roman" w:hAnsi="Arial" w:cs="Arial"/>
          <w:iCs/>
          <w:sz w:val="20"/>
          <w:szCs w:val="20"/>
        </w:rPr>
        <w:t>Sangomar</w:t>
      </w:r>
      <w:proofErr w:type="spellEnd"/>
      <w:r w:rsidRPr="00C10A1B">
        <w:rPr>
          <w:rFonts w:ascii="Arial" w:eastAsia="Times New Roman" w:hAnsi="Arial" w:cs="Arial"/>
          <w:iCs/>
          <w:sz w:val="20"/>
          <w:szCs w:val="20"/>
        </w:rPr>
        <w:t xml:space="preserve"> Exploitation Plan has been designed to allow for the integration of subsequent </w:t>
      </w:r>
      <w:proofErr w:type="spellStart"/>
      <w:r w:rsidRPr="00C10A1B">
        <w:rPr>
          <w:rFonts w:ascii="Arial" w:eastAsia="Times New Roman" w:hAnsi="Arial" w:cs="Arial"/>
          <w:iCs/>
          <w:sz w:val="20"/>
          <w:szCs w:val="20"/>
        </w:rPr>
        <w:t>Sangomar</w:t>
      </w:r>
      <w:proofErr w:type="spellEnd"/>
      <w:r w:rsidRPr="00C10A1B">
        <w:rPr>
          <w:rFonts w:ascii="Arial" w:eastAsia="Times New Roman" w:hAnsi="Arial" w:cs="Arial"/>
          <w:iCs/>
          <w:sz w:val="20"/>
          <w:szCs w:val="20"/>
        </w:rPr>
        <w:t xml:space="preserve"> development phases, including options for gas export to shore and future subsea tiebacks from other reservoirs and fields.</w:t>
      </w:r>
    </w:p>
    <w:p w14:paraId="52DC939B" w14:textId="73178DF4" w:rsidR="00C27490" w:rsidRPr="00C10A1B" w:rsidRDefault="00C27490" w:rsidP="009208A4">
      <w:pPr>
        <w:spacing w:after="0" w:line="240" w:lineRule="auto"/>
        <w:jc w:val="both"/>
        <w:rPr>
          <w:rFonts w:ascii="Arial" w:eastAsia="Times New Roman" w:hAnsi="Arial" w:cs="Arial"/>
          <w:iCs/>
          <w:sz w:val="20"/>
          <w:szCs w:val="20"/>
        </w:rPr>
      </w:pPr>
    </w:p>
    <w:p w14:paraId="6E56A514" w14:textId="15949299" w:rsidR="00C27490" w:rsidRPr="00C10A1B" w:rsidRDefault="00C27490" w:rsidP="00EF6256">
      <w:pPr>
        <w:spacing w:after="0" w:line="240" w:lineRule="auto"/>
        <w:jc w:val="both"/>
        <w:rPr>
          <w:rFonts w:ascii="Arial" w:eastAsia="Times New Roman" w:hAnsi="Arial" w:cs="Arial"/>
          <w:iCs/>
          <w:sz w:val="20"/>
          <w:szCs w:val="20"/>
        </w:rPr>
      </w:pPr>
      <w:r w:rsidRPr="00C10A1B">
        <w:rPr>
          <w:rFonts w:ascii="Arial" w:eastAsia="Times New Roman" w:hAnsi="Arial" w:cs="Arial"/>
          <w:iCs/>
          <w:sz w:val="20"/>
          <w:szCs w:val="20"/>
        </w:rPr>
        <w:t xml:space="preserve">The project has now entered the development execution phase of activities and Operator Woodside has completed the purchase contract for the FPSO facility and issued full notices to proceed for the drilling and subsea construction and installation contracts.  </w:t>
      </w:r>
    </w:p>
    <w:p w14:paraId="115A497C" w14:textId="1805CA06" w:rsidR="00AD64B8" w:rsidRPr="00C10A1B" w:rsidRDefault="006B331D" w:rsidP="008B19FC">
      <w:pPr>
        <w:pStyle w:val="NormalWeb"/>
        <w:keepNext/>
        <w:spacing w:before="240" w:beforeAutospacing="0" w:after="0" w:afterAutospacing="0"/>
        <w:jc w:val="both"/>
        <w:rPr>
          <w:rFonts w:ascii="Arial" w:hAnsi="Arial" w:cs="Arial"/>
          <w:b/>
          <w:sz w:val="20"/>
          <w:szCs w:val="20"/>
        </w:rPr>
      </w:pPr>
      <w:r w:rsidRPr="00C10A1B">
        <w:rPr>
          <w:rFonts w:ascii="Arial" w:hAnsi="Arial" w:cs="Arial"/>
          <w:b/>
          <w:sz w:val="20"/>
          <w:szCs w:val="20"/>
        </w:rPr>
        <w:t>Estimated</w:t>
      </w:r>
      <w:r w:rsidR="00AD64B8" w:rsidRPr="00C10A1B">
        <w:rPr>
          <w:rFonts w:ascii="Arial" w:hAnsi="Arial" w:cs="Arial"/>
          <w:b/>
          <w:sz w:val="20"/>
          <w:szCs w:val="20"/>
        </w:rPr>
        <w:t xml:space="preserve"> Reserves and Resources</w:t>
      </w:r>
    </w:p>
    <w:p w14:paraId="1098BA05" w14:textId="2675E24E" w:rsidR="00FF1317" w:rsidRPr="00C10A1B" w:rsidRDefault="005459E7" w:rsidP="008B19FC">
      <w:pPr>
        <w:pStyle w:val="NormalWeb"/>
        <w:spacing w:before="240" w:beforeAutospacing="0" w:after="0" w:afterAutospacing="0"/>
        <w:jc w:val="both"/>
        <w:rPr>
          <w:rFonts w:ascii="Arial" w:hAnsi="Arial" w:cs="Arial"/>
          <w:sz w:val="20"/>
          <w:szCs w:val="20"/>
        </w:rPr>
      </w:pPr>
      <w:r>
        <w:rPr>
          <w:rFonts w:ascii="Arial" w:hAnsi="Arial" w:cs="Arial"/>
          <w:sz w:val="20"/>
          <w:szCs w:val="20"/>
        </w:rPr>
        <w:t>I</w:t>
      </w:r>
      <w:r w:rsidR="00FF1317" w:rsidRPr="00C10A1B">
        <w:rPr>
          <w:rFonts w:ascii="Arial" w:hAnsi="Arial" w:cs="Arial"/>
          <w:sz w:val="20"/>
          <w:szCs w:val="20"/>
        </w:rPr>
        <w:t>n its 2019 Annual Report, the Group reported the following 2P reserves and 2C resou</w:t>
      </w:r>
      <w:r w:rsidR="00B42D92">
        <w:rPr>
          <w:rFonts w:ascii="Arial" w:hAnsi="Arial" w:cs="Arial"/>
          <w:sz w:val="20"/>
          <w:szCs w:val="20"/>
        </w:rPr>
        <w:t>r</w:t>
      </w:r>
      <w:r w:rsidR="00FF1317" w:rsidRPr="00C10A1B">
        <w:rPr>
          <w:rFonts w:ascii="Arial" w:hAnsi="Arial" w:cs="Arial"/>
          <w:sz w:val="20"/>
          <w:szCs w:val="20"/>
        </w:rPr>
        <w:t xml:space="preserve">ces relating to its participating interest in the </w:t>
      </w:r>
      <w:proofErr w:type="spellStart"/>
      <w:r w:rsidR="00FF1317" w:rsidRPr="00C10A1B">
        <w:rPr>
          <w:rFonts w:ascii="Arial" w:hAnsi="Arial" w:cs="Arial"/>
          <w:sz w:val="20"/>
          <w:szCs w:val="20"/>
        </w:rPr>
        <w:t>Sangomar</w:t>
      </w:r>
      <w:proofErr w:type="spellEnd"/>
      <w:r w:rsidR="00FF1317" w:rsidRPr="00C10A1B">
        <w:rPr>
          <w:rFonts w:ascii="Arial" w:hAnsi="Arial" w:cs="Arial"/>
          <w:sz w:val="20"/>
          <w:szCs w:val="20"/>
        </w:rPr>
        <w:t xml:space="preserve"> project (being 36.4% on the assumption that </w:t>
      </w:r>
      <w:proofErr w:type="spellStart"/>
      <w:r w:rsidR="00FF1317" w:rsidRPr="00C10A1B">
        <w:rPr>
          <w:rFonts w:ascii="Arial" w:hAnsi="Arial" w:cs="Arial"/>
          <w:sz w:val="20"/>
          <w:szCs w:val="20"/>
        </w:rPr>
        <w:t>Petrosen</w:t>
      </w:r>
      <w:proofErr w:type="spellEnd"/>
      <w:r w:rsidR="00FF1317" w:rsidRPr="00C10A1B">
        <w:rPr>
          <w:rFonts w:ascii="Arial" w:hAnsi="Arial" w:cs="Arial"/>
          <w:sz w:val="20"/>
          <w:szCs w:val="20"/>
        </w:rPr>
        <w:t xml:space="preserve"> will exercise its right to increase its participating interest from 10% to 18%):</w:t>
      </w:r>
    </w:p>
    <w:p w14:paraId="45AD2187" w14:textId="02EBC692" w:rsidR="00FF1317" w:rsidRPr="00C10A1B" w:rsidRDefault="007840AE" w:rsidP="00600193">
      <w:pPr>
        <w:pStyle w:val="NormalWeb"/>
        <w:spacing w:before="240" w:beforeAutospacing="0" w:after="0" w:afterAutospacing="0"/>
        <w:jc w:val="center"/>
        <w:rPr>
          <w:rFonts w:ascii="Arial" w:hAnsi="Arial" w:cs="Arial"/>
          <w:sz w:val="20"/>
          <w:szCs w:val="20"/>
          <w:u w:val="single"/>
        </w:rPr>
      </w:pPr>
      <w:r>
        <w:rPr>
          <w:rFonts w:ascii="Arial" w:hAnsi="Arial" w:cs="Arial"/>
          <w:noProof/>
          <w:sz w:val="20"/>
          <w:szCs w:val="20"/>
          <w:u w:val="single"/>
        </w:rPr>
        <mc:AlternateContent>
          <mc:Choice Requires="wps">
            <w:drawing>
              <wp:anchor distT="0" distB="0" distL="114300" distR="114300" simplePos="0" relativeHeight="251657216" behindDoc="0" locked="0" layoutInCell="1" allowOverlap="1" wp14:anchorId="2A2D7601" wp14:editId="54837127">
                <wp:simplePos x="0" y="0"/>
                <wp:positionH relativeFrom="column">
                  <wp:posOffset>421640</wp:posOffset>
                </wp:positionH>
                <wp:positionV relativeFrom="paragraph">
                  <wp:posOffset>115570</wp:posOffset>
                </wp:positionV>
                <wp:extent cx="5311030" cy="1502796"/>
                <wp:effectExtent l="0" t="0" r="23495" b="21590"/>
                <wp:wrapNone/>
                <wp:docPr id="10" name="Rectangle 10"/>
                <wp:cNvGraphicFramePr/>
                <a:graphic xmlns:a="http://schemas.openxmlformats.org/drawingml/2006/main">
                  <a:graphicData uri="http://schemas.microsoft.com/office/word/2010/wordprocessingShape">
                    <wps:wsp>
                      <wps:cNvSpPr/>
                      <wps:spPr>
                        <a:xfrm>
                          <a:off x="0" y="0"/>
                          <a:ext cx="5311030" cy="1502796"/>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6127B" id="Rectangle 10" o:spid="_x0000_s1026" style="position:absolute;margin-left:33.2pt;margin-top:9.1pt;width:418.2pt;height:11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" filled="f" strokecolor="black [3213]" strokeweight="1pt"/>
            </w:pict>
          </mc:Fallback>
        </mc:AlternateContent>
      </w:r>
      <w:r w:rsidR="00FF1317" w:rsidRPr="00C10A1B">
        <w:rPr>
          <w:rFonts w:ascii="Arial" w:hAnsi="Arial" w:cs="Arial"/>
          <w:sz w:val="20"/>
          <w:szCs w:val="20"/>
          <w:u w:val="single"/>
        </w:rPr>
        <w:t>Cairn’s reported net reserves and resources</w:t>
      </w:r>
    </w:p>
    <w:tbl>
      <w:tblPr>
        <w:tblW w:w="5780" w:type="dxa"/>
        <w:tblInd w:w="2190" w:type="dxa"/>
        <w:tblLook w:val="04A0" w:firstRow="1" w:lastRow="0" w:firstColumn="1" w:lastColumn="0" w:noHBand="0" w:noVBand="1"/>
      </w:tblPr>
      <w:tblGrid>
        <w:gridCol w:w="1700"/>
        <w:gridCol w:w="1626"/>
        <w:gridCol w:w="1094"/>
        <w:gridCol w:w="1360"/>
      </w:tblGrid>
      <w:tr w:rsidR="00104C12" w:rsidRPr="00C10A1B" w14:paraId="1BB3FBC6" w14:textId="03206CC5" w:rsidTr="00C43C48">
        <w:trPr>
          <w:trHeight w:val="600"/>
        </w:trPr>
        <w:tc>
          <w:tcPr>
            <w:tcW w:w="1700" w:type="dxa"/>
            <w:tcBorders>
              <w:top w:val="nil"/>
              <w:left w:val="nil"/>
              <w:bottom w:val="nil"/>
              <w:right w:val="nil"/>
            </w:tcBorders>
            <w:shd w:val="clear" w:color="auto" w:fill="auto"/>
            <w:vAlign w:val="bottom"/>
            <w:hideMark/>
          </w:tcPr>
          <w:p w14:paraId="0EE4D8D6" w14:textId="77777777" w:rsidR="00104C12" w:rsidRPr="00C10A1B" w:rsidRDefault="00104C12" w:rsidP="000B3C80">
            <w:pPr>
              <w:spacing w:after="0" w:line="240" w:lineRule="auto"/>
              <w:jc w:val="right"/>
              <w:rPr>
                <w:rFonts w:ascii="Arial" w:eastAsia="Times New Roman" w:hAnsi="Arial" w:cs="Arial"/>
                <w:sz w:val="20"/>
                <w:szCs w:val="20"/>
                <w:lang w:eastAsia="en-GB"/>
              </w:rPr>
            </w:pPr>
          </w:p>
        </w:tc>
        <w:tc>
          <w:tcPr>
            <w:tcW w:w="1626" w:type="dxa"/>
            <w:tcBorders>
              <w:top w:val="nil"/>
              <w:left w:val="nil"/>
              <w:bottom w:val="nil"/>
              <w:right w:val="nil"/>
            </w:tcBorders>
            <w:shd w:val="clear" w:color="auto" w:fill="auto"/>
            <w:vAlign w:val="bottom"/>
            <w:hideMark/>
          </w:tcPr>
          <w:p w14:paraId="7C5F325A" w14:textId="65C515DD" w:rsidR="00104C12" w:rsidRPr="00C10A1B" w:rsidRDefault="00104C12" w:rsidP="00FF1317">
            <w:pPr>
              <w:spacing w:after="0" w:line="240" w:lineRule="auto"/>
              <w:jc w:val="right"/>
              <w:rPr>
                <w:rFonts w:ascii="Arial" w:eastAsia="Times New Roman" w:hAnsi="Arial" w:cs="Arial"/>
                <w:color w:val="000000"/>
                <w:sz w:val="20"/>
                <w:szCs w:val="20"/>
                <w:lang w:eastAsia="en-GB"/>
              </w:rPr>
            </w:pPr>
            <w:r w:rsidRPr="00C10A1B">
              <w:rPr>
                <w:rFonts w:ascii="Arial" w:eastAsia="Times New Roman" w:hAnsi="Arial" w:cs="Arial"/>
                <w:color w:val="000000"/>
                <w:sz w:val="20"/>
                <w:szCs w:val="20"/>
                <w:lang w:eastAsia="en-GB"/>
              </w:rPr>
              <w:t>Net 2P reserves</w:t>
            </w:r>
            <w:r>
              <w:rPr>
                <w:rFonts w:ascii="Arial" w:eastAsia="Times New Roman" w:hAnsi="Arial" w:cs="Arial"/>
                <w:color w:val="000000"/>
                <w:sz w:val="20"/>
                <w:szCs w:val="20"/>
                <w:lang w:eastAsia="en-GB"/>
              </w:rPr>
              <w:t xml:space="preserve"> (entitlement interest basis)</w:t>
            </w:r>
          </w:p>
        </w:tc>
        <w:tc>
          <w:tcPr>
            <w:tcW w:w="1094" w:type="dxa"/>
            <w:tcBorders>
              <w:top w:val="nil"/>
              <w:left w:val="nil"/>
              <w:bottom w:val="nil"/>
              <w:right w:val="nil"/>
            </w:tcBorders>
            <w:shd w:val="clear" w:color="auto" w:fill="auto"/>
            <w:vAlign w:val="bottom"/>
            <w:hideMark/>
          </w:tcPr>
          <w:p w14:paraId="6B1B91C4" w14:textId="567E97D6" w:rsidR="00104C12" w:rsidRPr="00C10A1B" w:rsidRDefault="00104C12" w:rsidP="00FF1317">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Net 2P reserves (working interest basis)</w:t>
            </w:r>
          </w:p>
        </w:tc>
        <w:tc>
          <w:tcPr>
            <w:tcW w:w="1360" w:type="dxa"/>
            <w:tcBorders>
              <w:top w:val="nil"/>
              <w:left w:val="nil"/>
              <w:bottom w:val="nil"/>
              <w:right w:val="nil"/>
            </w:tcBorders>
          </w:tcPr>
          <w:p w14:paraId="0DF9800F" w14:textId="374B9EDD" w:rsidR="00104C12" w:rsidRPr="00C10A1B" w:rsidRDefault="00104C12" w:rsidP="00FF1317">
            <w:pPr>
              <w:spacing w:after="0" w:line="240" w:lineRule="auto"/>
              <w:jc w:val="right"/>
              <w:rPr>
                <w:rFonts w:ascii="Arial" w:eastAsia="Times New Roman" w:hAnsi="Arial" w:cs="Arial"/>
                <w:color w:val="000000"/>
                <w:sz w:val="20"/>
                <w:szCs w:val="20"/>
                <w:lang w:eastAsia="en-GB"/>
              </w:rPr>
            </w:pPr>
            <w:r w:rsidRPr="00C10A1B">
              <w:rPr>
                <w:rFonts w:ascii="Arial" w:eastAsia="Times New Roman" w:hAnsi="Arial" w:cs="Arial"/>
                <w:color w:val="000000"/>
                <w:sz w:val="20"/>
                <w:szCs w:val="20"/>
                <w:lang w:eastAsia="en-GB"/>
              </w:rPr>
              <w:t>Net 2C resources</w:t>
            </w:r>
          </w:p>
        </w:tc>
      </w:tr>
      <w:tr w:rsidR="00104C12" w:rsidRPr="00C10A1B" w14:paraId="7421D3E3" w14:textId="37B285A9" w:rsidTr="00C43C48">
        <w:trPr>
          <w:trHeight w:val="300"/>
        </w:trPr>
        <w:tc>
          <w:tcPr>
            <w:tcW w:w="1700" w:type="dxa"/>
            <w:tcBorders>
              <w:top w:val="nil"/>
              <w:left w:val="nil"/>
              <w:bottom w:val="nil"/>
              <w:right w:val="nil"/>
            </w:tcBorders>
            <w:shd w:val="clear" w:color="auto" w:fill="auto"/>
            <w:noWrap/>
            <w:vAlign w:val="bottom"/>
            <w:hideMark/>
          </w:tcPr>
          <w:p w14:paraId="62CEA03D" w14:textId="77777777" w:rsidR="00104C12" w:rsidRPr="00C10A1B" w:rsidRDefault="00104C12" w:rsidP="00FF1317">
            <w:pPr>
              <w:spacing w:after="0" w:line="240" w:lineRule="auto"/>
              <w:rPr>
                <w:rFonts w:ascii="Arial" w:eastAsia="Times New Roman" w:hAnsi="Arial" w:cs="Arial"/>
                <w:color w:val="000000"/>
                <w:sz w:val="20"/>
                <w:szCs w:val="20"/>
                <w:lang w:eastAsia="en-GB"/>
              </w:rPr>
            </w:pPr>
            <w:proofErr w:type="spellStart"/>
            <w:r w:rsidRPr="00C10A1B">
              <w:rPr>
                <w:rFonts w:ascii="Arial" w:eastAsia="Times New Roman" w:hAnsi="Arial" w:cs="Arial"/>
                <w:color w:val="000000"/>
                <w:sz w:val="20"/>
                <w:szCs w:val="20"/>
                <w:lang w:eastAsia="en-GB"/>
              </w:rPr>
              <w:t>mmboe</w:t>
            </w:r>
            <w:proofErr w:type="spellEnd"/>
          </w:p>
        </w:tc>
        <w:tc>
          <w:tcPr>
            <w:tcW w:w="1626" w:type="dxa"/>
            <w:tcBorders>
              <w:top w:val="nil"/>
              <w:left w:val="nil"/>
              <w:bottom w:val="nil"/>
              <w:right w:val="nil"/>
            </w:tcBorders>
            <w:shd w:val="clear" w:color="auto" w:fill="auto"/>
            <w:noWrap/>
            <w:vAlign w:val="bottom"/>
            <w:hideMark/>
          </w:tcPr>
          <w:p w14:paraId="2BE61EAD" w14:textId="5193D15F" w:rsidR="00104C12" w:rsidRPr="00C10A1B" w:rsidRDefault="00104C12" w:rsidP="00FF1317">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91.4</w:t>
            </w:r>
          </w:p>
        </w:tc>
        <w:tc>
          <w:tcPr>
            <w:tcW w:w="1094" w:type="dxa"/>
            <w:tcBorders>
              <w:top w:val="nil"/>
              <w:left w:val="nil"/>
              <w:bottom w:val="nil"/>
              <w:right w:val="nil"/>
            </w:tcBorders>
            <w:shd w:val="clear" w:color="auto" w:fill="auto"/>
            <w:noWrap/>
            <w:vAlign w:val="bottom"/>
            <w:hideMark/>
          </w:tcPr>
          <w:p w14:paraId="36339682" w14:textId="2ED4012E" w:rsidR="00104C12" w:rsidRPr="00C10A1B" w:rsidRDefault="00104C12" w:rsidP="00FF1317">
            <w:pPr>
              <w:spacing w:after="0" w:line="240" w:lineRule="auto"/>
              <w:jc w:val="right"/>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99</w:t>
            </w:r>
          </w:p>
        </w:tc>
        <w:tc>
          <w:tcPr>
            <w:tcW w:w="1360" w:type="dxa"/>
            <w:tcBorders>
              <w:top w:val="nil"/>
              <w:left w:val="nil"/>
              <w:bottom w:val="nil"/>
              <w:right w:val="nil"/>
            </w:tcBorders>
          </w:tcPr>
          <w:p w14:paraId="56BE7671" w14:textId="1E6B1292" w:rsidR="00104C12" w:rsidRPr="006C54CB" w:rsidRDefault="00104C12" w:rsidP="00FF1317">
            <w:pPr>
              <w:spacing w:after="0" w:line="240" w:lineRule="auto"/>
              <w:jc w:val="right"/>
              <w:rPr>
                <w:rFonts w:ascii="Arial" w:eastAsia="Times New Roman" w:hAnsi="Arial" w:cs="Arial"/>
                <w:color w:val="000000"/>
                <w:sz w:val="20"/>
                <w:szCs w:val="20"/>
                <w:highlight w:val="yellow"/>
                <w:lang w:eastAsia="en-GB"/>
              </w:rPr>
            </w:pPr>
            <w:r w:rsidRPr="009B5FA0">
              <w:rPr>
                <w:rFonts w:ascii="Arial" w:eastAsia="Times New Roman" w:hAnsi="Arial" w:cs="Arial"/>
                <w:color w:val="000000"/>
                <w:sz w:val="20"/>
                <w:szCs w:val="20"/>
                <w:lang w:eastAsia="en-GB"/>
              </w:rPr>
              <w:t>109.4</w:t>
            </w:r>
          </w:p>
        </w:tc>
      </w:tr>
    </w:tbl>
    <w:p w14:paraId="1BBBD998" w14:textId="77777777" w:rsidR="00FF1317" w:rsidRPr="00C10A1B" w:rsidRDefault="00FF1317" w:rsidP="008B19FC">
      <w:pPr>
        <w:pStyle w:val="NormalWeb"/>
        <w:spacing w:before="240" w:beforeAutospacing="0" w:after="0" w:afterAutospacing="0"/>
        <w:jc w:val="both"/>
        <w:rPr>
          <w:rFonts w:ascii="Arial" w:hAnsi="Arial" w:cs="Arial"/>
          <w:sz w:val="20"/>
          <w:szCs w:val="20"/>
        </w:rPr>
      </w:pPr>
    </w:p>
    <w:p w14:paraId="5CB34DBC" w14:textId="77777777" w:rsidR="00130C85" w:rsidRPr="00C10A1B" w:rsidRDefault="00130C85" w:rsidP="004279BA">
      <w:pPr>
        <w:tabs>
          <w:tab w:val="left" w:pos="2835"/>
        </w:tabs>
        <w:spacing w:after="0" w:line="240" w:lineRule="auto"/>
        <w:jc w:val="both"/>
        <w:rPr>
          <w:rFonts w:ascii="Arial" w:eastAsia="Times New Roman" w:hAnsi="Arial" w:cs="Arial"/>
          <w:iCs/>
          <w:sz w:val="20"/>
          <w:szCs w:val="20"/>
        </w:rPr>
      </w:pPr>
    </w:p>
    <w:p w14:paraId="202FA5EF" w14:textId="77777777" w:rsidR="00104C12" w:rsidRDefault="00104C12" w:rsidP="00130C85">
      <w:pPr>
        <w:pStyle w:val="bb"/>
        <w:rPr>
          <w:i/>
          <w:color w:val="000000"/>
        </w:rPr>
      </w:pPr>
    </w:p>
    <w:p w14:paraId="3E41A8DC" w14:textId="77777777" w:rsidR="00104C12" w:rsidRDefault="00104C12" w:rsidP="00130C85">
      <w:pPr>
        <w:pStyle w:val="bb"/>
        <w:rPr>
          <w:i/>
          <w:color w:val="000000"/>
        </w:rPr>
      </w:pPr>
    </w:p>
    <w:p w14:paraId="25109060" w14:textId="5EFD80C3" w:rsidR="0076621E" w:rsidRPr="00C10A1B" w:rsidRDefault="0076621E" w:rsidP="00130C85">
      <w:pPr>
        <w:pStyle w:val="bb"/>
        <w:rPr>
          <w:i/>
          <w:color w:val="000000"/>
        </w:rPr>
      </w:pPr>
      <w:r w:rsidRPr="00C10A1B">
        <w:rPr>
          <w:i/>
          <w:color w:val="000000"/>
        </w:rPr>
        <w:t>Interests and operatorship</w:t>
      </w:r>
    </w:p>
    <w:p w14:paraId="077F80CE" w14:textId="77777777" w:rsidR="0076621E" w:rsidRPr="00C10A1B" w:rsidRDefault="0076621E" w:rsidP="004279BA">
      <w:pPr>
        <w:tabs>
          <w:tab w:val="left" w:pos="2835"/>
        </w:tabs>
        <w:spacing w:after="0" w:line="240" w:lineRule="auto"/>
        <w:jc w:val="both"/>
        <w:rPr>
          <w:rFonts w:ascii="Arial" w:eastAsia="Times New Roman" w:hAnsi="Arial" w:cs="Arial"/>
          <w:iCs/>
          <w:sz w:val="20"/>
          <w:szCs w:val="20"/>
        </w:rPr>
      </w:pPr>
    </w:p>
    <w:p w14:paraId="2B6799FC" w14:textId="3D126540" w:rsidR="00C278C5" w:rsidRPr="00C10A1B" w:rsidRDefault="009208A4" w:rsidP="009208A4">
      <w:pPr>
        <w:tabs>
          <w:tab w:val="left" w:pos="2835"/>
        </w:tabs>
        <w:spacing w:after="0" w:line="240" w:lineRule="auto"/>
        <w:jc w:val="both"/>
        <w:rPr>
          <w:rFonts w:ascii="Arial" w:eastAsia="Times New Roman" w:hAnsi="Arial" w:cs="Arial"/>
          <w:iCs/>
          <w:sz w:val="20"/>
          <w:szCs w:val="20"/>
        </w:rPr>
      </w:pPr>
      <w:r w:rsidRPr="00C10A1B">
        <w:rPr>
          <w:rFonts w:ascii="Arial" w:eastAsia="Times New Roman" w:hAnsi="Arial" w:cs="Arial"/>
          <w:iCs/>
          <w:noProof/>
          <w:sz w:val="20"/>
          <w:szCs w:val="20"/>
        </w:rPr>
        <w:t>Following</w:t>
      </w:r>
      <w:r w:rsidRPr="00C10A1B">
        <w:rPr>
          <w:rFonts w:ascii="Arial" w:eastAsia="Times New Roman" w:hAnsi="Arial" w:cs="Arial"/>
          <w:iCs/>
          <w:sz w:val="20"/>
          <w:szCs w:val="20"/>
        </w:rPr>
        <w:t xml:space="preserve"> approval of the </w:t>
      </w:r>
      <w:proofErr w:type="spellStart"/>
      <w:r w:rsidRPr="00C10A1B">
        <w:rPr>
          <w:rFonts w:ascii="Arial" w:eastAsia="Times New Roman" w:hAnsi="Arial" w:cs="Arial"/>
          <w:iCs/>
          <w:sz w:val="20"/>
          <w:szCs w:val="20"/>
        </w:rPr>
        <w:t>Sangomar</w:t>
      </w:r>
      <w:proofErr w:type="spellEnd"/>
      <w:r w:rsidRPr="00C10A1B">
        <w:rPr>
          <w:rFonts w:ascii="Arial" w:eastAsia="Times New Roman" w:hAnsi="Arial" w:cs="Arial"/>
          <w:iCs/>
          <w:sz w:val="20"/>
          <w:szCs w:val="20"/>
        </w:rPr>
        <w:t xml:space="preserve"> Exploitation Plan and award of the corresponding exploitation authorisation on 8 January 2020, the 25</w:t>
      </w:r>
      <w:r w:rsidR="006C54CB">
        <w:rPr>
          <w:rFonts w:ascii="Arial" w:eastAsia="Times New Roman" w:hAnsi="Arial" w:cs="Arial"/>
          <w:iCs/>
          <w:sz w:val="20"/>
          <w:szCs w:val="20"/>
        </w:rPr>
        <w:t>-</w:t>
      </w:r>
      <w:r w:rsidRPr="00C10A1B">
        <w:rPr>
          <w:rFonts w:ascii="Arial" w:eastAsia="Times New Roman" w:hAnsi="Arial" w:cs="Arial"/>
          <w:iCs/>
          <w:sz w:val="20"/>
          <w:szCs w:val="20"/>
        </w:rPr>
        <w:t xml:space="preserve">year exploitation period has now commenced, securing long term title to the acreage for the RSSD JV. The RSSD contractor group currently consists of: (a) 35 per cent. Woodside; (b) 40 per cent. Capricorn Senegal; (c) 15 per cent. </w:t>
      </w:r>
      <w:r w:rsidR="00696610" w:rsidRPr="00C10A1B">
        <w:rPr>
          <w:rFonts w:ascii="Arial" w:eastAsia="Times New Roman" w:hAnsi="Arial" w:cs="Arial"/>
          <w:iCs/>
          <w:sz w:val="20"/>
          <w:szCs w:val="20"/>
        </w:rPr>
        <w:t xml:space="preserve">FAR </w:t>
      </w:r>
      <w:r w:rsidR="00F214F0" w:rsidRPr="00D76077">
        <w:rPr>
          <w:rFonts w:ascii="Arial" w:eastAsia="Times New Roman" w:hAnsi="Arial" w:cs="Arial"/>
          <w:iCs/>
          <w:sz w:val="20"/>
          <w:szCs w:val="20"/>
        </w:rPr>
        <w:t xml:space="preserve">(Senegal) </w:t>
      </w:r>
      <w:r w:rsidRPr="00C10A1B">
        <w:rPr>
          <w:rFonts w:ascii="Arial" w:eastAsia="Times New Roman" w:hAnsi="Arial" w:cs="Arial"/>
          <w:iCs/>
          <w:sz w:val="20"/>
          <w:szCs w:val="20"/>
        </w:rPr>
        <w:t xml:space="preserve">and (d) 10 per cent. </w:t>
      </w:r>
      <w:proofErr w:type="spellStart"/>
      <w:r w:rsidRPr="00C10A1B">
        <w:rPr>
          <w:rFonts w:ascii="Arial" w:eastAsia="Times New Roman" w:hAnsi="Arial" w:cs="Arial"/>
          <w:iCs/>
          <w:sz w:val="20"/>
          <w:szCs w:val="20"/>
        </w:rPr>
        <w:t>Petrosen</w:t>
      </w:r>
      <w:proofErr w:type="spellEnd"/>
      <w:r w:rsidRPr="00C10A1B">
        <w:rPr>
          <w:rFonts w:ascii="Arial" w:eastAsia="Times New Roman" w:hAnsi="Arial" w:cs="Arial"/>
          <w:iCs/>
          <w:sz w:val="20"/>
          <w:szCs w:val="20"/>
        </w:rPr>
        <w:t>. Woodside is the operator designated under the RSSD JOA, having acquired operatorship from Capricorn Senegal in December 2018.</w:t>
      </w:r>
      <w:r w:rsidRPr="00C10A1B" w:rsidDel="009208A4">
        <w:rPr>
          <w:rFonts w:ascii="Arial" w:eastAsia="Times New Roman" w:hAnsi="Arial" w:cs="Arial"/>
          <w:iCs/>
          <w:sz w:val="20"/>
          <w:szCs w:val="20"/>
        </w:rPr>
        <w:t xml:space="preserve"> </w:t>
      </w:r>
    </w:p>
    <w:p w14:paraId="45213E3D" w14:textId="77777777" w:rsidR="00A20525" w:rsidRPr="00C10A1B" w:rsidRDefault="00A20525" w:rsidP="004279BA">
      <w:pPr>
        <w:tabs>
          <w:tab w:val="left" w:pos="2835"/>
        </w:tabs>
        <w:spacing w:after="0" w:line="240" w:lineRule="auto"/>
        <w:jc w:val="both"/>
        <w:rPr>
          <w:rFonts w:ascii="Arial" w:eastAsia="Times New Roman" w:hAnsi="Arial" w:cs="Arial"/>
          <w:iCs/>
          <w:sz w:val="20"/>
          <w:szCs w:val="20"/>
        </w:rPr>
      </w:pPr>
    </w:p>
    <w:p w14:paraId="75AA5EF0" w14:textId="45879704" w:rsidR="0076621E" w:rsidRPr="00C10A1B" w:rsidRDefault="0076621E" w:rsidP="004279BA">
      <w:pPr>
        <w:tabs>
          <w:tab w:val="left" w:pos="2835"/>
        </w:tabs>
        <w:spacing w:after="0" w:line="240" w:lineRule="auto"/>
        <w:jc w:val="both"/>
        <w:rPr>
          <w:rFonts w:ascii="Arial" w:eastAsia="Times New Roman" w:hAnsi="Arial" w:cs="Arial"/>
          <w:iCs/>
          <w:sz w:val="20"/>
          <w:szCs w:val="20"/>
        </w:rPr>
      </w:pPr>
      <w:r w:rsidRPr="00C10A1B">
        <w:rPr>
          <w:rFonts w:ascii="Arial" w:eastAsia="Times New Roman" w:hAnsi="Arial" w:cs="Arial"/>
          <w:iCs/>
          <w:sz w:val="20"/>
          <w:szCs w:val="20"/>
        </w:rPr>
        <w:t xml:space="preserve">Assuming the Transaction completes the impact on the holdings of interests in the </w:t>
      </w:r>
      <w:r w:rsidR="009208A4" w:rsidRPr="00C10A1B">
        <w:rPr>
          <w:rFonts w:ascii="Arial" w:eastAsia="Times New Roman" w:hAnsi="Arial" w:cs="Arial"/>
          <w:iCs/>
          <w:sz w:val="20"/>
          <w:szCs w:val="20"/>
        </w:rPr>
        <w:t xml:space="preserve">RSSD </w:t>
      </w:r>
      <w:r w:rsidRPr="00C10A1B">
        <w:rPr>
          <w:rFonts w:ascii="Arial" w:eastAsia="Times New Roman" w:hAnsi="Arial" w:cs="Arial"/>
          <w:iCs/>
          <w:sz w:val="20"/>
          <w:szCs w:val="20"/>
        </w:rPr>
        <w:t>PSC will be as set out in the table below:</w:t>
      </w:r>
    </w:p>
    <w:p w14:paraId="17AD68B0" w14:textId="77777777" w:rsidR="009208A4" w:rsidRPr="00C10A1B" w:rsidRDefault="009208A4" w:rsidP="004279BA">
      <w:pPr>
        <w:tabs>
          <w:tab w:val="left" w:pos="2835"/>
        </w:tabs>
        <w:spacing w:after="0" w:line="240" w:lineRule="auto"/>
        <w:jc w:val="both"/>
        <w:rPr>
          <w:rFonts w:ascii="Arial" w:eastAsia="Times New Roman" w:hAnsi="Arial" w:cs="Arial"/>
          <w:iCs/>
          <w:sz w:val="20"/>
          <w:szCs w:val="20"/>
        </w:rPr>
      </w:pPr>
    </w:p>
    <w:tbl>
      <w:tblPr>
        <w:tblStyle w:val="TableGrid"/>
        <w:tblW w:w="0" w:type="auto"/>
        <w:tblInd w:w="720" w:type="dxa"/>
        <w:tblLook w:val="04A0" w:firstRow="1" w:lastRow="0" w:firstColumn="1" w:lastColumn="0" w:noHBand="0" w:noVBand="1"/>
      </w:tblPr>
      <w:tblGrid>
        <w:gridCol w:w="2746"/>
        <w:gridCol w:w="2775"/>
        <w:gridCol w:w="2775"/>
      </w:tblGrid>
      <w:tr w:rsidR="0076621E" w:rsidRPr="00C10A1B" w14:paraId="75128772" w14:textId="77777777" w:rsidTr="009208A4">
        <w:tc>
          <w:tcPr>
            <w:tcW w:w="2746" w:type="dxa"/>
          </w:tcPr>
          <w:p w14:paraId="240922F0" w14:textId="77777777" w:rsidR="0076621E" w:rsidRPr="008F580A" w:rsidRDefault="0076621E" w:rsidP="00C23D4F">
            <w:pPr>
              <w:pStyle w:val="ListParagraph"/>
              <w:ind w:left="142"/>
              <w:rPr>
                <w:rFonts w:ascii="Arial" w:hAnsi="Arial" w:cs="Arial"/>
                <w:iCs/>
              </w:rPr>
            </w:pPr>
            <w:r w:rsidRPr="008F580A">
              <w:rPr>
                <w:rFonts w:ascii="Arial" w:hAnsi="Arial" w:cs="Arial"/>
                <w:iCs/>
              </w:rPr>
              <w:lastRenderedPageBreak/>
              <w:t>Party</w:t>
            </w:r>
          </w:p>
        </w:tc>
        <w:tc>
          <w:tcPr>
            <w:tcW w:w="2775" w:type="dxa"/>
          </w:tcPr>
          <w:p w14:paraId="0D8E0D82" w14:textId="1BEE59B7" w:rsidR="0076621E" w:rsidRPr="00C10A1B" w:rsidRDefault="0076621E" w:rsidP="00C23D4F">
            <w:pPr>
              <w:pStyle w:val="ListParagraph"/>
              <w:ind w:left="142"/>
              <w:rPr>
                <w:rFonts w:ascii="Arial" w:hAnsi="Arial" w:cs="Arial"/>
                <w:iCs/>
              </w:rPr>
            </w:pPr>
            <w:r w:rsidRPr="00C10A1B">
              <w:rPr>
                <w:rFonts w:ascii="Arial" w:hAnsi="Arial" w:cs="Arial"/>
                <w:iCs/>
              </w:rPr>
              <w:t>Interest pre</w:t>
            </w:r>
            <w:r w:rsidR="009208A4" w:rsidRPr="00C10A1B">
              <w:rPr>
                <w:rFonts w:ascii="Arial" w:hAnsi="Arial" w:cs="Arial"/>
                <w:iCs/>
              </w:rPr>
              <w:t>-</w:t>
            </w:r>
            <w:r w:rsidRPr="00C10A1B">
              <w:rPr>
                <w:rFonts w:ascii="Arial" w:hAnsi="Arial" w:cs="Arial"/>
                <w:iCs/>
              </w:rPr>
              <w:t>Transaction</w:t>
            </w:r>
            <w:r w:rsidR="009208A4" w:rsidRPr="00C10A1B">
              <w:rPr>
                <w:rFonts w:ascii="Arial" w:hAnsi="Arial" w:cs="Arial"/>
                <w:iCs/>
              </w:rPr>
              <w:t xml:space="preserve"> (%)</w:t>
            </w:r>
          </w:p>
        </w:tc>
        <w:tc>
          <w:tcPr>
            <w:tcW w:w="2775" w:type="dxa"/>
          </w:tcPr>
          <w:p w14:paraId="1DA8F02C" w14:textId="21F491F5" w:rsidR="0076621E" w:rsidRPr="00C10A1B" w:rsidRDefault="0076621E" w:rsidP="00C23D4F">
            <w:pPr>
              <w:pStyle w:val="ListParagraph"/>
              <w:ind w:left="142"/>
              <w:rPr>
                <w:rFonts w:ascii="Arial" w:hAnsi="Arial" w:cs="Arial"/>
                <w:iCs/>
              </w:rPr>
            </w:pPr>
            <w:r w:rsidRPr="00C10A1B">
              <w:rPr>
                <w:rFonts w:ascii="Arial" w:hAnsi="Arial" w:cs="Arial"/>
                <w:iCs/>
              </w:rPr>
              <w:t>Interest post</w:t>
            </w:r>
            <w:r w:rsidR="009208A4" w:rsidRPr="00C10A1B">
              <w:rPr>
                <w:rFonts w:ascii="Arial" w:hAnsi="Arial" w:cs="Arial"/>
                <w:iCs/>
              </w:rPr>
              <w:t>-</w:t>
            </w:r>
            <w:r w:rsidRPr="00C10A1B">
              <w:rPr>
                <w:rFonts w:ascii="Arial" w:hAnsi="Arial" w:cs="Arial"/>
                <w:iCs/>
              </w:rPr>
              <w:t>Transaction</w:t>
            </w:r>
            <w:r w:rsidR="009208A4" w:rsidRPr="00C10A1B">
              <w:rPr>
                <w:rFonts w:ascii="Arial" w:hAnsi="Arial" w:cs="Arial"/>
                <w:iCs/>
              </w:rPr>
              <w:t xml:space="preserve"> (%)</w:t>
            </w:r>
          </w:p>
        </w:tc>
      </w:tr>
      <w:tr w:rsidR="0076621E" w:rsidRPr="00C10A1B" w14:paraId="5EEB02DA" w14:textId="77777777" w:rsidTr="009208A4">
        <w:tc>
          <w:tcPr>
            <w:tcW w:w="2746" w:type="dxa"/>
          </w:tcPr>
          <w:p w14:paraId="62E31AD8" w14:textId="77777777" w:rsidR="0076621E" w:rsidRPr="008F580A" w:rsidRDefault="0076621E" w:rsidP="00C23D4F">
            <w:pPr>
              <w:pStyle w:val="ListParagraph"/>
              <w:ind w:left="142"/>
              <w:rPr>
                <w:rFonts w:ascii="Arial" w:hAnsi="Arial" w:cs="Arial"/>
                <w:iCs/>
              </w:rPr>
            </w:pPr>
            <w:r w:rsidRPr="008F580A">
              <w:rPr>
                <w:rFonts w:ascii="Arial" w:hAnsi="Arial" w:cs="Arial"/>
                <w:iCs/>
              </w:rPr>
              <w:t>Woodside</w:t>
            </w:r>
          </w:p>
        </w:tc>
        <w:tc>
          <w:tcPr>
            <w:tcW w:w="2775" w:type="dxa"/>
          </w:tcPr>
          <w:p w14:paraId="3D89C92E" w14:textId="0B3F52BA" w:rsidR="0076621E" w:rsidRPr="00C10A1B" w:rsidRDefault="0076621E" w:rsidP="00C23D4F">
            <w:pPr>
              <w:pStyle w:val="ListParagraph"/>
              <w:ind w:left="142"/>
              <w:rPr>
                <w:rFonts w:ascii="Arial" w:hAnsi="Arial" w:cs="Arial"/>
                <w:iCs/>
              </w:rPr>
            </w:pPr>
            <w:r w:rsidRPr="00C10A1B">
              <w:rPr>
                <w:rFonts w:ascii="Arial" w:hAnsi="Arial" w:cs="Arial"/>
                <w:iCs/>
              </w:rPr>
              <w:t>35</w:t>
            </w:r>
            <w:r w:rsidR="009208A4" w:rsidRPr="00C10A1B">
              <w:rPr>
                <w:rFonts w:ascii="Arial" w:hAnsi="Arial" w:cs="Arial"/>
                <w:iCs/>
              </w:rPr>
              <w:t xml:space="preserve"> and operator</w:t>
            </w:r>
          </w:p>
        </w:tc>
        <w:tc>
          <w:tcPr>
            <w:tcW w:w="2775" w:type="dxa"/>
          </w:tcPr>
          <w:p w14:paraId="69F7B516" w14:textId="2BE17B66" w:rsidR="0076621E" w:rsidRPr="00C10A1B" w:rsidRDefault="0076621E" w:rsidP="00C23D4F">
            <w:pPr>
              <w:pStyle w:val="ListParagraph"/>
              <w:ind w:left="142"/>
              <w:rPr>
                <w:rFonts w:ascii="Arial" w:hAnsi="Arial" w:cs="Arial"/>
                <w:iCs/>
              </w:rPr>
            </w:pPr>
            <w:r w:rsidRPr="00C10A1B">
              <w:rPr>
                <w:rFonts w:ascii="Arial" w:hAnsi="Arial" w:cs="Arial"/>
                <w:iCs/>
              </w:rPr>
              <w:t>35</w:t>
            </w:r>
            <w:r w:rsidR="009208A4" w:rsidRPr="00C10A1B">
              <w:rPr>
                <w:rFonts w:ascii="Arial" w:hAnsi="Arial" w:cs="Arial"/>
                <w:iCs/>
              </w:rPr>
              <w:t xml:space="preserve"> and operator</w:t>
            </w:r>
          </w:p>
        </w:tc>
      </w:tr>
      <w:tr w:rsidR="0076621E" w:rsidRPr="00C10A1B" w14:paraId="0D17F979" w14:textId="77777777" w:rsidTr="009208A4">
        <w:tc>
          <w:tcPr>
            <w:tcW w:w="2746" w:type="dxa"/>
          </w:tcPr>
          <w:p w14:paraId="78D95AAE" w14:textId="77777777" w:rsidR="0076621E" w:rsidRPr="008F580A" w:rsidRDefault="0076621E" w:rsidP="00C23D4F">
            <w:pPr>
              <w:pStyle w:val="ListParagraph"/>
              <w:ind w:left="142"/>
              <w:rPr>
                <w:rFonts w:ascii="Arial" w:hAnsi="Arial" w:cs="Arial"/>
                <w:iCs/>
              </w:rPr>
            </w:pPr>
            <w:r w:rsidRPr="008F580A">
              <w:rPr>
                <w:rFonts w:ascii="Arial" w:hAnsi="Arial" w:cs="Arial"/>
                <w:iCs/>
              </w:rPr>
              <w:t>Cairn Senegal</w:t>
            </w:r>
          </w:p>
        </w:tc>
        <w:tc>
          <w:tcPr>
            <w:tcW w:w="2775" w:type="dxa"/>
          </w:tcPr>
          <w:p w14:paraId="4578BE38" w14:textId="77777777" w:rsidR="0076621E" w:rsidRPr="00C10A1B" w:rsidRDefault="0076621E" w:rsidP="00C23D4F">
            <w:pPr>
              <w:pStyle w:val="ListParagraph"/>
              <w:ind w:left="142"/>
              <w:rPr>
                <w:rFonts w:ascii="Arial" w:hAnsi="Arial" w:cs="Arial"/>
                <w:iCs/>
              </w:rPr>
            </w:pPr>
            <w:r w:rsidRPr="00C10A1B">
              <w:rPr>
                <w:rFonts w:ascii="Arial" w:hAnsi="Arial" w:cs="Arial"/>
                <w:iCs/>
              </w:rPr>
              <w:t>40</w:t>
            </w:r>
          </w:p>
        </w:tc>
        <w:tc>
          <w:tcPr>
            <w:tcW w:w="2775" w:type="dxa"/>
          </w:tcPr>
          <w:p w14:paraId="442651AC" w14:textId="3E901AA1" w:rsidR="0076621E" w:rsidRPr="00C10A1B" w:rsidRDefault="009208A4" w:rsidP="00C23D4F">
            <w:pPr>
              <w:pStyle w:val="ListParagraph"/>
              <w:ind w:left="142"/>
              <w:rPr>
                <w:rFonts w:ascii="Arial" w:hAnsi="Arial" w:cs="Arial"/>
                <w:iCs/>
              </w:rPr>
            </w:pPr>
            <w:r w:rsidRPr="00C10A1B">
              <w:rPr>
                <w:rFonts w:ascii="Arial" w:hAnsi="Arial" w:cs="Arial"/>
                <w:iCs/>
              </w:rPr>
              <w:t>Nil</w:t>
            </w:r>
          </w:p>
        </w:tc>
      </w:tr>
      <w:tr w:rsidR="0076621E" w:rsidRPr="00C10A1B" w14:paraId="3DB4A3AD" w14:textId="77777777" w:rsidTr="009208A4">
        <w:tc>
          <w:tcPr>
            <w:tcW w:w="2746" w:type="dxa"/>
          </w:tcPr>
          <w:p w14:paraId="6BCA3D18" w14:textId="39179BDE" w:rsidR="0076621E" w:rsidRPr="008F580A" w:rsidRDefault="00696610" w:rsidP="00C23D4F">
            <w:pPr>
              <w:pStyle w:val="ListParagraph"/>
              <w:ind w:left="142"/>
              <w:rPr>
                <w:rFonts w:ascii="Arial" w:hAnsi="Arial" w:cs="Arial"/>
                <w:iCs/>
              </w:rPr>
            </w:pPr>
            <w:r w:rsidRPr="008F580A">
              <w:rPr>
                <w:rFonts w:ascii="Arial" w:hAnsi="Arial" w:cs="Arial"/>
                <w:iCs/>
              </w:rPr>
              <w:t xml:space="preserve">FAR </w:t>
            </w:r>
            <w:r w:rsidR="00021C87" w:rsidRPr="008F580A">
              <w:rPr>
                <w:rFonts w:ascii="Arial" w:hAnsi="Arial" w:cs="Arial"/>
                <w:iCs/>
              </w:rPr>
              <w:t>(Senegal)</w:t>
            </w:r>
          </w:p>
        </w:tc>
        <w:tc>
          <w:tcPr>
            <w:tcW w:w="2775" w:type="dxa"/>
          </w:tcPr>
          <w:p w14:paraId="4896AD04" w14:textId="77777777" w:rsidR="0076621E" w:rsidRPr="00C10A1B" w:rsidRDefault="0076621E" w:rsidP="00C23D4F">
            <w:pPr>
              <w:pStyle w:val="ListParagraph"/>
              <w:ind w:left="142"/>
              <w:rPr>
                <w:rFonts w:ascii="Arial" w:hAnsi="Arial" w:cs="Arial"/>
                <w:iCs/>
              </w:rPr>
            </w:pPr>
            <w:r w:rsidRPr="00C10A1B">
              <w:rPr>
                <w:rFonts w:ascii="Arial" w:hAnsi="Arial" w:cs="Arial"/>
                <w:iCs/>
              </w:rPr>
              <w:t>15</w:t>
            </w:r>
          </w:p>
        </w:tc>
        <w:tc>
          <w:tcPr>
            <w:tcW w:w="2775" w:type="dxa"/>
          </w:tcPr>
          <w:p w14:paraId="5778507D" w14:textId="78AD4C9C" w:rsidR="0076621E" w:rsidRPr="00C10A1B" w:rsidRDefault="009208A4" w:rsidP="00C23D4F">
            <w:pPr>
              <w:pStyle w:val="ListParagraph"/>
              <w:ind w:left="142"/>
              <w:rPr>
                <w:rFonts w:ascii="Arial" w:hAnsi="Arial" w:cs="Arial"/>
                <w:iCs/>
              </w:rPr>
            </w:pPr>
            <w:r w:rsidRPr="00C10A1B">
              <w:rPr>
                <w:rFonts w:ascii="Arial" w:hAnsi="Arial" w:cs="Arial"/>
                <w:iCs/>
              </w:rPr>
              <w:t>15</w:t>
            </w:r>
          </w:p>
        </w:tc>
      </w:tr>
      <w:tr w:rsidR="0076621E" w:rsidRPr="00C10A1B" w14:paraId="6C1A4D32" w14:textId="77777777" w:rsidTr="009208A4">
        <w:tc>
          <w:tcPr>
            <w:tcW w:w="2746" w:type="dxa"/>
          </w:tcPr>
          <w:p w14:paraId="55F7FCA3" w14:textId="77777777" w:rsidR="0076621E" w:rsidRPr="008F580A" w:rsidRDefault="0076621E" w:rsidP="00C23D4F">
            <w:pPr>
              <w:pStyle w:val="ListParagraph"/>
              <w:ind w:left="142"/>
              <w:rPr>
                <w:rFonts w:ascii="Arial" w:hAnsi="Arial" w:cs="Arial"/>
                <w:iCs/>
              </w:rPr>
            </w:pPr>
            <w:proofErr w:type="spellStart"/>
            <w:r w:rsidRPr="008F580A">
              <w:rPr>
                <w:rFonts w:ascii="Arial" w:hAnsi="Arial" w:cs="Arial"/>
                <w:iCs/>
              </w:rPr>
              <w:t>Petrosen</w:t>
            </w:r>
            <w:proofErr w:type="spellEnd"/>
          </w:p>
        </w:tc>
        <w:tc>
          <w:tcPr>
            <w:tcW w:w="2775" w:type="dxa"/>
          </w:tcPr>
          <w:p w14:paraId="25A3DC6C" w14:textId="77777777" w:rsidR="0076621E" w:rsidRPr="00C10A1B" w:rsidRDefault="0076621E" w:rsidP="00C23D4F">
            <w:pPr>
              <w:pStyle w:val="ListParagraph"/>
              <w:ind w:left="142"/>
              <w:rPr>
                <w:rFonts w:ascii="Arial" w:hAnsi="Arial" w:cs="Arial"/>
                <w:iCs/>
              </w:rPr>
            </w:pPr>
            <w:r w:rsidRPr="00C10A1B">
              <w:rPr>
                <w:rFonts w:ascii="Arial" w:hAnsi="Arial" w:cs="Arial"/>
                <w:iCs/>
              </w:rPr>
              <w:t>10</w:t>
            </w:r>
          </w:p>
        </w:tc>
        <w:tc>
          <w:tcPr>
            <w:tcW w:w="2775" w:type="dxa"/>
          </w:tcPr>
          <w:p w14:paraId="1A4BE198" w14:textId="77777777" w:rsidR="0076621E" w:rsidRPr="00C10A1B" w:rsidRDefault="0076621E" w:rsidP="00C23D4F">
            <w:pPr>
              <w:pStyle w:val="ListParagraph"/>
              <w:ind w:left="142"/>
              <w:rPr>
                <w:rFonts w:ascii="Arial" w:hAnsi="Arial" w:cs="Arial"/>
                <w:iCs/>
              </w:rPr>
            </w:pPr>
            <w:r w:rsidRPr="00C10A1B">
              <w:rPr>
                <w:rFonts w:ascii="Arial" w:hAnsi="Arial" w:cs="Arial"/>
                <w:iCs/>
              </w:rPr>
              <w:t>10</w:t>
            </w:r>
          </w:p>
        </w:tc>
      </w:tr>
      <w:tr w:rsidR="0076621E" w:rsidRPr="00C10A1B" w14:paraId="49FC41CF" w14:textId="77777777" w:rsidTr="009208A4">
        <w:tc>
          <w:tcPr>
            <w:tcW w:w="2746" w:type="dxa"/>
          </w:tcPr>
          <w:p w14:paraId="48107438" w14:textId="5D107DCD" w:rsidR="0076621E" w:rsidRPr="008F580A" w:rsidRDefault="00767028" w:rsidP="00C23D4F">
            <w:pPr>
              <w:pStyle w:val="ListParagraph"/>
              <w:ind w:left="142"/>
              <w:rPr>
                <w:rFonts w:ascii="Arial" w:hAnsi="Arial" w:cs="Arial"/>
                <w:iCs/>
              </w:rPr>
            </w:pPr>
            <w:r w:rsidRPr="008F580A">
              <w:rPr>
                <w:rFonts w:ascii="Arial" w:hAnsi="Arial" w:cs="Arial"/>
                <w:iCs/>
              </w:rPr>
              <w:t>LUKOIL</w:t>
            </w:r>
          </w:p>
        </w:tc>
        <w:tc>
          <w:tcPr>
            <w:tcW w:w="2775" w:type="dxa"/>
          </w:tcPr>
          <w:p w14:paraId="3A476854" w14:textId="0B67F95A" w:rsidR="0076621E" w:rsidRPr="00C10A1B" w:rsidRDefault="009208A4" w:rsidP="00C23D4F">
            <w:pPr>
              <w:pStyle w:val="ListParagraph"/>
              <w:ind w:left="142"/>
              <w:rPr>
                <w:rFonts w:ascii="Arial" w:hAnsi="Arial" w:cs="Arial"/>
                <w:iCs/>
              </w:rPr>
            </w:pPr>
            <w:r w:rsidRPr="00C10A1B">
              <w:rPr>
                <w:rFonts w:ascii="Arial" w:hAnsi="Arial" w:cs="Arial"/>
                <w:iCs/>
              </w:rPr>
              <w:t>Nil</w:t>
            </w:r>
          </w:p>
        </w:tc>
        <w:tc>
          <w:tcPr>
            <w:tcW w:w="2775" w:type="dxa"/>
          </w:tcPr>
          <w:p w14:paraId="607A2C24" w14:textId="6D9FEDAA" w:rsidR="0076621E" w:rsidRPr="00C10A1B" w:rsidRDefault="009208A4" w:rsidP="00C23D4F">
            <w:pPr>
              <w:pStyle w:val="ListParagraph"/>
              <w:ind w:left="142"/>
              <w:rPr>
                <w:rFonts w:ascii="Arial" w:hAnsi="Arial" w:cs="Arial"/>
                <w:iCs/>
              </w:rPr>
            </w:pPr>
            <w:r w:rsidRPr="00C10A1B">
              <w:rPr>
                <w:rFonts w:ascii="Arial" w:hAnsi="Arial" w:cs="Arial"/>
                <w:iCs/>
              </w:rPr>
              <w:t>40</w:t>
            </w:r>
          </w:p>
        </w:tc>
      </w:tr>
    </w:tbl>
    <w:p w14:paraId="41DDF299" w14:textId="04C13C10" w:rsidR="00973E83" w:rsidRPr="00C10A1B" w:rsidRDefault="00973E83" w:rsidP="00A67B28">
      <w:pPr>
        <w:spacing w:after="0" w:line="240" w:lineRule="auto"/>
        <w:jc w:val="both"/>
        <w:rPr>
          <w:rFonts w:ascii="Arial" w:eastAsia="Times New Roman" w:hAnsi="Arial" w:cs="Arial"/>
          <w:sz w:val="20"/>
          <w:szCs w:val="20"/>
        </w:rPr>
      </w:pPr>
    </w:p>
    <w:p w14:paraId="7AB0BD2E" w14:textId="77777777" w:rsidR="00973E83" w:rsidRPr="00C10A1B" w:rsidRDefault="00973E83" w:rsidP="00A67B28">
      <w:pPr>
        <w:spacing w:after="0" w:line="240" w:lineRule="auto"/>
        <w:jc w:val="both"/>
        <w:rPr>
          <w:rFonts w:ascii="Arial" w:eastAsia="Times New Roman" w:hAnsi="Arial" w:cs="Arial"/>
          <w:sz w:val="20"/>
          <w:szCs w:val="20"/>
        </w:rPr>
      </w:pPr>
    </w:p>
    <w:p w14:paraId="6956999A" w14:textId="3F30E241" w:rsidR="00973E83" w:rsidRPr="00C10A1B" w:rsidRDefault="00973E83" w:rsidP="00CC2F31">
      <w:pPr>
        <w:pStyle w:val="bb"/>
        <w:keepNext/>
        <w:keepLines/>
        <w:numPr>
          <w:ilvl w:val="0"/>
          <w:numId w:val="2"/>
        </w:numPr>
        <w:spacing w:before="60" w:after="60" w:line="240" w:lineRule="exact"/>
        <w:rPr>
          <w:color w:val="000000"/>
        </w:rPr>
      </w:pPr>
      <w:r w:rsidRPr="00C10A1B">
        <w:rPr>
          <w:color w:val="231F20"/>
        </w:rPr>
        <w:t>Financial effects of the Transaction and use of proceeds</w:t>
      </w:r>
    </w:p>
    <w:p w14:paraId="3A4F8795" w14:textId="241832EA" w:rsidR="00CC2F31" w:rsidRPr="00C10A1B" w:rsidRDefault="00CC2F31" w:rsidP="00CC2F31">
      <w:pPr>
        <w:pStyle w:val="bb"/>
        <w:keepNext/>
        <w:keepLines/>
        <w:spacing w:before="60" w:after="60" w:line="240" w:lineRule="exact"/>
        <w:ind w:left="720"/>
        <w:rPr>
          <w:color w:val="000000"/>
        </w:rPr>
      </w:pPr>
    </w:p>
    <w:p w14:paraId="1811226B" w14:textId="67E555D5" w:rsidR="00CC2F31" w:rsidRPr="00C10A1B" w:rsidRDefault="007A308B" w:rsidP="00AA6016">
      <w:pPr>
        <w:autoSpaceDE w:val="0"/>
        <w:autoSpaceDN w:val="0"/>
        <w:adjustRightInd w:val="0"/>
        <w:spacing w:after="0" w:line="240" w:lineRule="auto"/>
        <w:jc w:val="both"/>
        <w:rPr>
          <w:rFonts w:ascii="Arial" w:eastAsia="Times New Roman" w:hAnsi="Arial" w:cs="Arial"/>
          <w:sz w:val="20"/>
          <w:szCs w:val="20"/>
        </w:rPr>
      </w:pPr>
      <w:r w:rsidRPr="00C10A1B">
        <w:rPr>
          <w:rFonts w:ascii="Arial" w:eastAsia="Times New Roman" w:hAnsi="Arial" w:cs="Arial"/>
          <w:sz w:val="20"/>
          <w:szCs w:val="20"/>
        </w:rPr>
        <w:t>T</w:t>
      </w:r>
      <w:r w:rsidR="00960302" w:rsidRPr="00C10A1B">
        <w:rPr>
          <w:rFonts w:ascii="Arial" w:eastAsia="Times New Roman" w:hAnsi="Arial" w:cs="Arial"/>
          <w:sz w:val="20"/>
          <w:szCs w:val="20"/>
        </w:rPr>
        <w:t>he initial cash consideration to be received by the Group at Completion is US$</w:t>
      </w:r>
      <w:r w:rsidR="00767028" w:rsidRPr="00C10A1B">
        <w:rPr>
          <w:rFonts w:ascii="Arial" w:eastAsia="Times New Roman" w:hAnsi="Arial" w:cs="Arial"/>
          <w:sz w:val="20"/>
          <w:szCs w:val="20"/>
        </w:rPr>
        <w:t>300</w:t>
      </w:r>
      <w:r w:rsidR="00110B9C">
        <w:rPr>
          <w:rFonts w:ascii="Arial" w:eastAsia="Times New Roman" w:hAnsi="Arial" w:cs="Arial"/>
          <w:sz w:val="20"/>
          <w:szCs w:val="20"/>
        </w:rPr>
        <w:t>m</w:t>
      </w:r>
      <w:r w:rsidR="00960302" w:rsidRPr="00C10A1B">
        <w:rPr>
          <w:rFonts w:ascii="Arial" w:eastAsia="Times New Roman" w:hAnsi="Arial" w:cs="Arial"/>
          <w:sz w:val="20"/>
          <w:szCs w:val="20"/>
        </w:rPr>
        <w:t>, together with a conventional interim period adjustment for the working capital attributable</w:t>
      </w:r>
      <w:r w:rsidRPr="00C10A1B">
        <w:rPr>
          <w:rFonts w:ascii="Arial" w:eastAsia="Times New Roman" w:hAnsi="Arial" w:cs="Arial"/>
          <w:sz w:val="20"/>
          <w:szCs w:val="20"/>
        </w:rPr>
        <w:t xml:space="preserve"> </w:t>
      </w:r>
      <w:r w:rsidR="00960302" w:rsidRPr="00C10A1B">
        <w:rPr>
          <w:rFonts w:ascii="Arial" w:eastAsia="Times New Roman" w:hAnsi="Arial" w:cs="Arial"/>
          <w:sz w:val="20"/>
          <w:szCs w:val="20"/>
        </w:rPr>
        <w:t>to the Sale Interest as at the economic date of 1</w:t>
      </w:r>
      <w:r w:rsidR="00110B9C" w:rsidRPr="00110B9C">
        <w:rPr>
          <w:rFonts w:ascii="Arial" w:eastAsia="Times New Roman" w:hAnsi="Arial" w:cs="Arial"/>
          <w:sz w:val="20"/>
          <w:szCs w:val="20"/>
          <w:vertAlign w:val="superscript"/>
        </w:rPr>
        <w:t>st</w:t>
      </w:r>
      <w:r w:rsidR="00110B9C">
        <w:rPr>
          <w:rFonts w:ascii="Arial" w:eastAsia="Times New Roman" w:hAnsi="Arial" w:cs="Arial"/>
          <w:sz w:val="20"/>
          <w:szCs w:val="20"/>
        </w:rPr>
        <w:t xml:space="preserve"> </w:t>
      </w:r>
      <w:r w:rsidR="00960302" w:rsidRPr="00C10A1B">
        <w:rPr>
          <w:rFonts w:ascii="Arial" w:eastAsia="Times New Roman" w:hAnsi="Arial" w:cs="Arial"/>
          <w:sz w:val="20"/>
          <w:szCs w:val="20"/>
        </w:rPr>
        <w:t xml:space="preserve">January 2020 and for post-economic date expenditure referable to the Sale Interest. </w:t>
      </w:r>
      <w:r w:rsidR="00194C78" w:rsidRPr="00C10A1B">
        <w:rPr>
          <w:rFonts w:ascii="Arial" w:hAnsi="Arial" w:cs="Arial"/>
          <w:sz w:val="20"/>
          <w:szCs w:val="20"/>
        </w:rPr>
        <w:t>In addition, the Group may be entitled to further cash consideration of</w:t>
      </w:r>
      <w:r w:rsidR="006C54CB">
        <w:rPr>
          <w:rFonts w:ascii="Arial" w:hAnsi="Arial" w:cs="Arial"/>
          <w:sz w:val="20"/>
          <w:szCs w:val="20"/>
        </w:rPr>
        <w:t xml:space="preserve"> </w:t>
      </w:r>
      <w:r w:rsidR="002235B7" w:rsidRPr="00C10A1B">
        <w:rPr>
          <w:rFonts w:ascii="Arial" w:eastAsia="Times New Roman" w:hAnsi="Arial" w:cs="Arial"/>
          <w:sz w:val="20"/>
          <w:szCs w:val="20"/>
        </w:rPr>
        <w:t>up to US</w:t>
      </w:r>
      <w:r w:rsidR="00C05785" w:rsidRPr="00C10A1B">
        <w:rPr>
          <w:rFonts w:ascii="Arial" w:eastAsia="Times New Roman" w:hAnsi="Arial" w:cs="Arial"/>
          <w:sz w:val="20"/>
          <w:szCs w:val="20"/>
        </w:rPr>
        <w:t>$100</w:t>
      </w:r>
      <w:r w:rsidR="00110B9C">
        <w:rPr>
          <w:rFonts w:ascii="Arial" w:eastAsia="Times New Roman" w:hAnsi="Arial" w:cs="Arial"/>
          <w:sz w:val="20"/>
          <w:szCs w:val="20"/>
        </w:rPr>
        <w:t>m</w:t>
      </w:r>
      <w:r w:rsidR="00601B6D" w:rsidRPr="00C10A1B">
        <w:rPr>
          <w:rFonts w:ascii="Arial" w:eastAsia="Times New Roman" w:hAnsi="Arial" w:cs="Arial"/>
          <w:sz w:val="20"/>
          <w:szCs w:val="20"/>
        </w:rPr>
        <w:t xml:space="preserve"> </w:t>
      </w:r>
      <w:r w:rsidR="002235B7" w:rsidRPr="00C10A1B">
        <w:rPr>
          <w:rFonts w:ascii="Arial" w:eastAsia="Times New Roman" w:hAnsi="Arial" w:cs="Arial"/>
          <w:sz w:val="20"/>
          <w:szCs w:val="20"/>
        </w:rPr>
        <w:t>dependent on the</w:t>
      </w:r>
      <w:r w:rsidR="00CC427B" w:rsidRPr="00C10A1B">
        <w:rPr>
          <w:rFonts w:ascii="Arial" w:eastAsia="Times New Roman" w:hAnsi="Arial" w:cs="Arial"/>
          <w:sz w:val="20"/>
          <w:szCs w:val="20"/>
        </w:rPr>
        <w:t xml:space="preserve"> average</w:t>
      </w:r>
      <w:r w:rsidR="002235B7" w:rsidRPr="00C10A1B">
        <w:rPr>
          <w:rFonts w:ascii="Arial" w:eastAsia="Times New Roman" w:hAnsi="Arial" w:cs="Arial"/>
          <w:sz w:val="20"/>
          <w:szCs w:val="20"/>
        </w:rPr>
        <w:t xml:space="preserve"> price of</w:t>
      </w:r>
      <w:r w:rsidR="00C05785" w:rsidRPr="00C10A1B">
        <w:rPr>
          <w:rFonts w:ascii="Arial" w:eastAsia="Times New Roman" w:hAnsi="Arial" w:cs="Arial"/>
          <w:sz w:val="20"/>
          <w:szCs w:val="20"/>
        </w:rPr>
        <w:t xml:space="preserve"> Brent</w:t>
      </w:r>
      <w:r w:rsidR="002235B7" w:rsidRPr="00C10A1B">
        <w:rPr>
          <w:rFonts w:ascii="Arial" w:eastAsia="Times New Roman" w:hAnsi="Arial" w:cs="Arial"/>
          <w:sz w:val="20"/>
          <w:szCs w:val="20"/>
        </w:rPr>
        <w:t xml:space="preserve"> oil </w:t>
      </w:r>
      <w:r w:rsidR="00CC427B" w:rsidRPr="00C10A1B">
        <w:rPr>
          <w:rFonts w:ascii="Arial" w:eastAsia="Times New Roman" w:hAnsi="Arial" w:cs="Arial"/>
          <w:sz w:val="20"/>
          <w:szCs w:val="20"/>
        </w:rPr>
        <w:t>during the first six months of production</w:t>
      </w:r>
      <w:r w:rsidR="00344831" w:rsidRPr="00C10A1B">
        <w:rPr>
          <w:rFonts w:ascii="Arial" w:eastAsia="Times New Roman" w:hAnsi="Arial" w:cs="Arial"/>
          <w:sz w:val="20"/>
          <w:szCs w:val="20"/>
        </w:rPr>
        <w:t xml:space="preserve"> and timing of first oil</w:t>
      </w:r>
      <w:r w:rsidR="003D66A5" w:rsidRPr="00C10A1B">
        <w:rPr>
          <w:rFonts w:ascii="Arial" w:eastAsia="Times New Roman" w:hAnsi="Arial" w:cs="Arial"/>
          <w:sz w:val="20"/>
          <w:szCs w:val="20"/>
        </w:rPr>
        <w:t>.</w:t>
      </w:r>
    </w:p>
    <w:p w14:paraId="64621AB1" w14:textId="77777777" w:rsidR="00CC2F31" w:rsidRPr="00C10A1B" w:rsidRDefault="00CC2F31" w:rsidP="00AA6016">
      <w:pPr>
        <w:tabs>
          <w:tab w:val="left" w:pos="2835"/>
        </w:tabs>
        <w:spacing w:after="0" w:line="240" w:lineRule="auto"/>
        <w:jc w:val="both"/>
        <w:rPr>
          <w:rFonts w:ascii="Arial" w:eastAsia="Times New Roman" w:hAnsi="Arial" w:cs="Arial"/>
          <w:iCs/>
          <w:sz w:val="20"/>
          <w:szCs w:val="20"/>
        </w:rPr>
      </w:pPr>
    </w:p>
    <w:p w14:paraId="22A6DE81" w14:textId="5AB5259A" w:rsidR="00CC2F31" w:rsidRPr="00C10A1B" w:rsidRDefault="00973E83" w:rsidP="00AA6016">
      <w:pPr>
        <w:tabs>
          <w:tab w:val="left" w:pos="2835"/>
        </w:tabs>
        <w:spacing w:after="0" w:line="240" w:lineRule="auto"/>
        <w:jc w:val="both"/>
        <w:rPr>
          <w:rFonts w:ascii="Arial" w:eastAsia="Times New Roman" w:hAnsi="Arial" w:cs="Arial"/>
          <w:iCs/>
          <w:sz w:val="20"/>
          <w:szCs w:val="20"/>
        </w:rPr>
      </w:pPr>
      <w:r w:rsidRPr="00C10A1B">
        <w:rPr>
          <w:rFonts w:ascii="Arial" w:eastAsia="Times New Roman" w:hAnsi="Arial" w:cs="Arial"/>
          <w:iCs/>
          <w:sz w:val="20"/>
          <w:szCs w:val="20"/>
        </w:rPr>
        <w:t xml:space="preserve">Cairn’s current intention is to use the </w:t>
      </w:r>
      <w:r w:rsidR="007A308B" w:rsidRPr="00C10A1B">
        <w:rPr>
          <w:rFonts w:ascii="Arial" w:eastAsia="Times New Roman" w:hAnsi="Arial" w:cs="Arial"/>
          <w:iCs/>
          <w:sz w:val="20"/>
          <w:szCs w:val="20"/>
        </w:rPr>
        <w:t xml:space="preserve">initial </w:t>
      </w:r>
      <w:r w:rsidRPr="00C10A1B">
        <w:rPr>
          <w:rFonts w:ascii="Arial" w:eastAsia="Times New Roman" w:hAnsi="Arial" w:cs="Arial"/>
          <w:iCs/>
          <w:sz w:val="20"/>
          <w:szCs w:val="20"/>
        </w:rPr>
        <w:t>cash proceeds of the Transaction</w:t>
      </w:r>
      <w:r w:rsidR="007A308B" w:rsidRPr="00C10A1B">
        <w:rPr>
          <w:rFonts w:ascii="Arial" w:eastAsia="Times New Roman" w:hAnsi="Arial" w:cs="Arial"/>
          <w:iCs/>
          <w:sz w:val="20"/>
          <w:szCs w:val="20"/>
        </w:rPr>
        <w:t xml:space="preserve"> to</w:t>
      </w:r>
      <w:r w:rsidR="00CC2F31" w:rsidRPr="00C10A1B">
        <w:rPr>
          <w:rFonts w:ascii="Arial" w:eastAsia="Times New Roman" w:hAnsi="Arial" w:cs="Arial"/>
          <w:iCs/>
          <w:sz w:val="20"/>
          <w:szCs w:val="20"/>
        </w:rPr>
        <w:t>:</w:t>
      </w:r>
    </w:p>
    <w:p w14:paraId="2CF53F09" w14:textId="59DFBB5A" w:rsidR="007A308B" w:rsidRPr="00C10A1B" w:rsidRDefault="007A308B" w:rsidP="005459E7">
      <w:pPr>
        <w:pStyle w:val="ListParagraph"/>
        <w:numPr>
          <w:ilvl w:val="0"/>
          <w:numId w:val="30"/>
        </w:numPr>
        <w:tabs>
          <w:tab w:val="left" w:pos="2835"/>
        </w:tabs>
        <w:spacing w:after="0" w:line="240" w:lineRule="auto"/>
        <w:jc w:val="both"/>
        <w:rPr>
          <w:rFonts w:ascii="Arial" w:eastAsia="Times New Roman" w:hAnsi="Arial" w:cs="Arial"/>
          <w:iCs/>
          <w:sz w:val="20"/>
          <w:szCs w:val="20"/>
        </w:rPr>
      </w:pPr>
      <w:r w:rsidRPr="00C10A1B">
        <w:rPr>
          <w:rFonts w:ascii="Arial" w:eastAsia="Times New Roman" w:hAnsi="Arial" w:cs="Arial"/>
          <w:iCs/>
          <w:sz w:val="20"/>
          <w:szCs w:val="20"/>
        </w:rPr>
        <w:t>augment working capital;</w:t>
      </w:r>
    </w:p>
    <w:p w14:paraId="40B81674" w14:textId="4464B802" w:rsidR="003D66A5" w:rsidRPr="00C10A1B" w:rsidRDefault="003D66A5" w:rsidP="005459E7">
      <w:pPr>
        <w:pStyle w:val="ListParagraph"/>
        <w:numPr>
          <w:ilvl w:val="0"/>
          <w:numId w:val="30"/>
        </w:numPr>
        <w:tabs>
          <w:tab w:val="left" w:pos="2835"/>
        </w:tabs>
        <w:spacing w:after="0" w:line="240" w:lineRule="auto"/>
        <w:jc w:val="both"/>
        <w:rPr>
          <w:rFonts w:ascii="Arial" w:eastAsia="Times New Roman" w:hAnsi="Arial" w:cs="Arial"/>
          <w:iCs/>
          <w:sz w:val="20"/>
          <w:szCs w:val="20"/>
        </w:rPr>
      </w:pPr>
      <w:r w:rsidRPr="00C10A1B">
        <w:rPr>
          <w:rFonts w:ascii="Arial" w:eastAsia="Times New Roman" w:hAnsi="Arial" w:cs="Arial"/>
          <w:iCs/>
          <w:sz w:val="20"/>
          <w:szCs w:val="20"/>
        </w:rPr>
        <w:t xml:space="preserve">return capital of at least </w:t>
      </w:r>
      <w:r w:rsidR="00AF76A4">
        <w:rPr>
          <w:rFonts w:ascii="Arial" w:eastAsia="Times New Roman" w:hAnsi="Arial" w:cs="Arial"/>
          <w:iCs/>
          <w:sz w:val="20"/>
          <w:szCs w:val="20"/>
        </w:rPr>
        <w:t>US</w:t>
      </w:r>
      <w:r w:rsidRPr="00730C48">
        <w:rPr>
          <w:rFonts w:ascii="Arial" w:eastAsia="Times New Roman" w:hAnsi="Arial" w:cs="Arial"/>
          <w:iCs/>
          <w:sz w:val="20"/>
          <w:szCs w:val="20"/>
        </w:rPr>
        <w:t>$250</w:t>
      </w:r>
      <w:r w:rsidRPr="00C10A1B">
        <w:rPr>
          <w:rFonts w:ascii="Arial" w:eastAsia="Times New Roman" w:hAnsi="Arial" w:cs="Arial"/>
          <w:iCs/>
          <w:sz w:val="20"/>
          <w:szCs w:val="20"/>
        </w:rPr>
        <w:t>m</w:t>
      </w:r>
      <w:r w:rsidR="00730C48">
        <w:rPr>
          <w:rFonts w:ascii="Arial" w:eastAsia="Times New Roman" w:hAnsi="Arial" w:cs="Arial"/>
          <w:iCs/>
          <w:sz w:val="20"/>
          <w:szCs w:val="20"/>
        </w:rPr>
        <w:t xml:space="preserve"> </w:t>
      </w:r>
      <w:r w:rsidRPr="00C10A1B">
        <w:rPr>
          <w:rFonts w:ascii="Arial" w:eastAsia="Times New Roman" w:hAnsi="Arial" w:cs="Arial"/>
          <w:iCs/>
          <w:sz w:val="20"/>
          <w:szCs w:val="20"/>
        </w:rPr>
        <w:t>to Shareholders;</w:t>
      </w:r>
      <w:r w:rsidR="00482B0F">
        <w:rPr>
          <w:rFonts w:ascii="Arial" w:eastAsia="Times New Roman" w:hAnsi="Arial" w:cs="Arial"/>
          <w:iCs/>
          <w:sz w:val="20"/>
          <w:szCs w:val="20"/>
        </w:rPr>
        <w:t xml:space="preserve"> and</w:t>
      </w:r>
    </w:p>
    <w:p w14:paraId="4B222A81" w14:textId="227E0CAE" w:rsidR="007A308B" w:rsidRPr="00C10A1B" w:rsidRDefault="007A308B" w:rsidP="005459E7">
      <w:pPr>
        <w:pStyle w:val="ListParagraph"/>
        <w:numPr>
          <w:ilvl w:val="0"/>
          <w:numId w:val="30"/>
        </w:numPr>
        <w:tabs>
          <w:tab w:val="left" w:pos="2835"/>
        </w:tabs>
        <w:spacing w:after="0" w:line="240" w:lineRule="auto"/>
        <w:jc w:val="both"/>
        <w:rPr>
          <w:rFonts w:ascii="Arial" w:eastAsia="Times New Roman" w:hAnsi="Arial" w:cs="Arial"/>
          <w:iCs/>
          <w:sz w:val="20"/>
          <w:szCs w:val="20"/>
        </w:rPr>
      </w:pPr>
      <w:r w:rsidRPr="00C10A1B">
        <w:rPr>
          <w:rFonts w:ascii="Arial" w:eastAsia="Times New Roman" w:hAnsi="Arial" w:cs="Arial"/>
          <w:iCs/>
          <w:sz w:val="20"/>
          <w:szCs w:val="20"/>
        </w:rPr>
        <w:t>assist with the development and acquisition of other oil</w:t>
      </w:r>
    </w:p>
    <w:p w14:paraId="772354F7" w14:textId="41435CD6" w:rsidR="007A308B" w:rsidRPr="00C10A1B" w:rsidRDefault="007A308B" w:rsidP="00AA6016">
      <w:pPr>
        <w:pStyle w:val="ListParagraph"/>
        <w:tabs>
          <w:tab w:val="left" w:pos="2835"/>
        </w:tabs>
        <w:spacing w:after="0" w:line="240" w:lineRule="auto"/>
        <w:ind w:left="780"/>
        <w:jc w:val="both"/>
        <w:rPr>
          <w:rFonts w:ascii="Arial" w:eastAsia="Times New Roman" w:hAnsi="Arial" w:cs="Arial"/>
          <w:iCs/>
          <w:sz w:val="20"/>
          <w:szCs w:val="20"/>
        </w:rPr>
      </w:pPr>
      <w:r w:rsidRPr="00C10A1B">
        <w:rPr>
          <w:rFonts w:ascii="Arial" w:eastAsia="Times New Roman" w:hAnsi="Arial" w:cs="Arial"/>
          <w:iCs/>
          <w:sz w:val="20"/>
          <w:szCs w:val="20"/>
        </w:rPr>
        <w:t>and gas assets within the Group</w:t>
      </w:r>
      <w:r w:rsidR="00482B0F">
        <w:rPr>
          <w:rFonts w:ascii="Arial" w:eastAsia="Times New Roman" w:hAnsi="Arial" w:cs="Arial"/>
          <w:iCs/>
          <w:sz w:val="20"/>
          <w:szCs w:val="20"/>
        </w:rPr>
        <w:t>.</w:t>
      </w:r>
    </w:p>
    <w:p w14:paraId="5B7727E9" w14:textId="495B5F6D" w:rsidR="00CC2F31" w:rsidRPr="00C10A1B" w:rsidRDefault="00CC2F31" w:rsidP="00AA6016">
      <w:pPr>
        <w:pStyle w:val="ListParagraph"/>
        <w:tabs>
          <w:tab w:val="left" w:pos="2835"/>
        </w:tabs>
        <w:spacing w:after="0" w:line="240" w:lineRule="auto"/>
        <w:ind w:left="780"/>
        <w:jc w:val="both"/>
        <w:rPr>
          <w:rFonts w:ascii="Arial" w:eastAsia="Times New Roman" w:hAnsi="Arial" w:cs="Arial"/>
          <w:iCs/>
          <w:sz w:val="20"/>
          <w:szCs w:val="20"/>
        </w:rPr>
      </w:pPr>
    </w:p>
    <w:p w14:paraId="360B10B6" w14:textId="6BA1A5D8" w:rsidR="00D77BBB" w:rsidRPr="00C43C48" w:rsidRDefault="00D77BBB" w:rsidP="00D77BBB">
      <w:pPr>
        <w:jc w:val="both"/>
        <w:rPr>
          <w:rFonts w:ascii="Arial" w:hAnsi="Arial" w:cs="Arial"/>
          <w:sz w:val="20"/>
          <w:szCs w:val="20"/>
        </w:rPr>
      </w:pPr>
      <w:r w:rsidRPr="00C43C48">
        <w:rPr>
          <w:rFonts w:ascii="Arial" w:hAnsi="Arial" w:cs="Arial"/>
          <w:sz w:val="20"/>
          <w:szCs w:val="20"/>
        </w:rPr>
        <w:t>As at 31 December 2019 the gross assets attributable to the Sale Interest were</w:t>
      </w:r>
      <w:r w:rsidR="00AF76A4" w:rsidRPr="00C43C48">
        <w:rPr>
          <w:rFonts w:ascii="Arial" w:hAnsi="Arial" w:cs="Arial"/>
          <w:sz w:val="20"/>
          <w:szCs w:val="20"/>
        </w:rPr>
        <w:t xml:space="preserve"> US</w:t>
      </w:r>
      <w:r w:rsidRPr="00C43C48">
        <w:rPr>
          <w:rFonts w:ascii="Arial" w:hAnsi="Arial" w:cs="Arial"/>
          <w:sz w:val="20"/>
          <w:szCs w:val="20"/>
        </w:rPr>
        <w:t>$522.1m. For the year ended 31 December 2019 there was no profit or loss attributable to the Sale Interest.</w:t>
      </w:r>
    </w:p>
    <w:p w14:paraId="2FF78362" w14:textId="3FFEB13F" w:rsidR="00973E83" w:rsidRPr="00C10A1B" w:rsidRDefault="007A308B" w:rsidP="00AA6016">
      <w:pPr>
        <w:jc w:val="both"/>
        <w:rPr>
          <w:rFonts w:ascii="Arial" w:hAnsi="Arial" w:cs="Arial"/>
          <w:sz w:val="20"/>
          <w:szCs w:val="20"/>
        </w:rPr>
      </w:pPr>
      <w:r w:rsidRPr="00C10A1B">
        <w:rPr>
          <w:rFonts w:ascii="Arial" w:eastAsia="Times New Roman" w:hAnsi="Arial" w:cs="Arial"/>
          <w:iCs/>
          <w:sz w:val="20"/>
          <w:szCs w:val="20"/>
        </w:rPr>
        <w:t>The Transaction is not expected to result in any material cash tax liability for the Group.</w:t>
      </w:r>
      <w:r w:rsidRPr="00C10A1B" w:rsidDel="007A308B">
        <w:rPr>
          <w:rFonts w:ascii="Arial" w:eastAsia="Times New Roman" w:hAnsi="Arial" w:cs="Arial"/>
          <w:iCs/>
          <w:sz w:val="20"/>
          <w:szCs w:val="20"/>
        </w:rPr>
        <w:t xml:space="preserve"> </w:t>
      </w:r>
    </w:p>
    <w:p w14:paraId="2F9C46D5" w14:textId="77777777" w:rsidR="00DF097E" w:rsidRPr="00C10A1B" w:rsidRDefault="00DF097E" w:rsidP="00AA6016">
      <w:pPr>
        <w:tabs>
          <w:tab w:val="left" w:pos="2835"/>
        </w:tabs>
        <w:spacing w:after="0" w:line="240" w:lineRule="auto"/>
        <w:jc w:val="both"/>
        <w:rPr>
          <w:rFonts w:ascii="Arial" w:eastAsia="Times New Roman" w:hAnsi="Arial" w:cs="Arial"/>
          <w:iCs/>
          <w:sz w:val="20"/>
          <w:szCs w:val="20"/>
        </w:rPr>
      </w:pPr>
    </w:p>
    <w:p w14:paraId="1261E63F" w14:textId="681ED5EE" w:rsidR="00973E83" w:rsidRPr="00C43C48" w:rsidRDefault="00973E83" w:rsidP="00AA6016">
      <w:pPr>
        <w:pStyle w:val="ListParagraph"/>
        <w:numPr>
          <w:ilvl w:val="0"/>
          <w:numId w:val="4"/>
        </w:numPr>
        <w:spacing w:before="60" w:after="60" w:line="240" w:lineRule="exact"/>
        <w:ind w:left="142" w:firstLine="0"/>
        <w:contextualSpacing w:val="0"/>
        <w:jc w:val="both"/>
        <w:rPr>
          <w:rFonts w:ascii="Arial" w:hAnsi="Arial" w:cs="Arial"/>
          <w:b/>
          <w:bCs/>
          <w:sz w:val="20"/>
          <w:szCs w:val="20"/>
        </w:rPr>
      </w:pPr>
      <w:r w:rsidRPr="00C43C48">
        <w:rPr>
          <w:rFonts w:ascii="Arial" w:hAnsi="Arial" w:cs="Arial"/>
          <w:b/>
          <w:sz w:val="20"/>
          <w:szCs w:val="20"/>
        </w:rPr>
        <w:t>General Meeting</w:t>
      </w:r>
    </w:p>
    <w:p w14:paraId="0201EC59" w14:textId="77777777" w:rsidR="00A94F18" w:rsidRPr="00C43C48" w:rsidRDefault="00A94F18" w:rsidP="00AA6016">
      <w:pPr>
        <w:pStyle w:val="ListParagraph"/>
        <w:spacing w:before="60" w:after="60" w:line="240" w:lineRule="exact"/>
        <w:ind w:left="142"/>
        <w:contextualSpacing w:val="0"/>
        <w:jc w:val="both"/>
        <w:rPr>
          <w:rFonts w:ascii="Arial" w:hAnsi="Arial" w:cs="Arial"/>
          <w:b/>
          <w:bCs/>
          <w:sz w:val="20"/>
          <w:szCs w:val="20"/>
        </w:rPr>
      </w:pPr>
    </w:p>
    <w:p w14:paraId="50CAB835" w14:textId="2723CFC2" w:rsidR="00973E83" w:rsidRPr="00C43C48" w:rsidRDefault="00973E83" w:rsidP="00AA6016">
      <w:pPr>
        <w:tabs>
          <w:tab w:val="left" w:pos="2835"/>
        </w:tabs>
        <w:spacing w:after="0" w:line="240" w:lineRule="auto"/>
        <w:jc w:val="both"/>
        <w:rPr>
          <w:rFonts w:ascii="Arial" w:eastAsia="Times New Roman" w:hAnsi="Arial" w:cs="Arial"/>
          <w:iCs/>
          <w:sz w:val="20"/>
          <w:szCs w:val="20"/>
        </w:rPr>
      </w:pPr>
      <w:r w:rsidRPr="00774283">
        <w:rPr>
          <w:rFonts w:ascii="Arial" w:eastAsia="Times New Roman" w:hAnsi="Arial" w:cs="Arial"/>
          <w:iCs/>
          <w:sz w:val="20"/>
          <w:szCs w:val="20"/>
        </w:rPr>
        <w:t xml:space="preserve">Completion of the Transaction is conditional upon Shareholders’ approval being obtained at the General Meeting. </w:t>
      </w:r>
      <w:r w:rsidR="00A94F18" w:rsidRPr="00774283">
        <w:rPr>
          <w:rFonts w:ascii="Arial" w:eastAsia="Times New Roman" w:hAnsi="Arial" w:cs="Arial"/>
          <w:iCs/>
          <w:sz w:val="20"/>
          <w:szCs w:val="20"/>
        </w:rPr>
        <w:t xml:space="preserve">A circular setting out further details </w:t>
      </w:r>
      <w:r w:rsidRPr="00774283">
        <w:rPr>
          <w:rFonts w:ascii="Arial" w:eastAsia="Times New Roman" w:hAnsi="Arial" w:cs="Arial"/>
          <w:iCs/>
          <w:sz w:val="20"/>
          <w:szCs w:val="20"/>
        </w:rPr>
        <w:t>of</w:t>
      </w:r>
      <w:r w:rsidR="0021028B" w:rsidRPr="00774283">
        <w:rPr>
          <w:rFonts w:ascii="Arial" w:eastAsia="Times New Roman" w:hAnsi="Arial" w:cs="Arial"/>
          <w:iCs/>
          <w:sz w:val="20"/>
          <w:szCs w:val="20"/>
        </w:rPr>
        <w:t xml:space="preserve"> the</w:t>
      </w:r>
      <w:r w:rsidR="00A94F18" w:rsidRPr="00774283">
        <w:rPr>
          <w:rFonts w:ascii="Arial" w:eastAsia="Times New Roman" w:hAnsi="Arial" w:cs="Arial"/>
          <w:iCs/>
          <w:sz w:val="20"/>
          <w:szCs w:val="20"/>
        </w:rPr>
        <w:t xml:space="preserve"> Transaction, together with the notice to convene the </w:t>
      </w:r>
      <w:r w:rsidR="00DD33DF" w:rsidRPr="00C43C48">
        <w:rPr>
          <w:rFonts w:ascii="Arial" w:eastAsia="Times New Roman" w:hAnsi="Arial" w:cs="Arial"/>
          <w:iCs/>
          <w:sz w:val="20"/>
          <w:szCs w:val="20"/>
        </w:rPr>
        <w:t>G</w:t>
      </w:r>
      <w:r w:rsidR="00A94F18" w:rsidRPr="00C43C48">
        <w:rPr>
          <w:rFonts w:ascii="Arial" w:eastAsia="Times New Roman" w:hAnsi="Arial" w:cs="Arial"/>
          <w:iCs/>
          <w:sz w:val="20"/>
          <w:szCs w:val="20"/>
        </w:rPr>
        <w:t xml:space="preserve">eneral </w:t>
      </w:r>
      <w:r w:rsidR="00DD33DF" w:rsidRPr="00C43C48">
        <w:rPr>
          <w:rFonts w:ascii="Arial" w:eastAsia="Times New Roman" w:hAnsi="Arial" w:cs="Arial"/>
          <w:iCs/>
          <w:sz w:val="20"/>
          <w:szCs w:val="20"/>
        </w:rPr>
        <w:t>M</w:t>
      </w:r>
      <w:r w:rsidR="00A94F18" w:rsidRPr="00C43C48">
        <w:rPr>
          <w:rFonts w:ascii="Arial" w:eastAsia="Times New Roman" w:hAnsi="Arial" w:cs="Arial"/>
          <w:iCs/>
          <w:sz w:val="20"/>
          <w:szCs w:val="20"/>
        </w:rPr>
        <w:t xml:space="preserve">eeting and the form of proxy for use at the </w:t>
      </w:r>
      <w:r w:rsidR="00DD33DF" w:rsidRPr="00C43C48">
        <w:rPr>
          <w:rFonts w:ascii="Arial" w:eastAsia="Times New Roman" w:hAnsi="Arial" w:cs="Arial"/>
          <w:iCs/>
          <w:sz w:val="20"/>
          <w:szCs w:val="20"/>
        </w:rPr>
        <w:t>G</w:t>
      </w:r>
      <w:r w:rsidR="00A94F18" w:rsidRPr="00C43C48">
        <w:rPr>
          <w:rFonts w:ascii="Arial" w:eastAsia="Times New Roman" w:hAnsi="Arial" w:cs="Arial"/>
          <w:iCs/>
          <w:sz w:val="20"/>
          <w:szCs w:val="20"/>
        </w:rPr>
        <w:t xml:space="preserve">eneral </w:t>
      </w:r>
      <w:r w:rsidR="00DD33DF" w:rsidRPr="00C43C48">
        <w:rPr>
          <w:rFonts w:ascii="Arial" w:eastAsia="Times New Roman" w:hAnsi="Arial" w:cs="Arial"/>
          <w:iCs/>
          <w:sz w:val="20"/>
          <w:szCs w:val="20"/>
        </w:rPr>
        <w:t>M</w:t>
      </w:r>
      <w:r w:rsidR="00A94F18" w:rsidRPr="00C43C48">
        <w:rPr>
          <w:rFonts w:ascii="Arial" w:eastAsia="Times New Roman" w:hAnsi="Arial" w:cs="Arial"/>
          <w:iCs/>
          <w:sz w:val="20"/>
          <w:szCs w:val="20"/>
        </w:rPr>
        <w:t>eeting, will be p</w:t>
      </w:r>
      <w:r w:rsidR="008966C6" w:rsidRPr="00C43C48">
        <w:rPr>
          <w:rFonts w:ascii="Arial" w:eastAsia="Times New Roman" w:hAnsi="Arial" w:cs="Arial"/>
          <w:iCs/>
          <w:sz w:val="20"/>
          <w:szCs w:val="20"/>
        </w:rPr>
        <w:t>ubl</w:t>
      </w:r>
      <w:r w:rsidR="00D50AEE" w:rsidRPr="00C43C48">
        <w:rPr>
          <w:rFonts w:ascii="Arial" w:eastAsia="Times New Roman" w:hAnsi="Arial" w:cs="Arial"/>
          <w:iCs/>
          <w:sz w:val="20"/>
          <w:szCs w:val="20"/>
        </w:rPr>
        <w:t>ished</w:t>
      </w:r>
      <w:r w:rsidR="00A94F18" w:rsidRPr="00C43C48">
        <w:rPr>
          <w:rFonts w:ascii="Arial" w:eastAsia="Times New Roman" w:hAnsi="Arial" w:cs="Arial"/>
          <w:iCs/>
          <w:sz w:val="20"/>
          <w:szCs w:val="20"/>
        </w:rPr>
        <w:t xml:space="preserve"> in due course. </w:t>
      </w:r>
    </w:p>
    <w:p w14:paraId="01C40A8C" w14:textId="77777777" w:rsidR="00A94F18" w:rsidRPr="00C43C48" w:rsidRDefault="00A94F18" w:rsidP="00AA6016">
      <w:pPr>
        <w:tabs>
          <w:tab w:val="left" w:pos="2835"/>
        </w:tabs>
        <w:spacing w:after="0" w:line="240" w:lineRule="auto"/>
        <w:jc w:val="both"/>
        <w:rPr>
          <w:rFonts w:ascii="Arial" w:eastAsia="Times New Roman" w:hAnsi="Arial" w:cs="Arial"/>
          <w:iCs/>
          <w:sz w:val="20"/>
          <w:szCs w:val="20"/>
        </w:rPr>
      </w:pPr>
    </w:p>
    <w:p w14:paraId="3E43E87B" w14:textId="50561A3E" w:rsidR="00973E83" w:rsidRPr="00C43C48" w:rsidRDefault="00973E83" w:rsidP="00AA6016">
      <w:pPr>
        <w:tabs>
          <w:tab w:val="left" w:pos="2835"/>
        </w:tabs>
        <w:spacing w:after="0" w:line="240" w:lineRule="auto"/>
        <w:jc w:val="both"/>
        <w:rPr>
          <w:rFonts w:ascii="Arial" w:eastAsia="Times New Roman" w:hAnsi="Arial" w:cs="Arial"/>
          <w:iCs/>
          <w:sz w:val="20"/>
          <w:szCs w:val="20"/>
        </w:rPr>
      </w:pPr>
      <w:r w:rsidRPr="00C43C48">
        <w:rPr>
          <w:rFonts w:ascii="Arial" w:eastAsia="Times New Roman" w:hAnsi="Arial" w:cs="Arial"/>
          <w:iCs/>
          <w:sz w:val="20"/>
          <w:szCs w:val="20"/>
        </w:rPr>
        <w:t xml:space="preserve">The </w:t>
      </w:r>
      <w:r w:rsidR="00DD33DF" w:rsidRPr="00C43C48">
        <w:rPr>
          <w:rFonts w:ascii="Arial" w:eastAsia="Times New Roman" w:hAnsi="Arial" w:cs="Arial"/>
          <w:iCs/>
          <w:sz w:val="20"/>
          <w:szCs w:val="20"/>
        </w:rPr>
        <w:t>r</w:t>
      </w:r>
      <w:r w:rsidRPr="00C43C48">
        <w:rPr>
          <w:rFonts w:ascii="Arial" w:eastAsia="Times New Roman" w:hAnsi="Arial" w:cs="Arial"/>
          <w:iCs/>
          <w:sz w:val="20"/>
          <w:szCs w:val="20"/>
        </w:rPr>
        <w:t>esolution</w:t>
      </w:r>
      <w:r w:rsidR="00DD33DF" w:rsidRPr="00C43C48">
        <w:rPr>
          <w:rFonts w:ascii="Arial" w:eastAsia="Times New Roman" w:hAnsi="Arial" w:cs="Arial"/>
          <w:iCs/>
          <w:sz w:val="20"/>
          <w:szCs w:val="20"/>
        </w:rPr>
        <w:t xml:space="preserve"> to approve the Transaction</w:t>
      </w:r>
      <w:r w:rsidRPr="00C43C48">
        <w:rPr>
          <w:rFonts w:ascii="Arial" w:eastAsia="Times New Roman" w:hAnsi="Arial" w:cs="Arial"/>
          <w:iCs/>
          <w:sz w:val="20"/>
          <w:szCs w:val="20"/>
        </w:rPr>
        <w:t xml:space="preserve"> will be proposed as an ordinary resolution that will be passed if a simple majority of the votes cast are in favour of the </w:t>
      </w:r>
      <w:r w:rsidR="00DD33DF" w:rsidRPr="00C43C48">
        <w:rPr>
          <w:rFonts w:ascii="Arial" w:eastAsia="Times New Roman" w:hAnsi="Arial" w:cs="Arial"/>
          <w:iCs/>
          <w:sz w:val="20"/>
          <w:szCs w:val="20"/>
        </w:rPr>
        <w:t>r</w:t>
      </w:r>
      <w:r w:rsidRPr="00C43C48">
        <w:rPr>
          <w:rFonts w:ascii="Arial" w:eastAsia="Times New Roman" w:hAnsi="Arial" w:cs="Arial"/>
          <w:iCs/>
          <w:sz w:val="20"/>
          <w:szCs w:val="20"/>
        </w:rPr>
        <w:t>esolution.</w:t>
      </w:r>
    </w:p>
    <w:p w14:paraId="1239A234" w14:textId="48106B06" w:rsidR="008D48AB" w:rsidRPr="00C43C48" w:rsidRDefault="008D48AB" w:rsidP="00AA6016">
      <w:pPr>
        <w:tabs>
          <w:tab w:val="left" w:pos="2835"/>
        </w:tabs>
        <w:spacing w:after="0" w:line="240" w:lineRule="auto"/>
        <w:jc w:val="both"/>
        <w:rPr>
          <w:rFonts w:ascii="Arial" w:eastAsia="Times New Roman" w:hAnsi="Arial" w:cs="Arial"/>
          <w:iCs/>
          <w:sz w:val="20"/>
          <w:szCs w:val="20"/>
        </w:rPr>
      </w:pPr>
    </w:p>
    <w:p w14:paraId="38E69F9E" w14:textId="292F2E3E" w:rsidR="008D48AB" w:rsidRPr="00C43C48" w:rsidRDefault="008D48AB" w:rsidP="00AA6016">
      <w:pPr>
        <w:tabs>
          <w:tab w:val="left" w:pos="2835"/>
        </w:tabs>
        <w:spacing w:after="0" w:line="240" w:lineRule="auto"/>
        <w:jc w:val="both"/>
        <w:rPr>
          <w:rFonts w:ascii="Arial" w:eastAsia="Times New Roman" w:hAnsi="Arial" w:cs="Arial"/>
          <w:iCs/>
          <w:sz w:val="20"/>
          <w:szCs w:val="20"/>
        </w:rPr>
      </w:pPr>
      <w:r w:rsidRPr="00C43C48">
        <w:rPr>
          <w:rFonts w:ascii="Arial" w:hAnsi="Arial" w:cs="Arial"/>
          <w:sz w:val="20"/>
          <w:szCs w:val="20"/>
          <w:lang w:eastAsia="en-US"/>
        </w:rPr>
        <w:t xml:space="preserve">As a result of the ongoing coronavirus (COVID-19) global pandemic and the legislative measures and guidance introduced by the Scottish Government to restrict public gatherings and all but essential travel, it is anticipated that the General Meeting will take place as a closed meeting. This approach reflects the arrangements </w:t>
      </w:r>
      <w:r w:rsidR="0021028B" w:rsidRPr="00C43C48">
        <w:rPr>
          <w:rFonts w:ascii="Arial" w:hAnsi="Arial" w:cs="Arial"/>
          <w:sz w:val="20"/>
          <w:szCs w:val="20"/>
          <w:lang w:eastAsia="en-US"/>
        </w:rPr>
        <w:t xml:space="preserve">adopted </w:t>
      </w:r>
      <w:r w:rsidRPr="00C43C48">
        <w:rPr>
          <w:rFonts w:ascii="Arial" w:hAnsi="Arial" w:cs="Arial"/>
          <w:sz w:val="20"/>
          <w:szCs w:val="20"/>
          <w:lang w:eastAsia="en-US"/>
        </w:rPr>
        <w:t>for C</w:t>
      </w:r>
      <w:r w:rsidR="0021028B" w:rsidRPr="00C43C48">
        <w:rPr>
          <w:rFonts w:ascii="Arial" w:hAnsi="Arial" w:cs="Arial"/>
          <w:sz w:val="20"/>
          <w:szCs w:val="20"/>
          <w:lang w:eastAsia="en-US"/>
        </w:rPr>
        <w:t>airn</w:t>
      </w:r>
      <w:r w:rsidRPr="00C43C48">
        <w:rPr>
          <w:rFonts w:ascii="Arial" w:hAnsi="Arial" w:cs="Arial"/>
          <w:sz w:val="20"/>
          <w:szCs w:val="20"/>
          <w:lang w:eastAsia="en-US"/>
        </w:rPr>
        <w:t xml:space="preserve">’s </w:t>
      </w:r>
      <w:r w:rsidRPr="00774283">
        <w:rPr>
          <w:rFonts w:ascii="Arial" w:hAnsi="Arial" w:cs="Arial"/>
          <w:sz w:val="20"/>
          <w:szCs w:val="20"/>
          <w:lang w:eastAsia="en-US"/>
        </w:rPr>
        <w:t>recent annual general meeting and is intended to ensure the safety of our Shareholders, our employees, our advisers and the general public. Further information will be contained in the circular to be sent to Shareholders in connection with the Transaction, including notice of t</w:t>
      </w:r>
      <w:r w:rsidRPr="00C43C48">
        <w:rPr>
          <w:rFonts w:ascii="Arial" w:hAnsi="Arial" w:cs="Arial"/>
          <w:sz w:val="20"/>
          <w:szCs w:val="20"/>
          <w:lang w:eastAsia="en-US"/>
        </w:rPr>
        <w:t>he General Meeting. The Company will continue to monitor the relevant legislative measures and guidance and, if circumstances change resulting in the lifting of measures preventing the movement of people before the General Meeting, it will consider if it is appropriate to open up the General Meeting for attendance by Shareholders.</w:t>
      </w:r>
    </w:p>
    <w:p w14:paraId="68153526" w14:textId="77777777" w:rsidR="00973E83" w:rsidRPr="00C43C48" w:rsidRDefault="00973E83" w:rsidP="00AA6016">
      <w:pPr>
        <w:spacing w:after="0" w:line="240" w:lineRule="auto"/>
        <w:jc w:val="both"/>
        <w:rPr>
          <w:rFonts w:ascii="Arial" w:eastAsia="Times New Roman" w:hAnsi="Arial" w:cs="Arial"/>
          <w:sz w:val="20"/>
          <w:szCs w:val="20"/>
        </w:rPr>
      </w:pPr>
    </w:p>
    <w:p w14:paraId="25D33A36" w14:textId="55EDEB88" w:rsidR="00973E83" w:rsidRPr="00C10A1B" w:rsidRDefault="00A67B28" w:rsidP="00AA6016">
      <w:pPr>
        <w:pStyle w:val="ListParagraph"/>
        <w:spacing w:before="60" w:after="60" w:line="240" w:lineRule="exact"/>
        <w:ind w:left="142"/>
        <w:contextualSpacing w:val="0"/>
        <w:jc w:val="both"/>
        <w:rPr>
          <w:rFonts w:ascii="Arial" w:hAnsi="Arial" w:cs="Arial"/>
          <w:b/>
          <w:color w:val="231F20"/>
          <w:sz w:val="20"/>
          <w:szCs w:val="20"/>
        </w:rPr>
      </w:pPr>
      <w:r w:rsidRPr="00C10A1B">
        <w:rPr>
          <w:rFonts w:ascii="Arial" w:hAnsi="Arial" w:cs="Arial"/>
          <w:b/>
          <w:color w:val="231F20"/>
          <w:sz w:val="20"/>
          <w:szCs w:val="20"/>
        </w:rPr>
        <w:t> </w:t>
      </w:r>
    </w:p>
    <w:p w14:paraId="689F232B" w14:textId="77777777" w:rsidR="00DF097E" w:rsidRPr="00C10A1B" w:rsidRDefault="00DF097E">
      <w:pPr>
        <w:rPr>
          <w:rFonts w:ascii="Arial" w:hAnsi="Arial" w:cs="Arial"/>
          <w:b/>
          <w:color w:val="231F20"/>
          <w:sz w:val="20"/>
          <w:szCs w:val="20"/>
        </w:rPr>
      </w:pPr>
      <w:r w:rsidRPr="00C10A1B">
        <w:rPr>
          <w:rFonts w:ascii="Arial" w:hAnsi="Arial" w:cs="Arial"/>
          <w:b/>
          <w:color w:val="231F20"/>
          <w:sz w:val="20"/>
          <w:szCs w:val="20"/>
        </w:rPr>
        <w:br w:type="page"/>
      </w:r>
    </w:p>
    <w:p w14:paraId="2371ABB5" w14:textId="5A52416D" w:rsidR="00877B97" w:rsidRPr="00C10A1B" w:rsidRDefault="00DF097E" w:rsidP="00DF097E">
      <w:pPr>
        <w:pStyle w:val="ListParagraph"/>
        <w:spacing w:before="60" w:after="60" w:line="240" w:lineRule="exact"/>
        <w:ind w:left="142"/>
        <w:contextualSpacing w:val="0"/>
        <w:jc w:val="center"/>
        <w:rPr>
          <w:rFonts w:ascii="Arial" w:hAnsi="Arial" w:cs="Arial"/>
          <w:b/>
          <w:color w:val="231F20"/>
          <w:sz w:val="20"/>
          <w:szCs w:val="20"/>
        </w:rPr>
      </w:pPr>
      <w:r w:rsidRPr="00C10A1B">
        <w:rPr>
          <w:rFonts w:ascii="Arial" w:hAnsi="Arial" w:cs="Arial"/>
          <w:b/>
          <w:color w:val="231F20"/>
          <w:sz w:val="20"/>
          <w:szCs w:val="20"/>
        </w:rPr>
        <w:lastRenderedPageBreak/>
        <w:t xml:space="preserve">Appendix </w:t>
      </w:r>
      <w:r w:rsidR="008151BC" w:rsidRPr="00C10A1B">
        <w:rPr>
          <w:rFonts w:ascii="Arial" w:hAnsi="Arial" w:cs="Arial"/>
          <w:b/>
          <w:color w:val="231F20"/>
          <w:sz w:val="20"/>
          <w:szCs w:val="20"/>
        </w:rPr>
        <w:t>–</w:t>
      </w:r>
      <w:r w:rsidRPr="00C10A1B">
        <w:rPr>
          <w:rFonts w:ascii="Arial" w:hAnsi="Arial" w:cs="Arial"/>
          <w:b/>
          <w:color w:val="231F20"/>
          <w:sz w:val="20"/>
          <w:szCs w:val="20"/>
        </w:rPr>
        <w:t xml:space="preserve"> </w:t>
      </w:r>
      <w:r w:rsidR="00877B97" w:rsidRPr="00C10A1B">
        <w:rPr>
          <w:rFonts w:ascii="Arial" w:hAnsi="Arial" w:cs="Arial"/>
          <w:b/>
          <w:color w:val="231F20"/>
          <w:sz w:val="20"/>
          <w:szCs w:val="20"/>
        </w:rPr>
        <w:t>Definitions</w:t>
      </w:r>
    </w:p>
    <w:p w14:paraId="3A9E7484" w14:textId="20A4EA69" w:rsidR="008151BC" w:rsidRPr="00C10A1B" w:rsidRDefault="008151BC" w:rsidP="00DF097E">
      <w:pPr>
        <w:pStyle w:val="ListParagraph"/>
        <w:spacing w:before="60" w:after="60" w:line="240" w:lineRule="exact"/>
        <w:ind w:left="142"/>
        <w:contextualSpacing w:val="0"/>
        <w:jc w:val="center"/>
        <w:rPr>
          <w:rFonts w:ascii="Arial" w:hAnsi="Arial" w:cs="Arial"/>
          <w:b/>
          <w:color w:val="231F20"/>
          <w:sz w:val="20"/>
          <w:szCs w:val="20"/>
        </w:rPr>
      </w:pPr>
    </w:p>
    <w:p w14:paraId="71C182A0" w14:textId="79ED2DB7" w:rsidR="008151BC" w:rsidRPr="00C10A1B" w:rsidRDefault="008151BC" w:rsidP="008151BC">
      <w:pPr>
        <w:tabs>
          <w:tab w:val="left" w:pos="2835"/>
        </w:tabs>
        <w:spacing w:after="0" w:line="240" w:lineRule="auto"/>
        <w:jc w:val="both"/>
        <w:rPr>
          <w:rFonts w:ascii="Arial" w:eastAsia="Times New Roman" w:hAnsi="Arial" w:cs="Arial"/>
          <w:iCs/>
          <w:sz w:val="20"/>
          <w:szCs w:val="20"/>
        </w:rPr>
      </w:pPr>
      <w:r w:rsidRPr="00C10A1B">
        <w:rPr>
          <w:rFonts w:ascii="Arial" w:eastAsia="Times New Roman" w:hAnsi="Arial" w:cs="Arial"/>
          <w:iCs/>
          <w:sz w:val="20"/>
          <w:szCs w:val="20"/>
        </w:rPr>
        <w:t>The following definitions apply throughout this announcement unless the context otherwise requires:</w:t>
      </w:r>
    </w:p>
    <w:p w14:paraId="1AFFB5E0" w14:textId="5EF11788" w:rsidR="008151BC" w:rsidRPr="00C10A1B" w:rsidRDefault="008151BC" w:rsidP="008151BC">
      <w:pPr>
        <w:tabs>
          <w:tab w:val="left" w:pos="2835"/>
        </w:tabs>
        <w:spacing w:after="0" w:line="240" w:lineRule="auto"/>
        <w:jc w:val="both"/>
        <w:rPr>
          <w:rFonts w:ascii="Arial" w:eastAsia="Times New Roman" w:hAnsi="Arial" w:cs="Arial"/>
          <w:i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53"/>
      </w:tblGrid>
      <w:tr w:rsidR="00AF2DFF" w:rsidRPr="00C10A1B" w14:paraId="63133860" w14:textId="77777777" w:rsidTr="00FE4612">
        <w:tc>
          <w:tcPr>
            <w:tcW w:w="2263" w:type="dxa"/>
            <w:shd w:val="clear" w:color="auto" w:fill="auto"/>
          </w:tcPr>
          <w:p w14:paraId="1A62F16F" w14:textId="106836CD" w:rsidR="008151BC" w:rsidRPr="00C10A1B" w:rsidRDefault="008151BC" w:rsidP="00AF2DFF">
            <w:pPr>
              <w:tabs>
                <w:tab w:val="left" w:pos="2835"/>
              </w:tabs>
              <w:spacing w:before="240"/>
              <w:jc w:val="both"/>
              <w:rPr>
                <w:rFonts w:ascii="Arial" w:hAnsi="Arial" w:cs="Arial"/>
                <w:b/>
                <w:iCs/>
              </w:rPr>
            </w:pPr>
            <w:bookmarkStart w:id="7" w:name="_Hlk29905638"/>
            <w:r w:rsidRPr="00C10A1B">
              <w:rPr>
                <w:rFonts w:ascii="Arial" w:hAnsi="Arial" w:cs="Arial"/>
                <w:b/>
              </w:rPr>
              <w:t xml:space="preserve">Board  </w:t>
            </w:r>
          </w:p>
        </w:tc>
        <w:tc>
          <w:tcPr>
            <w:tcW w:w="6753" w:type="dxa"/>
            <w:shd w:val="clear" w:color="auto" w:fill="auto"/>
          </w:tcPr>
          <w:p w14:paraId="60D4E99E" w14:textId="7330F2BA" w:rsidR="008151BC" w:rsidRPr="00C10A1B" w:rsidRDefault="008151BC" w:rsidP="00AF2DFF">
            <w:pPr>
              <w:tabs>
                <w:tab w:val="left" w:pos="2835"/>
              </w:tabs>
              <w:spacing w:before="240"/>
              <w:jc w:val="both"/>
              <w:rPr>
                <w:rFonts w:ascii="Arial" w:hAnsi="Arial" w:cs="Arial"/>
                <w:iCs/>
              </w:rPr>
            </w:pPr>
            <w:r w:rsidRPr="00C10A1B">
              <w:rPr>
                <w:rFonts w:ascii="Arial" w:hAnsi="Arial" w:cs="Arial"/>
              </w:rPr>
              <w:t>the board of directors of Cairn</w:t>
            </w:r>
          </w:p>
        </w:tc>
      </w:tr>
      <w:tr w:rsidR="00AF2DFF" w:rsidRPr="00C10A1B" w14:paraId="28AE81B7" w14:textId="77777777" w:rsidTr="00FE4612">
        <w:tc>
          <w:tcPr>
            <w:tcW w:w="2263" w:type="dxa"/>
            <w:shd w:val="clear" w:color="auto" w:fill="auto"/>
          </w:tcPr>
          <w:p w14:paraId="73669CE1" w14:textId="799952B0" w:rsidR="008151BC" w:rsidRPr="00C10A1B" w:rsidRDefault="008151BC" w:rsidP="00AF2DFF">
            <w:pPr>
              <w:tabs>
                <w:tab w:val="left" w:pos="2835"/>
              </w:tabs>
              <w:spacing w:before="240"/>
              <w:jc w:val="both"/>
              <w:rPr>
                <w:rFonts w:ascii="Arial" w:hAnsi="Arial" w:cs="Arial"/>
                <w:b/>
                <w:iCs/>
              </w:rPr>
            </w:pPr>
            <w:r w:rsidRPr="00C10A1B">
              <w:rPr>
                <w:rFonts w:ascii="Arial" w:hAnsi="Arial" w:cs="Arial"/>
                <w:b/>
                <w:iCs/>
              </w:rPr>
              <w:t>Capricorn Senegal</w:t>
            </w:r>
          </w:p>
        </w:tc>
        <w:tc>
          <w:tcPr>
            <w:tcW w:w="6753" w:type="dxa"/>
            <w:shd w:val="clear" w:color="auto" w:fill="auto"/>
          </w:tcPr>
          <w:p w14:paraId="429D540E" w14:textId="381F31B7" w:rsidR="008151BC" w:rsidRPr="00C10A1B" w:rsidRDefault="008151BC" w:rsidP="00AF2DFF">
            <w:pPr>
              <w:tabs>
                <w:tab w:val="left" w:pos="2835"/>
              </w:tabs>
              <w:spacing w:before="240"/>
              <w:jc w:val="both"/>
              <w:rPr>
                <w:rFonts w:ascii="Arial" w:hAnsi="Arial" w:cs="Arial"/>
                <w:iCs/>
              </w:rPr>
            </w:pPr>
            <w:r w:rsidRPr="00C10A1B">
              <w:rPr>
                <w:rFonts w:ascii="Arial" w:hAnsi="Arial" w:cs="Arial"/>
                <w:iCs/>
              </w:rPr>
              <w:t>Capricorn Senegal Limited, incorporated in Scotland with company number SC444808, an indirect wholly owned subsidiary of Cairn</w:t>
            </w:r>
          </w:p>
        </w:tc>
      </w:tr>
      <w:tr w:rsidR="00AF2DFF" w:rsidRPr="00C10A1B" w14:paraId="6AC2D36D" w14:textId="77777777" w:rsidTr="00FE4612">
        <w:tc>
          <w:tcPr>
            <w:tcW w:w="2263" w:type="dxa"/>
            <w:shd w:val="clear" w:color="auto" w:fill="auto"/>
          </w:tcPr>
          <w:p w14:paraId="49B32125" w14:textId="604B9FBD" w:rsidR="008151BC" w:rsidRPr="00C10A1B" w:rsidRDefault="008151BC" w:rsidP="00AF2DFF">
            <w:pPr>
              <w:tabs>
                <w:tab w:val="left" w:pos="2835"/>
              </w:tabs>
              <w:spacing w:before="240"/>
              <w:jc w:val="both"/>
              <w:rPr>
                <w:rFonts w:ascii="Arial" w:hAnsi="Arial" w:cs="Arial"/>
                <w:b/>
                <w:iCs/>
              </w:rPr>
            </w:pPr>
            <w:r w:rsidRPr="00C10A1B">
              <w:rPr>
                <w:rFonts w:ascii="Arial" w:hAnsi="Arial" w:cs="Arial"/>
                <w:b/>
                <w:iCs/>
              </w:rPr>
              <w:t>Cairn</w:t>
            </w:r>
          </w:p>
        </w:tc>
        <w:tc>
          <w:tcPr>
            <w:tcW w:w="6753" w:type="dxa"/>
            <w:shd w:val="clear" w:color="auto" w:fill="auto"/>
          </w:tcPr>
          <w:p w14:paraId="780B7635" w14:textId="503C0DC5" w:rsidR="008151BC" w:rsidRPr="00C10A1B" w:rsidRDefault="008151BC" w:rsidP="00AF2DFF">
            <w:pPr>
              <w:tabs>
                <w:tab w:val="left" w:pos="2835"/>
              </w:tabs>
              <w:spacing w:before="240"/>
              <w:jc w:val="both"/>
              <w:rPr>
                <w:rFonts w:ascii="Arial" w:hAnsi="Arial" w:cs="Arial"/>
                <w:iCs/>
              </w:rPr>
            </w:pPr>
            <w:r w:rsidRPr="00C10A1B">
              <w:rPr>
                <w:rFonts w:ascii="Arial" w:hAnsi="Arial" w:cs="Arial"/>
              </w:rPr>
              <w:t>Cairn Energy PLC</w:t>
            </w:r>
          </w:p>
        </w:tc>
      </w:tr>
      <w:tr w:rsidR="00AF2DFF" w:rsidRPr="00C10A1B" w14:paraId="464A4BA2" w14:textId="77777777" w:rsidTr="00FE4612">
        <w:tc>
          <w:tcPr>
            <w:tcW w:w="2263" w:type="dxa"/>
            <w:shd w:val="clear" w:color="auto" w:fill="auto"/>
          </w:tcPr>
          <w:p w14:paraId="4F35E652" w14:textId="66C21C13" w:rsidR="008151BC" w:rsidRPr="00C10A1B" w:rsidRDefault="008151BC" w:rsidP="00AF2DFF">
            <w:pPr>
              <w:tabs>
                <w:tab w:val="left" w:pos="2835"/>
              </w:tabs>
              <w:spacing w:before="240"/>
              <w:jc w:val="both"/>
              <w:rPr>
                <w:rFonts w:ascii="Arial" w:hAnsi="Arial" w:cs="Arial"/>
                <w:b/>
                <w:iCs/>
              </w:rPr>
            </w:pPr>
            <w:r w:rsidRPr="00C10A1B">
              <w:rPr>
                <w:rFonts w:ascii="Arial" w:hAnsi="Arial" w:cs="Arial"/>
                <w:b/>
                <w:iCs/>
              </w:rPr>
              <w:t>Completion</w:t>
            </w:r>
          </w:p>
        </w:tc>
        <w:tc>
          <w:tcPr>
            <w:tcW w:w="6753" w:type="dxa"/>
            <w:shd w:val="clear" w:color="auto" w:fill="auto"/>
          </w:tcPr>
          <w:p w14:paraId="61D1BCF1" w14:textId="0ADF9FD0" w:rsidR="008151BC" w:rsidRPr="00C10A1B" w:rsidRDefault="008151BC" w:rsidP="00AF2DFF">
            <w:pPr>
              <w:tabs>
                <w:tab w:val="left" w:pos="2835"/>
              </w:tabs>
              <w:spacing w:before="240"/>
              <w:jc w:val="both"/>
              <w:rPr>
                <w:rFonts w:ascii="Arial" w:hAnsi="Arial" w:cs="Arial"/>
                <w:iCs/>
              </w:rPr>
            </w:pPr>
            <w:r w:rsidRPr="00C10A1B">
              <w:rPr>
                <w:rFonts w:ascii="Arial" w:hAnsi="Arial" w:cs="Arial"/>
                <w:iCs/>
              </w:rPr>
              <w:t>completion of the Transaction in accordance with the Sale and Purchase Agreement</w:t>
            </w:r>
          </w:p>
        </w:tc>
      </w:tr>
      <w:tr w:rsidR="00AF2DFF" w:rsidRPr="00C10A1B" w14:paraId="607D22DB" w14:textId="77777777" w:rsidTr="00FE4612">
        <w:tc>
          <w:tcPr>
            <w:tcW w:w="2263" w:type="dxa"/>
            <w:shd w:val="clear" w:color="auto" w:fill="auto"/>
          </w:tcPr>
          <w:p w14:paraId="2B4456C7" w14:textId="6B2FC9F2" w:rsidR="008151BC" w:rsidRPr="00C10A1B" w:rsidRDefault="006C54CB" w:rsidP="00AF2DFF">
            <w:pPr>
              <w:tabs>
                <w:tab w:val="left" w:pos="2835"/>
              </w:tabs>
              <w:spacing w:before="240"/>
              <w:jc w:val="both"/>
              <w:rPr>
                <w:rFonts w:ascii="Arial" w:hAnsi="Arial" w:cs="Arial"/>
                <w:b/>
                <w:iCs/>
              </w:rPr>
            </w:pPr>
            <w:r>
              <w:rPr>
                <w:rFonts w:ascii="Arial" w:hAnsi="Arial" w:cs="Arial"/>
                <w:b/>
                <w:iCs/>
              </w:rPr>
              <w:t>E</w:t>
            </w:r>
            <w:r w:rsidR="008151BC" w:rsidRPr="00C10A1B">
              <w:rPr>
                <w:rFonts w:ascii="Arial" w:hAnsi="Arial" w:cs="Arial"/>
                <w:b/>
                <w:iCs/>
              </w:rPr>
              <w:t>xploitation authorisation</w:t>
            </w:r>
          </w:p>
        </w:tc>
        <w:tc>
          <w:tcPr>
            <w:tcW w:w="6753" w:type="dxa"/>
            <w:shd w:val="clear" w:color="auto" w:fill="auto"/>
          </w:tcPr>
          <w:p w14:paraId="77C1CA5C" w14:textId="3E8131AE" w:rsidR="008151BC" w:rsidRPr="00C10A1B" w:rsidRDefault="008151BC" w:rsidP="00AF2DFF">
            <w:pPr>
              <w:tabs>
                <w:tab w:val="left" w:pos="2835"/>
              </w:tabs>
              <w:spacing w:before="240"/>
              <w:jc w:val="both"/>
              <w:rPr>
                <w:rFonts w:ascii="Arial" w:hAnsi="Arial" w:cs="Arial"/>
                <w:iCs/>
              </w:rPr>
            </w:pPr>
            <w:r w:rsidRPr="00C10A1B">
              <w:rPr>
                <w:rFonts w:ascii="Arial" w:hAnsi="Arial" w:cs="Arial"/>
                <w:iCs/>
              </w:rPr>
              <w:t>an authorisation to exploit and produce petroleum awarded or issued under the Senegalese Petroleum Code (Law 2019-03)</w:t>
            </w:r>
          </w:p>
        </w:tc>
      </w:tr>
      <w:tr w:rsidR="00AF2DFF" w:rsidRPr="00C10A1B" w14:paraId="524041C8" w14:textId="77777777" w:rsidTr="00FE4612">
        <w:tc>
          <w:tcPr>
            <w:tcW w:w="2263" w:type="dxa"/>
            <w:shd w:val="clear" w:color="auto" w:fill="auto"/>
          </w:tcPr>
          <w:p w14:paraId="3BAF1A14" w14:textId="7D5BAE0F" w:rsidR="008151BC" w:rsidRPr="00C10A1B" w:rsidRDefault="008151BC" w:rsidP="00AF2DFF">
            <w:pPr>
              <w:tabs>
                <w:tab w:val="left" w:pos="2835"/>
              </w:tabs>
              <w:spacing w:before="240"/>
              <w:jc w:val="both"/>
              <w:rPr>
                <w:rFonts w:ascii="Arial" w:hAnsi="Arial" w:cs="Arial"/>
                <w:b/>
                <w:iCs/>
              </w:rPr>
            </w:pPr>
            <w:r w:rsidRPr="00C10A1B">
              <w:rPr>
                <w:rFonts w:ascii="Arial" w:hAnsi="Arial" w:cs="Arial"/>
                <w:b/>
                <w:bCs/>
              </w:rPr>
              <w:t>FAN</w:t>
            </w:r>
          </w:p>
        </w:tc>
        <w:tc>
          <w:tcPr>
            <w:tcW w:w="6753" w:type="dxa"/>
            <w:shd w:val="clear" w:color="auto" w:fill="auto"/>
          </w:tcPr>
          <w:p w14:paraId="47884808" w14:textId="4C371BC8" w:rsidR="008151BC" w:rsidRPr="00C10A1B" w:rsidRDefault="008151BC" w:rsidP="00AF2DFF">
            <w:pPr>
              <w:autoSpaceDE w:val="0"/>
              <w:autoSpaceDN w:val="0"/>
              <w:adjustRightInd w:val="0"/>
              <w:spacing w:before="240"/>
              <w:rPr>
                <w:rFonts w:ascii="Arial" w:hAnsi="Arial" w:cs="Arial"/>
                <w:iCs/>
              </w:rPr>
            </w:pPr>
            <w:r w:rsidRPr="00C10A1B">
              <w:rPr>
                <w:rFonts w:ascii="Arial" w:hAnsi="Arial" w:cs="Arial"/>
              </w:rPr>
              <w:t>the FAN offshore exploration or evaluation area within the RSSD Contract Area</w:t>
            </w:r>
          </w:p>
        </w:tc>
      </w:tr>
      <w:tr w:rsidR="00AF2DFF" w:rsidRPr="00C10A1B" w14:paraId="77388E39" w14:textId="77777777" w:rsidTr="00FE4612">
        <w:tc>
          <w:tcPr>
            <w:tcW w:w="2263" w:type="dxa"/>
            <w:shd w:val="clear" w:color="auto" w:fill="auto"/>
          </w:tcPr>
          <w:p w14:paraId="566E7207" w14:textId="1BDA59B5" w:rsidR="00D04B62" w:rsidRPr="00C10A1B" w:rsidRDefault="00D04B62" w:rsidP="00AF2DFF">
            <w:pPr>
              <w:tabs>
                <w:tab w:val="left" w:pos="2835"/>
              </w:tabs>
              <w:spacing w:before="240"/>
              <w:jc w:val="both"/>
              <w:rPr>
                <w:rFonts w:ascii="Arial" w:hAnsi="Arial" w:cs="Arial"/>
                <w:b/>
                <w:bCs/>
              </w:rPr>
            </w:pPr>
            <w:r w:rsidRPr="00C10A1B">
              <w:rPr>
                <w:rFonts w:ascii="Arial" w:hAnsi="Arial" w:cs="Arial"/>
                <w:b/>
                <w:bCs/>
              </w:rPr>
              <w:t>FAR</w:t>
            </w:r>
          </w:p>
        </w:tc>
        <w:tc>
          <w:tcPr>
            <w:tcW w:w="6753" w:type="dxa"/>
            <w:shd w:val="clear" w:color="auto" w:fill="auto"/>
          </w:tcPr>
          <w:p w14:paraId="661964B0" w14:textId="7B3C9DCB" w:rsidR="00D04B62" w:rsidRPr="00C10A1B" w:rsidRDefault="00D04B62" w:rsidP="00AF2DFF">
            <w:pPr>
              <w:autoSpaceDE w:val="0"/>
              <w:autoSpaceDN w:val="0"/>
              <w:adjustRightInd w:val="0"/>
              <w:spacing w:before="240"/>
              <w:rPr>
                <w:rFonts w:ascii="Arial" w:hAnsi="Arial" w:cs="Arial"/>
              </w:rPr>
            </w:pPr>
            <w:r w:rsidRPr="00C10A1B">
              <w:rPr>
                <w:rFonts w:ascii="Arial" w:hAnsi="Arial" w:cs="Arial"/>
              </w:rPr>
              <w:t>FAR Limited, incorporated in Australia with company number ACN 009 117 293, a co-</w:t>
            </w:r>
            <w:proofErr w:type="spellStart"/>
            <w:r w:rsidRPr="00C10A1B">
              <w:rPr>
                <w:rFonts w:ascii="Arial" w:hAnsi="Arial" w:cs="Arial"/>
              </w:rPr>
              <w:t>venturer</w:t>
            </w:r>
            <w:proofErr w:type="spellEnd"/>
            <w:r w:rsidRPr="00C10A1B">
              <w:rPr>
                <w:rFonts w:ascii="Arial" w:hAnsi="Arial" w:cs="Arial"/>
              </w:rPr>
              <w:t xml:space="preserve"> of Capricorn Senegal under the RSSD JOA</w:t>
            </w:r>
          </w:p>
        </w:tc>
      </w:tr>
      <w:tr w:rsidR="00AF2DFF" w:rsidRPr="00C10A1B" w14:paraId="45EEFE9D" w14:textId="77777777" w:rsidTr="00FE4612">
        <w:tc>
          <w:tcPr>
            <w:tcW w:w="2263" w:type="dxa"/>
            <w:shd w:val="clear" w:color="auto" w:fill="auto"/>
          </w:tcPr>
          <w:p w14:paraId="06287E8F" w14:textId="0DEFE2F0" w:rsidR="008151BC" w:rsidRPr="00C10A1B" w:rsidRDefault="008151BC" w:rsidP="00AF2DFF">
            <w:pPr>
              <w:tabs>
                <w:tab w:val="left" w:pos="2835"/>
              </w:tabs>
              <w:spacing w:before="240"/>
              <w:jc w:val="both"/>
              <w:rPr>
                <w:rFonts w:ascii="Arial" w:hAnsi="Arial" w:cs="Arial"/>
                <w:b/>
                <w:iCs/>
              </w:rPr>
            </w:pPr>
            <w:r w:rsidRPr="00C10A1B">
              <w:rPr>
                <w:rFonts w:ascii="Arial" w:hAnsi="Arial" w:cs="Arial"/>
                <w:b/>
                <w:bCs/>
              </w:rPr>
              <w:t>FCA</w:t>
            </w:r>
          </w:p>
        </w:tc>
        <w:tc>
          <w:tcPr>
            <w:tcW w:w="6753" w:type="dxa"/>
            <w:shd w:val="clear" w:color="auto" w:fill="auto"/>
          </w:tcPr>
          <w:p w14:paraId="5A8BF2D0" w14:textId="69EF595B" w:rsidR="008151BC" w:rsidRPr="00C10A1B" w:rsidRDefault="008151BC" w:rsidP="00AF2DFF">
            <w:pPr>
              <w:tabs>
                <w:tab w:val="left" w:pos="2835"/>
              </w:tabs>
              <w:spacing w:before="240"/>
              <w:jc w:val="both"/>
              <w:rPr>
                <w:rFonts w:ascii="Arial" w:hAnsi="Arial" w:cs="Arial"/>
                <w:iCs/>
              </w:rPr>
            </w:pPr>
            <w:r w:rsidRPr="00C10A1B">
              <w:rPr>
                <w:rFonts w:ascii="Arial" w:hAnsi="Arial" w:cs="Arial"/>
                <w:iCs/>
              </w:rPr>
              <w:t>the Financial Conduct Authority</w:t>
            </w:r>
          </w:p>
        </w:tc>
      </w:tr>
      <w:tr w:rsidR="00AF2DFF" w:rsidRPr="00C10A1B" w14:paraId="400DF72E" w14:textId="77777777" w:rsidTr="00FE4612">
        <w:tc>
          <w:tcPr>
            <w:tcW w:w="2263" w:type="dxa"/>
            <w:shd w:val="clear" w:color="auto" w:fill="auto"/>
          </w:tcPr>
          <w:p w14:paraId="246417D5" w14:textId="264BEAD1" w:rsidR="002549CD" w:rsidRPr="00C10A1B" w:rsidRDefault="002549CD" w:rsidP="00AF2DFF">
            <w:pPr>
              <w:tabs>
                <w:tab w:val="left" w:pos="2835"/>
              </w:tabs>
              <w:spacing w:before="240"/>
              <w:jc w:val="both"/>
              <w:rPr>
                <w:rFonts w:ascii="Arial" w:hAnsi="Arial" w:cs="Arial"/>
                <w:b/>
                <w:bCs/>
              </w:rPr>
            </w:pPr>
            <w:r w:rsidRPr="00C10A1B">
              <w:rPr>
                <w:rFonts w:ascii="Arial" w:hAnsi="Arial" w:cs="Arial"/>
                <w:b/>
                <w:bCs/>
              </w:rPr>
              <w:t>FID</w:t>
            </w:r>
          </w:p>
        </w:tc>
        <w:tc>
          <w:tcPr>
            <w:tcW w:w="6753" w:type="dxa"/>
            <w:shd w:val="clear" w:color="auto" w:fill="auto"/>
          </w:tcPr>
          <w:p w14:paraId="2EF31F8C" w14:textId="609599AB" w:rsidR="002549CD" w:rsidRPr="00C10A1B" w:rsidRDefault="002549CD" w:rsidP="00AF2DFF">
            <w:pPr>
              <w:tabs>
                <w:tab w:val="left" w:pos="2835"/>
              </w:tabs>
              <w:spacing w:before="240"/>
              <w:jc w:val="both"/>
              <w:rPr>
                <w:rFonts w:ascii="Arial" w:hAnsi="Arial" w:cs="Arial"/>
                <w:iCs/>
              </w:rPr>
            </w:pPr>
            <w:r w:rsidRPr="00C10A1B">
              <w:rPr>
                <w:rFonts w:ascii="Arial" w:hAnsi="Arial" w:cs="Arial"/>
                <w:iCs/>
              </w:rPr>
              <w:t>final investment decision, a term used in the oil and gas industry to describe the decision to commence the development of a project, at which point material contract awards can commence, and each partner in the project is effectively committed to pay its share in accordance with its participating interest</w:t>
            </w:r>
          </w:p>
        </w:tc>
      </w:tr>
      <w:tr w:rsidR="00AF2DFF" w:rsidRPr="00C10A1B" w14:paraId="4362565D" w14:textId="77777777" w:rsidTr="00FE4612">
        <w:tc>
          <w:tcPr>
            <w:tcW w:w="2263" w:type="dxa"/>
            <w:shd w:val="clear" w:color="auto" w:fill="auto"/>
          </w:tcPr>
          <w:p w14:paraId="6E20922B" w14:textId="64C1D0B5" w:rsidR="002549CD" w:rsidRPr="00C10A1B" w:rsidRDefault="002549CD" w:rsidP="00AF2DFF">
            <w:pPr>
              <w:tabs>
                <w:tab w:val="left" w:pos="2835"/>
              </w:tabs>
              <w:spacing w:before="240"/>
              <w:jc w:val="both"/>
              <w:rPr>
                <w:rFonts w:ascii="Arial" w:hAnsi="Arial" w:cs="Arial"/>
                <w:b/>
                <w:bCs/>
              </w:rPr>
            </w:pPr>
            <w:r w:rsidRPr="00C10A1B">
              <w:rPr>
                <w:rFonts w:ascii="Arial" w:hAnsi="Arial" w:cs="Arial"/>
                <w:b/>
                <w:bCs/>
              </w:rPr>
              <w:t>FPSO</w:t>
            </w:r>
          </w:p>
        </w:tc>
        <w:tc>
          <w:tcPr>
            <w:tcW w:w="6753" w:type="dxa"/>
            <w:shd w:val="clear" w:color="auto" w:fill="auto"/>
          </w:tcPr>
          <w:p w14:paraId="72946E8F" w14:textId="55A35444" w:rsidR="002549CD" w:rsidRPr="00C10A1B" w:rsidRDefault="002549CD" w:rsidP="00AF2DFF">
            <w:pPr>
              <w:tabs>
                <w:tab w:val="left" w:pos="2835"/>
              </w:tabs>
              <w:spacing w:before="240"/>
              <w:jc w:val="both"/>
              <w:rPr>
                <w:rFonts w:ascii="Arial" w:hAnsi="Arial" w:cs="Arial"/>
                <w:iCs/>
              </w:rPr>
            </w:pPr>
            <w:r w:rsidRPr="00C10A1B">
              <w:rPr>
                <w:rFonts w:ascii="Arial" w:hAnsi="Arial" w:cs="Arial"/>
                <w:iCs/>
              </w:rPr>
              <w:t>a floating production, storage and offloading unit, which is a vessel used for processing and storing hydrocarbons</w:t>
            </w:r>
          </w:p>
        </w:tc>
      </w:tr>
      <w:tr w:rsidR="00AF2DFF" w:rsidRPr="00C10A1B" w14:paraId="3D75AC29" w14:textId="77777777" w:rsidTr="00FE4612">
        <w:tc>
          <w:tcPr>
            <w:tcW w:w="2263" w:type="dxa"/>
            <w:shd w:val="clear" w:color="auto" w:fill="auto"/>
          </w:tcPr>
          <w:p w14:paraId="713F5B50" w14:textId="3596CD54" w:rsidR="00BC1D87" w:rsidRPr="00C10A1B" w:rsidRDefault="00BC1D87" w:rsidP="00AF2DFF">
            <w:pPr>
              <w:tabs>
                <w:tab w:val="left" w:pos="2835"/>
              </w:tabs>
              <w:spacing w:before="240"/>
              <w:jc w:val="both"/>
              <w:rPr>
                <w:rFonts w:ascii="Arial" w:hAnsi="Arial" w:cs="Arial"/>
                <w:b/>
                <w:bCs/>
              </w:rPr>
            </w:pPr>
            <w:r w:rsidRPr="00C10A1B">
              <w:rPr>
                <w:rFonts w:ascii="Arial" w:hAnsi="Arial" w:cs="Arial"/>
                <w:b/>
                <w:bCs/>
              </w:rPr>
              <w:t>General Meeting</w:t>
            </w:r>
          </w:p>
        </w:tc>
        <w:tc>
          <w:tcPr>
            <w:tcW w:w="6753" w:type="dxa"/>
            <w:shd w:val="clear" w:color="auto" w:fill="auto"/>
          </w:tcPr>
          <w:p w14:paraId="269F0453" w14:textId="19572AE4" w:rsidR="00BC1D87" w:rsidRPr="00C10A1B" w:rsidRDefault="00BC1D87" w:rsidP="00AF2DFF">
            <w:pPr>
              <w:tabs>
                <w:tab w:val="left" w:pos="2835"/>
              </w:tabs>
              <w:spacing w:before="240"/>
              <w:jc w:val="both"/>
              <w:rPr>
                <w:rFonts w:ascii="Arial" w:hAnsi="Arial" w:cs="Arial"/>
                <w:iCs/>
              </w:rPr>
            </w:pPr>
            <w:r w:rsidRPr="00C10A1B">
              <w:rPr>
                <w:rFonts w:ascii="Arial" w:hAnsi="Arial" w:cs="Arial"/>
                <w:iCs/>
              </w:rPr>
              <w:t>the general meeting of Cairn to be convened to approve the Transaction</w:t>
            </w:r>
          </w:p>
        </w:tc>
      </w:tr>
      <w:tr w:rsidR="00AF2DFF" w:rsidRPr="00C10A1B" w14:paraId="30863192" w14:textId="77777777" w:rsidTr="00FE4612">
        <w:tc>
          <w:tcPr>
            <w:tcW w:w="2263" w:type="dxa"/>
            <w:shd w:val="clear" w:color="auto" w:fill="auto"/>
          </w:tcPr>
          <w:p w14:paraId="6B5075DA" w14:textId="2D04F9F4" w:rsidR="00BC1D87" w:rsidRPr="00C10A1B" w:rsidRDefault="00BC1D87" w:rsidP="00AF2DFF">
            <w:pPr>
              <w:tabs>
                <w:tab w:val="left" w:pos="2835"/>
              </w:tabs>
              <w:spacing w:before="240"/>
              <w:jc w:val="both"/>
              <w:rPr>
                <w:rFonts w:ascii="Arial" w:hAnsi="Arial" w:cs="Arial"/>
                <w:b/>
                <w:bCs/>
              </w:rPr>
            </w:pPr>
            <w:r w:rsidRPr="00C10A1B">
              <w:rPr>
                <w:rFonts w:ascii="Arial" w:hAnsi="Arial" w:cs="Arial"/>
                <w:b/>
                <w:bCs/>
              </w:rPr>
              <w:t>Group</w:t>
            </w:r>
          </w:p>
        </w:tc>
        <w:tc>
          <w:tcPr>
            <w:tcW w:w="6753" w:type="dxa"/>
            <w:shd w:val="clear" w:color="auto" w:fill="auto"/>
          </w:tcPr>
          <w:p w14:paraId="08C60A4F" w14:textId="7FD72151" w:rsidR="00BC1D87" w:rsidRPr="00C10A1B" w:rsidRDefault="002347BD" w:rsidP="00AF2DFF">
            <w:pPr>
              <w:tabs>
                <w:tab w:val="left" w:pos="2835"/>
              </w:tabs>
              <w:spacing w:before="240"/>
              <w:jc w:val="both"/>
              <w:rPr>
                <w:rFonts w:ascii="Arial" w:hAnsi="Arial" w:cs="Arial"/>
                <w:iCs/>
              </w:rPr>
            </w:pPr>
            <w:r w:rsidRPr="00C10A1B">
              <w:rPr>
                <w:rFonts w:ascii="Arial" w:hAnsi="Arial" w:cs="Arial"/>
                <w:iCs/>
              </w:rPr>
              <w:t>Cairn</w:t>
            </w:r>
            <w:r w:rsidR="00BC1D87" w:rsidRPr="00C10A1B">
              <w:rPr>
                <w:rFonts w:ascii="Arial" w:hAnsi="Arial" w:cs="Arial"/>
                <w:iCs/>
              </w:rPr>
              <w:t>, its subsidiary undertakings and any other body corporate, legal entity, partnership or unincorporated joint venture in which Cairn  or any of its subsidiary undertakings holds a participating interest (as such term is defined by section 1162 of the Companies Act 2006) from time to time and references to a “member of the Group” shall be construed accordingly</w:t>
            </w:r>
          </w:p>
        </w:tc>
      </w:tr>
      <w:tr w:rsidR="00AF2DFF" w:rsidRPr="00C10A1B" w14:paraId="0261D7A8" w14:textId="77777777" w:rsidTr="00FE4612">
        <w:tc>
          <w:tcPr>
            <w:tcW w:w="2263" w:type="dxa"/>
            <w:shd w:val="clear" w:color="auto" w:fill="auto"/>
          </w:tcPr>
          <w:p w14:paraId="5C0A37C0" w14:textId="1908EEEA" w:rsidR="00C23D4F" w:rsidRPr="00C10A1B" w:rsidRDefault="00C23D4F" w:rsidP="00AF2DFF">
            <w:pPr>
              <w:tabs>
                <w:tab w:val="left" w:pos="2835"/>
              </w:tabs>
              <w:spacing w:before="240"/>
              <w:jc w:val="both"/>
              <w:rPr>
                <w:rFonts w:ascii="Arial" w:hAnsi="Arial" w:cs="Arial"/>
                <w:b/>
                <w:bCs/>
              </w:rPr>
            </w:pPr>
            <w:r w:rsidRPr="00C10A1B">
              <w:rPr>
                <w:rFonts w:ascii="Arial" w:hAnsi="Arial" w:cs="Arial"/>
                <w:b/>
                <w:bCs/>
              </w:rPr>
              <w:t>JV</w:t>
            </w:r>
          </w:p>
        </w:tc>
        <w:tc>
          <w:tcPr>
            <w:tcW w:w="6753" w:type="dxa"/>
            <w:shd w:val="clear" w:color="auto" w:fill="auto"/>
          </w:tcPr>
          <w:p w14:paraId="0F09B498" w14:textId="470B3174" w:rsidR="00C23D4F" w:rsidRPr="00C10A1B" w:rsidRDefault="00C23D4F" w:rsidP="00AF2DFF">
            <w:pPr>
              <w:tabs>
                <w:tab w:val="left" w:pos="2835"/>
              </w:tabs>
              <w:spacing w:before="240"/>
              <w:jc w:val="both"/>
              <w:rPr>
                <w:rFonts w:ascii="Arial" w:hAnsi="Arial" w:cs="Arial"/>
                <w:iCs/>
              </w:rPr>
            </w:pPr>
            <w:r w:rsidRPr="00C10A1B">
              <w:rPr>
                <w:rFonts w:ascii="Arial" w:hAnsi="Arial" w:cs="Arial"/>
                <w:iCs/>
              </w:rPr>
              <w:t xml:space="preserve">joint venture </w:t>
            </w:r>
          </w:p>
        </w:tc>
      </w:tr>
      <w:tr w:rsidR="00B46D2A" w:rsidRPr="00C10A1B" w14:paraId="02FF7668" w14:textId="77777777" w:rsidTr="00FE4612">
        <w:tc>
          <w:tcPr>
            <w:tcW w:w="2263" w:type="dxa"/>
            <w:shd w:val="clear" w:color="auto" w:fill="auto"/>
          </w:tcPr>
          <w:p w14:paraId="5CC5F2FB" w14:textId="7127FDB6" w:rsidR="00B46D2A" w:rsidRPr="00C10A1B" w:rsidRDefault="00B46D2A" w:rsidP="00AF2DFF">
            <w:pPr>
              <w:tabs>
                <w:tab w:val="left" w:pos="2835"/>
              </w:tabs>
              <w:spacing w:before="240"/>
              <w:jc w:val="both"/>
              <w:rPr>
                <w:rFonts w:ascii="Arial" w:hAnsi="Arial" w:cs="Arial"/>
                <w:b/>
                <w:bCs/>
              </w:rPr>
            </w:pPr>
            <w:r w:rsidRPr="00C10A1B">
              <w:rPr>
                <w:rFonts w:ascii="Arial" w:hAnsi="Arial" w:cs="Arial"/>
                <w:b/>
                <w:bCs/>
              </w:rPr>
              <w:t>LUKOIL</w:t>
            </w:r>
          </w:p>
        </w:tc>
        <w:tc>
          <w:tcPr>
            <w:tcW w:w="6753" w:type="dxa"/>
            <w:shd w:val="clear" w:color="auto" w:fill="auto"/>
          </w:tcPr>
          <w:p w14:paraId="31076020" w14:textId="1D6E31E6" w:rsidR="00B46D2A" w:rsidRPr="00C10A1B" w:rsidRDefault="00B46D2A" w:rsidP="00AF2DFF">
            <w:pPr>
              <w:tabs>
                <w:tab w:val="left" w:pos="2835"/>
              </w:tabs>
              <w:spacing w:before="240"/>
              <w:jc w:val="both"/>
              <w:rPr>
                <w:rFonts w:ascii="Arial" w:hAnsi="Arial" w:cs="Arial"/>
                <w:iCs/>
              </w:rPr>
            </w:pPr>
            <w:r w:rsidRPr="00C10A1B">
              <w:rPr>
                <w:rFonts w:ascii="Arial" w:hAnsi="Arial" w:cs="Arial"/>
              </w:rPr>
              <w:t>LUKOIL Upstream Senegal B.V.</w:t>
            </w:r>
          </w:p>
        </w:tc>
      </w:tr>
      <w:tr w:rsidR="00AF2DFF" w:rsidRPr="00C10A1B" w14:paraId="7BC8609E" w14:textId="77777777" w:rsidTr="00FE4612">
        <w:tc>
          <w:tcPr>
            <w:tcW w:w="2263" w:type="dxa"/>
            <w:shd w:val="clear" w:color="auto" w:fill="auto"/>
          </w:tcPr>
          <w:p w14:paraId="6EE89898" w14:textId="26F95DFA" w:rsidR="00C23D4F" w:rsidRPr="00C10A1B" w:rsidRDefault="00C23D4F" w:rsidP="00AF2DFF">
            <w:pPr>
              <w:tabs>
                <w:tab w:val="left" w:pos="2835"/>
              </w:tabs>
              <w:spacing w:before="240"/>
              <w:jc w:val="both"/>
              <w:rPr>
                <w:rFonts w:ascii="Arial" w:hAnsi="Arial" w:cs="Arial"/>
                <w:b/>
                <w:bCs/>
              </w:rPr>
            </w:pPr>
            <w:r w:rsidRPr="00C10A1B">
              <w:rPr>
                <w:rFonts w:ascii="Arial" w:hAnsi="Arial" w:cs="Arial"/>
                <w:b/>
                <w:bCs/>
              </w:rPr>
              <w:t>MAR</w:t>
            </w:r>
          </w:p>
        </w:tc>
        <w:tc>
          <w:tcPr>
            <w:tcW w:w="6753" w:type="dxa"/>
            <w:shd w:val="clear" w:color="auto" w:fill="auto"/>
          </w:tcPr>
          <w:p w14:paraId="6C33015E" w14:textId="1EAE38CE" w:rsidR="00C23D4F" w:rsidRPr="00C10A1B" w:rsidRDefault="00C23D4F" w:rsidP="00AF2DFF">
            <w:pPr>
              <w:autoSpaceDE w:val="0"/>
              <w:autoSpaceDN w:val="0"/>
              <w:adjustRightInd w:val="0"/>
              <w:spacing w:before="240"/>
              <w:rPr>
                <w:rFonts w:ascii="Arial" w:hAnsi="Arial" w:cs="Arial"/>
                <w:iCs/>
              </w:rPr>
            </w:pPr>
            <w:r w:rsidRPr="00C10A1B">
              <w:rPr>
                <w:rFonts w:ascii="Arial" w:hAnsi="Arial" w:cs="Arial"/>
              </w:rPr>
              <w:t>Regulation (EU) No 596/2014 of the European Parliament and of the Council of 16 April 2014 on market abuse</w:t>
            </w:r>
          </w:p>
        </w:tc>
      </w:tr>
      <w:tr w:rsidR="00AF2DFF" w:rsidRPr="00C10A1B" w14:paraId="4863EAE1" w14:textId="77777777" w:rsidTr="00FE4612">
        <w:tc>
          <w:tcPr>
            <w:tcW w:w="2263" w:type="dxa"/>
            <w:shd w:val="clear" w:color="auto" w:fill="auto"/>
          </w:tcPr>
          <w:p w14:paraId="49B06C4E" w14:textId="66E860A6" w:rsidR="00C23D4F" w:rsidRPr="00C10A1B" w:rsidRDefault="00C23D4F" w:rsidP="00AF2DFF">
            <w:pPr>
              <w:tabs>
                <w:tab w:val="left" w:pos="2835"/>
              </w:tabs>
              <w:spacing w:before="240"/>
              <w:jc w:val="both"/>
              <w:rPr>
                <w:rFonts w:ascii="Arial" w:hAnsi="Arial" w:cs="Arial"/>
                <w:b/>
                <w:bCs/>
              </w:rPr>
            </w:pPr>
            <w:r w:rsidRPr="00C10A1B">
              <w:rPr>
                <w:rFonts w:ascii="Arial" w:hAnsi="Arial" w:cs="Arial"/>
                <w:b/>
                <w:bCs/>
              </w:rPr>
              <w:t>Minister</w:t>
            </w:r>
          </w:p>
        </w:tc>
        <w:tc>
          <w:tcPr>
            <w:tcW w:w="6753" w:type="dxa"/>
            <w:shd w:val="clear" w:color="auto" w:fill="auto"/>
          </w:tcPr>
          <w:p w14:paraId="1037D145" w14:textId="317EF763" w:rsidR="00C23D4F" w:rsidRPr="00C10A1B" w:rsidRDefault="00C23D4F" w:rsidP="00AF2DFF">
            <w:pPr>
              <w:tabs>
                <w:tab w:val="left" w:pos="2835"/>
              </w:tabs>
              <w:spacing w:before="240"/>
              <w:jc w:val="both"/>
              <w:rPr>
                <w:rFonts w:ascii="Arial" w:hAnsi="Arial" w:cs="Arial"/>
                <w:iCs/>
              </w:rPr>
            </w:pPr>
            <w:r w:rsidRPr="00C10A1B">
              <w:rPr>
                <w:rFonts w:ascii="Arial" w:hAnsi="Arial" w:cs="Arial"/>
                <w:iCs/>
              </w:rPr>
              <w:t>the Minister of Petroleum and Energy of the Republic of Senegal (or such other minister, person or branch of government of the Republic of Senegal designated under the RSSD PSC as “Minister”) or his qualified representative</w:t>
            </w:r>
          </w:p>
        </w:tc>
      </w:tr>
      <w:tr w:rsidR="00AF2DFF" w:rsidRPr="00C10A1B" w14:paraId="1F96261E" w14:textId="77777777" w:rsidTr="00FE4612">
        <w:tc>
          <w:tcPr>
            <w:tcW w:w="2263" w:type="dxa"/>
            <w:shd w:val="clear" w:color="auto" w:fill="auto"/>
          </w:tcPr>
          <w:p w14:paraId="6C0622CB" w14:textId="4039C9AC" w:rsidR="00C23D4F" w:rsidRPr="00C10A1B" w:rsidRDefault="00C23D4F" w:rsidP="00AF2DFF">
            <w:pPr>
              <w:tabs>
                <w:tab w:val="left" w:pos="2835"/>
              </w:tabs>
              <w:spacing w:before="240"/>
              <w:jc w:val="both"/>
              <w:rPr>
                <w:rFonts w:ascii="Arial" w:hAnsi="Arial" w:cs="Arial"/>
                <w:b/>
                <w:bCs/>
              </w:rPr>
            </w:pPr>
            <w:r w:rsidRPr="00C10A1B">
              <w:rPr>
                <w:rFonts w:ascii="Arial" w:hAnsi="Arial" w:cs="Arial"/>
                <w:b/>
                <w:bCs/>
              </w:rPr>
              <w:t>Participation Option</w:t>
            </w:r>
          </w:p>
        </w:tc>
        <w:tc>
          <w:tcPr>
            <w:tcW w:w="6753" w:type="dxa"/>
            <w:shd w:val="clear" w:color="auto" w:fill="auto"/>
          </w:tcPr>
          <w:p w14:paraId="4271B76A" w14:textId="40B6D812" w:rsidR="00C23D4F" w:rsidRPr="00C10A1B" w:rsidRDefault="00C23D4F" w:rsidP="00AF2DFF">
            <w:pPr>
              <w:tabs>
                <w:tab w:val="left" w:pos="2835"/>
              </w:tabs>
              <w:spacing w:before="240"/>
              <w:jc w:val="both"/>
              <w:rPr>
                <w:rFonts w:ascii="Arial" w:hAnsi="Arial" w:cs="Arial"/>
                <w:iCs/>
              </w:rPr>
            </w:pPr>
            <w:r w:rsidRPr="00C10A1B">
              <w:rPr>
                <w:rFonts w:ascii="Arial" w:hAnsi="Arial" w:cs="Arial"/>
                <w:iCs/>
              </w:rPr>
              <w:t>has the meaning given to it in section [3] of this announcement</w:t>
            </w:r>
          </w:p>
        </w:tc>
      </w:tr>
      <w:tr w:rsidR="00AF2DFF" w:rsidRPr="00C10A1B" w14:paraId="3BF4653E" w14:textId="77777777" w:rsidTr="00FE4612">
        <w:tc>
          <w:tcPr>
            <w:tcW w:w="2263" w:type="dxa"/>
            <w:shd w:val="clear" w:color="auto" w:fill="auto"/>
          </w:tcPr>
          <w:p w14:paraId="4A81B695" w14:textId="2EB8A730" w:rsidR="00696610" w:rsidRPr="00C10A1B" w:rsidRDefault="00696610" w:rsidP="00AF2DFF">
            <w:pPr>
              <w:tabs>
                <w:tab w:val="left" w:pos="2835"/>
              </w:tabs>
              <w:spacing w:before="240"/>
              <w:jc w:val="both"/>
              <w:rPr>
                <w:rFonts w:ascii="Arial" w:hAnsi="Arial" w:cs="Arial"/>
                <w:b/>
                <w:bCs/>
              </w:rPr>
            </w:pPr>
            <w:proofErr w:type="spellStart"/>
            <w:r w:rsidRPr="00C10A1B">
              <w:rPr>
                <w:rFonts w:ascii="Arial" w:hAnsi="Arial" w:cs="Arial"/>
                <w:b/>
                <w:bCs/>
              </w:rPr>
              <w:t>Petrosen</w:t>
            </w:r>
            <w:proofErr w:type="spellEnd"/>
          </w:p>
        </w:tc>
        <w:tc>
          <w:tcPr>
            <w:tcW w:w="6753" w:type="dxa"/>
            <w:shd w:val="clear" w:color="auto" w:fill="auto"/>
          </w:tcPr>
          <w:p w14:paraId="6D4645E5" w14:textId="6FC7A600" w:rsidR="00696610" w:rsidRPr="00C10A1B" w:rsidRDefault="00696610" w:rsidP="00AF2DFF">
            <w:pPr>
              <w:tabs>
                <w:tab w:val="left" w:pos="2835"/>
              </w:tabs>
              <w:spacing w:before="240"/>
              <w:jc w:val="both"/>
              <w:rPr>
                <w:rFonts w:ascii="Arial" w:hAnsi="Arial" w:cs="Arial"/>
                <w:iCs/>
              </w:rPr>
            </w:pPr>
            <w:r w:rsidRPr="00C10A1B">
              <w:rPr>
                <w:rFonts w:ascii="Arial" w:hAnsi="Arial" w:cs="Arial"/>
                <w:iCs/>
              </w:rPr>
              <w:t xml:space="preserve">la Société des </w:t>
            </w:r>
            <w:proofErr w:type="spellStart"/>
            <w:r w:rsidRPr="00C10A1B">
              <w:rPr>
                <w:rFonts w:ascii="Arial" w:hAnsi="Arial" w:cs="Arial"/>
                <w:iCs/>
              </w:rPr>
              <w:t>Pétroles</w:t>
            </w:r>
            <w:proofErr w:type="spellEnd"/>
            <w:r w:rsidRPr="00C10A1B">
              <w:rPr>
                <w:rFonts w:ascii="Arial" w:hAnsi="Arial" w:cs="Arial"/>
                <w:iCs/>
              </w:rPr>
              <w:t xml:space="preserve"> du </w:t>
            </w:r>
            <w:proofErr w:type="spellStart"/>
            <w:r w:rsidRPr="00C10A1B">
              <w:rPr>
                <w:rFonts w:ascii="Arial" w:hAnsi="Arial" w:cs="Arial"/>
                <w:iCs/>
              </w:rPr>
              <w:t>Sénégal</w:t>
            </w:r>
            <w:proofErr w:type="spellEnd"/>
            <w:r w:rsidRPr="00C10A1B">
              <w:rPr>
                <w:rFonts w:ascii="Arial" w:hAnsi="Arial" w:cs="Arial"/>
                <w:iCs/>
              </w:rPr>
              <w:t>, the national oil company of Senegal and a co-</w:t>
            </w:r>
            <w:proofErr w:type="spellStart"/>
            <w:r w:rsidRPr="00C10A1B">
              <w:rPr>
                <w:rFonts w:ascii="Arial" w:hAnsi="Arial" w:cs="Arial"/>
                <w:iCs/>
              </w:rPr>
              <w:t>venturer</w:t>
            </w:r>
            <w:proofErr w:type="spellEnd"/>
            <w:r w:rsidRPr="00C10A1B">
              <w:rPr>
                <w:rFonts w:ascii="Arial" w:hAnsi="Arial" w:cs="Arial"/>
                <w:iCs/>
              </w:rPr>
              <w:t xml:space="preserve"> of Capricorn Senegal under the RSSD JOA</w:t>
            </w:r>
          </w:p>
        </w:tc>
      </w:tr>
      <w:tr w:rsidR="00AF2DFF" w:rsidRPr="00C10A1B" w14:paraId="1CD59D93" w14:textId="77777777" w:rsidTr="00FE4612">
        <w:tc>
          <w:tcPr>
            <w:tcW w:w="2263" w:type="dxa"/>
            <w:shd w:val="clear" w:color="auto" w:fill="auto"/>
          </w:tcPr>
          <w:p w14:paraId="0A231BA8" w14:textId="6E7B97B5" w:rsidR="00696610" w:rsidRPr="00C10A1B" w:rsidRDefault="00696610" w:rsidP="00AF2DFF">
            <w:pPr>
              <w:tabs>
                <w:tab w:val="left" w:pos="2835"/>
              </w:tabs>
              <w:spacing w:before="240"/>
              <w:jc w:val="both"/>
              <w:rPr>
                <w:rFonts w:ascii="Arial" w:hAnsi="Arial" w:cs="Arial"/>
                <w:b/>
                <w:bCs/>
              </w:rPr>
            </w:pPr>
            <w:r w:rsidRPr="00C10A1B">
              <w:rPr>
                <w:rFonts w:ascii="Arial" w:hAnsi="Arial" w:cs="Arial"/>
                <w:b/>
                <w:bCs/>
              </w:rPr>
              <w:lastRenderedPageBreak/>
              <w:t>Pre-Emption Rights</w:t>
            </w:r>
          </w:p>
        </w:tc>
        <w:tc>
          <w:tcPr>
            <w:tcW w:w="6753" w:type="dxa"/>
            <w:shd w:val="clear" w:color="auto" w:fill="auto"/>
          </w:tcPr>
          <w:p w14:paraId="7FE8B0DA" w14:textId="12F7E8E6" w:rsidR="00696610" w:rsidRPr="00C10A1B" w:rsidRDefault="00696610" w:rsidP="00AF2DFF">
            <w:pPr>
              <w:tabs>
                <w:tab w:val="left" w:pos="2835"/>
              </w:tabs>
              <w:spacing w:before="240"/>
              <w:jc w:val="both"/>
              <w:rPr>
                <w:rFonts w:ascii="Arial" w:hAnsi="Arial" w:cs="Arial"/>
                <w:iCs/>
              </w:rPr>
            </w:pPr>
            <w:r w:rsidRPr="00C10A1B">
              <w:rPr>
                <w:rFonts w:ascii="Arial" w:hAnsi="Arial" w:cs="Arial"/>
                <w:iCs/>
              </w:rPr>
              <w:t>the rights of pre-emption held by the parties to the RSSD JOA in respect of any proposed assignment or transfer of a participating interest in the RSSD JOA and RSSD PSC to a non-affiliated third party</w:t>
            </w:r>
          </w:p>
        </w:tc>
      </w:tr>
      <w:tr w:rsidR="00AF2DFF" w:rsidRPr="00C10A1B" w14:paraId="6F8137AB" w14:textId="77777777" w:rsidTr="00FE4612">
        <w:tc>
          <w:tcPr>
            <w:tcW w:w="2263" w:type="dxa"/>
            <w:shd w:val="clear" w:color="auto" w:fill="auto"/>
          </w:tcPr>
          <w:p w14:paraId="5C64CF77" w14:textId="0E390A3D" w:rsidR="00696610" w:rsidRPr="00C10A1B" w:rsidRDefault="00696610" w:rsidP="00AF2DFF">
            <w:pPr>
              <w:tabs>
                <w:tab w:val="left" w:pos="2835"/>
              </w:tabs>
              <w:spacing w:before="240"/>
              <w:jc w:val="both"/>
              <w:rPr>
                <w:rFonts w:ascii="Arial" w:hAnsi="Arial" w:cs="Arial"/>
                <w:b/>
                <w:bCs/>
              </w:rPr>
            </w:pPr>
            <w:r w:rsidRPr="00C10A1B">
              <w:rPr>
                <w:rFonts w:ascii="Arial" w:hAnsi="Arial" w:cs="Arial"/>
                <w:b/>
                <w:bCs/>
              </w:rPr>
              <w:t>RSSD</w:t>
            </w:r>
          </w:p>
        </w:tc>
        <w:tc>
          <w:tcPr>
            <w:tcW w:w="6753" w:type="dxa"/>
            <w:shd w:val="clear" w:color="auto" w:fill="auto"/>
          </w:tcPr>
          <w:p w14:paraId="2277F866" w14:textId="52464A7B" w:rsidR="00696610" w:rsidRPr="00C10A1B" w:rsidRDefault="00696610" w:rsidP="00AF2DFF">
            <w:pPr>
              <w:tabs>
                <w:tab w:val="left" w:pos="2835"/>
              </w:tabs>
              <w:spacing w:before="240"/>
              <w:jc w:val="both"/>
              <w:rPr>
                <w:rFonts w:ascii="Arial" w:hAnsi="Arial" w:cs="Arial"/>
                <w:iCs/>
              </w:rPr>
            </w:pPr>
            <w:proofErr w:type="spellStart"/>
            <w:r w:rsidRPr="00C10A1B">
              <w:rPr>
                <w:rFonts w:ascii="Arial" w:hAnsi="Arial" w:cs="Arial"/>
                <w:iCs/>
              </w:rPr>
              <w:t>Rufisque</w:t>
            </w:r>
            <w:proofErr w:type="spellEnd"/>
            <w:r w:rsidRPr="00C10A1B">
              <w:rPr>
                <w:rFonts w:ascii="Arial" w:hAnsi="Arial" w:cs="Arial"/>
                <w:iCs/>
              </w:rPr>
              <w:t xml:space="preserve"> Offshore, </w:t>
            </w:r>
            <w:proofErr w:type="spellStart"/>
            <w:r w:rsidRPr="00C10A1B">
              <w:rPr>
                <w:rFonts w:ascii="Arial" w:hAnsi="Arial" w:cs="Arial"/>
                <w:iCs/>
              </w:rPr>
              <w:t>Sangomar</w:t>
            </w:r>
            <w:proofErr w:type="spellEnd"/>
            <w:r w:rsidRPr="00C10A1B">
              <w:rPr>
                <w:rFonts w:ascii="Arial" w:hAnsi="Arial" w:cs="Arial"/>
                <w:iCs/>
              </w:rPr>
              <w:t xml:space="preserve"> Offshore and </w:t>
            </w:r>
            <w:proofErr w:type="spellStart"/>
            <w:r w:rsidRPr="00C10A1B">
              <w:rPr>
                <w:rFonts w:ascii="Arial" w:hAnsi="Arial" w:cs="Arial"/>
                <w:iCs/>
              </w:rPr>
              <w:t>Sangomar</w:t>
            </w:r>
            <w:proofErr w:type="spellEnd"/>
            <w:r w:rsidRPr="00C10A1B">
              <w:rPr>
                <w:rFonts w:ascii="Arial" w:hAnsi="Arial" w:cs="Arial"/>
                <w:iCs/>
              </w:rPr>
              <w:t xml:space="preserve"> Deep Offshore</w:t>
            </w:r>
          </w:p>
        </w:tc>
      </w:tr>
      <w:tr w:rsidR="00AF2DFF" w:rsidRPr="00C10A1B" w14:paraId="0604BA3D" w14:textId="77777777" w:rsidTr="00FE4612">
        <w:tc>
          <w:tcPr>
            <w:tcW w:w="2263" w:type="dxa"/>
            <w:shd w:val="clear" w:color="auto" w:fill="auto"/>
          </w:tcPr>
          <w:p w14:paraId="32A6B13A" w14:textId="1699B361" w:rsidR="00696610" w:rsidRPr="00C10A1B" w:rsidRDefault="00696610" w:rsidP="00AF2DFF">
            <w:pPr>
              <w:tabs>
                <w:tab w:val="left" w:pos="2835"/>
              </w:tabs>
              <w:spacing w:before="240"/>
              <w:jc w:val="both"/>
              <w:rPr>
                <w:rFonts w:ascii="Arial" w:hAnsi="Arial" w:cs="Arial"/>
                <w:b/>
                <w:bCs/>
              </w:rPr>
            </w:pPr>
            <w:r w:rsidRPr="00C10A1B">
              <w:rPr>
                <w:rFonts w:ascii="Arial" w:hAnsi="Arial" w:cs="Arial"/>
                <w:b/>
                <w:bCs/>
              </w:rPr>
              <w:t>RSSD Contract Area</w:t>
            </w:r>
          </w:p>
        </w:tc>
        <w:tc>
          <w:tcPr>
            <w:tcW w:w="6753" w:type="dxa"/>
            <w:shd w:val="clear" w:color="auto" w:fill="auto"/>
          </w:tcPr>
          <w:p w14:paraId="3FE9C3AE" w14:textId="7AE16294" w:rsidR="00696610" w:rsidRPr="00C10A1B" w:rsidRDefault="00696610" w:rsidP="00AF2DFF">
            <w:pPr>
              <w:tabs>
                <w:tab w:val="left" w:pos="2835"/>
              </w:tabs>
              <w:spacing w:before="240"/>
              <w:jc w:val="both"/>
              <w:rPr>
                <w:rFonts w:ascii="Arial" w:hAnsi="Arial" w:cs="Arial"/>
                <w:iCs/>
              </w:rPr>
            </w:pPr>
            <w:r w:rsidRPr="00C10A1B">
              <w:rPr>
                <w:rFonts w:ascii="Arial" w:hAnsi="Arial" w:cs="Arial"/>
                <w:iCs/>
              </w:rPr>
              <w:t>the “Contract Area” as defined in the RSSD PSC</w:t>
            </w:r>
          </w:p>
        </w:tc>
      </w:tr>
      <w:tr w:rsidR="00AF2DFF" w:rsidRPr="00C10A1B" w14:paraId="4DCD9814" w14:textId="77777777" w:rsidTr="00FE4612">
        <w:tc>
          <w:tcPr>
            <w:tcW w:w="2263" w:type="dxa"/>
            <w:shd w:val="clear" w:color="auto" w:fill="auto"/>
          </w:tcPr>
          <w:p w14:paraId="30192D71" w14:textId="73037B50" w:rsidR="00696610" w:rsidRPr="00C10A1B" w:rsidRDefault="00696610" w:rsidP="00AF2DFF">
            <w:pPr>
              <w:tabs>
                <w:tab w:val="left" w:pos="2835"/>
              </w:tabs>
              <w:spacing w:before="240"/>
              <w:jc w:val="both"/>
              <w:rPr>
                <w:rFonts w:ascii="Arial" w:hAnsi="Arial" w:cs="Arial"/>
                <w:b/>
                <w:bCs/>
              </w:rPr>
            </w:pPr>
            <w:r w:rsidRPr="00C10A1B">
              <w:rPr>
                <w:rFonts w:ascii="Arial" w:hAnsi="Arial" w:cs="Arial"/>
                <w:b/>
                <w:bCs/>
              </w:rPr>
              <w:t xml:space="preserve">RSSD JOA </w:t>
            </w:r>
          </w:p>
        </w:tc>
        <w:tc>
          <w:tcPr>
            <w:tcW w:w="6753" w:type="dxa"/>
            <w:shd w:val="clear" w:color="auto" w:fill="auto"/>
          </w:tcPr>
          <w:p w14:paraId="50F122B7" w14:textId="1F35C84F" w:rsidR="00696610" w:rsidRPr="00C10A1B" w:rsidRDefault="00696610" w:rsidP="00AF2DFF">
            <w:pPr>
              <w:tabs>
                <w:tab w:val="left" w:pos="2835"/>
              </w:tabs>
              <w:spacing w:before="240"/>
              <w:jc w:val="both"/>
              <w:rPr>
                <w:rFonts w:ascii="Arial" w:hAnsi="Arial" w:cs="Arial"/>
                <w:iCs/>
              </w:rPr>
            </w:pPr>
            <w:r w:rsidRPr="00C10A1B">
              <w:rPr>
                <w:rFonts w:ascii="Arial" w:hAnsi="Arial" w:cs="Arial"/>
                <w:iCs/>
              </w:rPr>
              <w:t xml:space="preserve">the joint operating agreement dated 28 January 2005 in relation to the RSSD JOA, originally between </w:t>
            </w:r>
            <w:proofErr w:type="spellStart"/>
            <w:r w:rsidRPr="00C10A1B">
              <w:rPr>
                <w:rFonts w:ascii="Arial" w:hAnsi="Arial" w:cs="Arial"/>
                <w:iCs/>
              </w:rPr>
              <w:t>Petrosen</w:t>
            </w:r>
            <w:proofErr w:type="spellEnd"/>
            <w:r w:rsidRPr="00C10A1B">
              <w:rPr>
                <w:rFonts w:ascii="Arial" w:hAnsi="Arial" w:cs="Arial"/>
                <w:iCs/>
              </w:rPr>
              <w:t xml:space="preserve"> and Senegal Hunt Oil Company, as the same has been and may be amended or novated from time to time</w:t>
            </w:r>
          </w:p>
        </w:tc>
      </w:tr>
      <w:tr w:rsidR="00AF2DFF" w:rsidRPr="00C10A1B" w14:paraId="6FF7A734" w14:textId="77777777" w:rsidTr="00FE4612">
        <w:tc>
          <w:tcPr>
            <w:tcW w:w="2263" w:type="dxa"/>
            <w:shd w:val="clear" w:color="auto" w:fill="auto"/>
          </w:tcPr>
          <w:p w14:paraId="52FF6786" w14:textId="709147A8" w:rsidR="00696610" w:rsidRPr="00C10A1B" w:rsidRDefault="00696610" w:rsidP="00AF2DFF">
            <w:pPr>
              <w:tabs>
                <w:tab w:val="left" w:pos="2835"/>
              </w:tabs>
              <w:spacing w:before="240"/>
              <w:jc w:val="both"/>
              <w:rPr>
                <w:rFonts w:ascii="Arial" w:hAnsi="Arial" w:cs="Arial"/>
                <w:b/>
                <w:bCs/>
              </w:rPr>
            </w:pPr>
            <w:r w:rsidRPr="00C10A1B">
              <w:rPr>
                <w:rFonts w:ascii="Arial" w:hAnsi="Arial" w:cs="Arial"/>
                <w:b/>
                <w:bCs/>
              </w:rPr>
              <w:t>RSSD PSC</w:t>
            </w:r>
          </w:p>
        </w:tc>
        <w:tc>
          <w:tcPr>
            <w:tcW w:w="6753" w:type="dxa"/>
            <w:shd w:val="clear" w:color="auto" w:fill="auto"/>
          </w:tcPr>
          <w:p w14:paraId="2B33740B" w14:textId="031E1412" w:rsidR="00696610" w:rsidRPr="00C10A1B" w:rsidRDefault="00696610" w:rsidP="00AF2DFF">
            <w:pPr>
              <w:tabs>
                <w:tab w:val="left" w:pos="2835"/>
              </w:tabs>
              <w:spacing w:before="240"/>
              <w:jc w:val="both"/>
              <w:rPr>
                <w:rFonts w:ascii="Arial" w:hAnsi="Arial" w:cs="Arial"/>
                <w:iCs/>
              </w:rPr>
            </w:pPr>
            <w:r w:rsidRPr="00C10A1B">
              <w:rPr>
                <w:rFonts w:ascii="Arial" w:hAnsi="Arial" w:cs="Arial"/>
                <w:iCs/>
              </w:rPr>
              <w:t>the Contract for Exploration and Hydrocarbon Production Sharing dated 15</w:t>
            </w:r>
            <w:r w:rsidR="00452B7E" w:rsidRPr="00452B7E">
              <w:rPr>
                <w:rFonts w:ascii="Arial" w:hAnsi="Arial" w:cs="Arial"/>
                <w:iCs/>
                <w:vertAlign w:val="superscript"/>
              </w:rPr>
              <w:t>th</w:t>
            </w:r>
            <w:r w:rsidR="00452B7E">
              <w:rPr>
                <w:rFonts w:ascii="Arial" w:hAnsi="Arial" w:cs="Arial"/>
                <w:iCs/>
              </w:rPr>
              <w:t xml:space="preserve"> </w:t>
            </w:r>
            <w:r w:rsidRPr="00C10A1B">
              <w:rPr>
                <w:rFonts w:ascii="Arial" w:hAnsi="Arial" w:cs="Arial"/>
                <w:iCs/>
              </w:rPr>
              <w:t xml:space="preserve">July 2004 originally between the Republic of Senegal, Senegal Hunt Oil Company and </w:t>
            </w:r>
            <w:proofErr w:type="spellStart"/>
            <w:r w:rsidRPr="00C10A1B">
              <w:rPr>
                <w:rFonts w:ascii="Arial" w:hAnsi="Arial" w:cs="Arial"/>
                <w:iCs/>
              </w:rPr>
              <w:t>Petrosen</w:t>
            </w:r>
            <w:proofErr w:type="spellEnd"/>
            <w:r w:rsidRPr="00C10A1B">
              <w:rPr>
                <w:rFonts w:ascii="Arial" w:hAnsi="Arial" w:cs="Arial"/>
                <w:iCs/>
              </w:rPr>
              <w:t>, as the same has been and may be amended or novated from time to time</w:t>
            </w:r>
          </w:p>
        </w:tc>
      </w:tr>
      <w:tr w:rsidR="00AF2DFF" w:rsidRPr="00C10A1B" w14:paraId="50A9DD1D" w14:textId="77777777" w:rsidTr="00FE4612">
        <w:tc>
          <w:tcPr>
            <w:tcW w:w="2263" w:type="dxa"/>
            <w:shd w:val="clear" w:color="auto" w:fill="auto"/>
          </w:tcPr>
          <w:p w14:paraId="23D197C7" w14:textId="749F3020" w:rsidR="00696610" w:rsidRPr="00C10A1B" w:rsidRDefault="00696610" w:rsidP="00AF2DFF">
            <w:pPr>
              <w:tabs>
                <w:tab w:val="left" w:pos="2835"/>
              </w:tabs>
              <w:spacing w:before="240"/>
              <w:jc w:val="both"/>
              <w:rPr>
                <w:rFonts w:ascii="Arial" w:hAnsi="Arial" w:cs="Arial"/>
                <w:b/>
                <w:bCs/>
              </w:rPr>
            </w:pPr>
            <w:r w:rsidRPr="00C10A1B">
              <w:rPr>
                <w:rFonts w:ascii="Arial" w:hAnsi="Arial" w:cs="Arial"/>
                <w:b/>
                <w:bCs/>
              </w:rPr>
              <w:t>Sale and Purchase Agreement</w:t>
            </w:r>
          </w:p>
        </w:tc>
        <w:tc>
          <w:tcPr>
            <w:tcW w:w="6753" w:type="dxa"/>
            <w:shd w:val="clear" w:color="auto" w:fill="auto"/>
          </w:tcPr>
          <w:p w14:paraId="3AB86FE8" w14:textId="1F3F0BA7" w:rsidR="00696610" w:rsidRPr="00C10A1B" w:rsidRDefault="00696610" w:rsidP="00AF2DFF">
            <w:pPr>
              <w:tabs>
                <w:tab w:val="left" w:pos="2835"/>
              </w:tabs>
              <w:spacing w:before="240"/>
              <w:jc w:val="both"/>
              <w:rPr>
                <w:rFonts w:ascii="Arial" w:hAnsi="Arial" w:cs="Arial"/>
                <w:iCs/>
              </w:rPr>
            </w:pPr>
            <w:r w:rsidRPr="00C10A1B">
              <w:rPr>
                <w:rFonts w:ascii="Arial" w:hAnsi="Arial" w:cs="Arial"/>
                <w:iCs/>
              </w:rPr>
              <w:t xml:space="preserve">the sale and purchase agreement relating to the Transaction dated </w:t>
            </w:r>
            <w:r w:rsidR="00730C48">
              <w:rPr>
                <w:rFonts w:ascii="Arial" w:hAnsi="Arial" w:cs="Arial"/>
                <w:iCs/>
              </w:rPr>
              <w:t>24</w:t>
            </w:r>
            <w:proofErr w:type="gramStart"/>
            <w:r w:rsidR="00452B7E" w:rsidRPr="00452B7E">
              <w:rPr>
                <w:rFonts w:ascii="Arial" w:hAnsi="Arial" w:cs="Arial"/>
                <w:iCs/>
                <w:vertAlign w:val="superscript"/>
              </w:rPr>
              <w:t>th</w:t>
            </w:r>
            <w:r w:rsidR="00452B7E">
              <w:rPr>
                <w:rFonts w:ascii="Arial" w:hAnsi="Arial" w:cs="Arial"/>
                <w:iCs/>
              </w:rPr>
              <w:t xml:space="preserve"> </w:t>
            </w:r>
            <w:r w:rsidR="00730C48">
              <w:rPr>
                <w:rFonts w:ascii="Arial" w:hAnsi="Arial" w:cs="Arial"/>
                <w:iCs/>
              </w:rPr>
              <w:t xml:space="preserve"> July</w:t>
            </w:r>
            <w:proofErr w:type="gramEnd"/>
            <w:r w:rsidRPr="00C10A1B">
              <w:rPr>
                <w:rFonts w:ascii="Arial" w:hAnsi="Arial" w:cs="Arial"/>
                <w:iCs/>
              </w:rPr>
              <w:t xml:space="preserve"> 2020 between Capricorn Senegal, </w:t>
            </w:r>
            <w:r w:rsidR="00767028" w:rsidRPr="00C10A1B">
              <w:rPr>
                <w:rFonts w:ascii="Arial" w:hAnsi="Arial" w:cs="Arial"/>
                <w:iCs/>
              </w:rPr>
              <w:t>LUKOIL</w:t>
            </w:r>
            <w:r w:rsidRPr="00C10A1B">
              <w:rPr>
                <w:rFonts w:ascii="Arial" w:hAnsi="Arial" w:cs="Arial"/>
                <w:iCs/>
              </w:rPr>
              <w:t xml:space="preserve"> and Cairn</w:t>
            </w:r>
          </w:p>
        </w:tc>
      </w:tr>
      <w:tr w:rsidR="00AF2DFF" w:rsidRPr="00C10A1B" w14:paraId="172D2AB0" w14:textId="77777777" w:rsidTr="00FE4612">
        <w:tc>
          <w:tcPr>
            <w:tcW w:w="2263" w:type="dxa"/>
            <w:shd w:val="clear" w:color="auto" w:fill="auto"/>
          </w:tcPr>
          <w:p w14:paraId="6DD48311" w14:textId="0F8DA202" w:rsidR="00696610" w:rsidRPr="00C10A1B" w:rsidRDefault="00696610" w:rsidP="00AF2DFF">
            <w:pPr>
              <w:tabs>
                <w:tab w:val="left" w:pos="2835"/>
              </w:tabs>
              <w:spacing w:before="240"/>
              <w:jc w:val="both"/>
              <w:rPr>
                <w:rFonts w:ascii="Arial" w:hAnsi="Arial" w:cs="Arial"/>
                <w:b/>
                <w:bCs/>
              </w:rPr>
            </w:pPr>
            <w:r w:rsidRPr="00C10A1B">
              <w:rPr>
                <w:rFonts w:ascii="Arial" w:hAnsi="Arial" w:cs="Arial"/>
                <w:b/>
                <w:bCs/>
              </w:rPr>
              <w:t>Sale Interest</w:t>
            </w:r>
          </w:p>
        </w:tc>
        <w:tc>
          <w:tcPr>
            <w:tcW w:w="6753" w:type="dxa"/>
            <w:shd w:val="clear" w:color="auto" w:fill="auto"/>
          </w:tcPr>
          <w:p w14:paraId="0CB5027D" w14:textId="62E45491" w:rsidR="00696610" w:rsidRPr="00C10A1B" w:rsidRDefault="00696610" w:rsidP="00AF2DFF">
            <w:pPr>
              <w:tabs>
                <w:tab w:val="left" w:pos="2835"/>
              </w:tabs>
              <w:spacing w:before="240"/>
              <w:jc w:val="both"/>
              <w:rPr>
                <w:rFonts w:ascii="Arial" w:hAnsi="Arial" w:cs="Arial"/>
                <w:iCs/>
              </w:rPr>
            </w:pPr>
            <w:r w:rsidRPr="00C10A1B">
              <w:rPr>
                <w:rFonts w:ascii="Arial" w:hAnsi="Arial" w:cs="Arial"/>
                <w:iCs/>
              </w:rPr>
              <w:t xml:space="preserve">an undivided </w:t>
            </w:r>
            <w:r w:rsidRPr="00730C48">
              <w:rPr>
                <w:rFonts w:ascii="Arial" w:hAnsi="Arial" w:cs="Arial"/>
                <w:iCs/>
              </w:rPr>
              <w:t>40%</w:t>
            </w:r>
            <w:r w:rsidR="009B5FA0">
              <w:rPr>
                <w:rFonts w:ascii="Arial" w:hAnsi="Arial" w:cs="Arial"/>
                <w:iCs/>
              </w:rPr>
              <w:t xml:space="preserve"> </w:t>
            </w:r>
            <w:r w:rsidRPr="00C10A1B">
              <w:rPr>
                <w:rFonts w:ascii="Arial" w:hAnsi="Arial" w:cs="Arial"/>
                <w:iCs/>
              </w:rPr>
              <w:t>legal and beneficial interest in the RSSD PSC and a corresponding proportion of the legal and beneficial right, title and interest in and under the RSSD JOA (subject to the Participation Option)</w:t>
            </w:r>
          </w:p>
        </w:tc>
      </w:tr>
      <w:tr w:rsidR="00AF2DFF" w:rsidRPr="00C10A1B" w14:paraId="3311C8EA" w14:textId="77777777" w:rsidTr="00FE4612">
        <w:tc>
          <w:tcPr>
            <w:tcW w:w="2263" w:type="dxa"/>
            <w:shd w:val="clear" w:color="auto" w:fill="auto"/>
          </w:tcPr>
          <w:p w14:paraId="3840E4E7" w14:textId="39797830" w:rsidR="00696610" w:rsidRPr="00C10A1B" w:rsidRDefault="00696610" w:rsidP="00AF2DFF">
            <w:pPr>
              <w:tabs>
                <w:tab w:val="left" w:pos="2835"/>
              </w:tabs>
              <w:spacing w:before="240"/>
              <w:jc w:val="both"/>
              <w:rPr>
                <w:rFonts w:ascii="Arial" w:hAnsi="Arial" w:cs="Arial"/>
                <w:b/>
                <w:bCs/>
              </w:rPr>
            </w:pPr>
            <w:proofErr w:type="spellStart"/>
            <w:r w:rsidRPr="00C10A1B">
              <w:rPr>
                <w:rFonts w:ascii="Arial" w:hAnsi="Arial" w:cs="Arial"/>
                <w:b/>
                <w:bCs/>
              </w:rPr>
              <w:t>Sangomar</w:t>
            </w:r>
            <w:proofErr w:type="spellEnd"/>
          </w:p>
        </w:tc>
        <w:tc>
          <w:tcPr>
            <w:tcW w:w="6753" w:type="dxa"/>
            <w:shd w:val="clear" w:color="auto" w:fill="auto"/>
          </w:tcPr>
          <w:p w14:paraId="2C9A35E1" w14:textId="28D0E505" w:rsidR="00696610" w:rsidRPr="00C10A1B" w:rsidRDefault="000308C8" w:rsidP="00AF2DFF">
            <w:pPr>
              <w:tabs>
                <w:tab w:val="left" w:pos="2835"/>
              </w:tabs>
              <w:spacing w:before="240"/>
              <w:jc w:val="both"/>
              <w:rPr>
                <w:rFonts w:ascii="Arial" w:hAnsi="Arial" w:cs="Arial"/>
                <w:iCs/>
              </w:rPr>
            </w:pPr>
            <w:r w:rsidRPr="00C10A1B">
              <w:rPr>
                <w:rFonts w:ascii="Arial" w:hAnsi="Arial" w:cs="Arial"/>
                <w:iCs/>
              </w:rPr>
              <w:t xml:space="preserve">the </w:t>
            </w:r>
            <w:proofErr w:type="spellStart"/>
            <w:r w:rsidRPr="00C10A1B">
              <w:rPr>
                <w:rFonts w:ascii="Arial" w:hAnsi="Arial" w:cs="Arial"/>
                <w:iCs/>
              </w:rPr>
              <w:t>Sangomar</w:t>
            </w:r>
            <w:proofErr w:type="spellEnd"/>
            <w:r w:rsidRPr="00C10A1B">
              <w:rPr>
                <w:rFonts w:ascii="Arial" w:hAnsi="Arial" w:cs="Arial"/>
                <w:iCs/>
              </w:rPr>
              <w:t xml:space="preserve"> oil and gas field located in the RSSD Contract Area, formerly known as the SNE discovery or field</w:t>
            </w:r>
          </w:p>
        </w:tc>
      </w:tr>
      <w:tr w:rsidR="00AF2DFF" w:rsidRPr="00C10A1B" w14:paraId="3E2AF70E" w14:textId="77777777" w:rsidTr="00FE4612">
        <w:tc>
          <w:tcPr>
            <w:tcW w:w="2263" w:type="dxa"/>
            <w:shd w:val="clear" w:color="auto" w:fill="auto"/>
          </w:tcPr>
          <w:p w14:paraId="67F26B42" w14:textId="669A90CB" w:rsidR="00696610" w:rsidRPr="00C10A1B" w:rsidRDefault="00D04B62" w:rsidP="00AF2DFF">
            <w:pPr>
              <w:tabs>
                <w:tab w:val="left" w:pos="2835"/>
              </w:tabs>
              <w:spacing w:before="240"/>
              <w:jc w:val="both"/>
              <w:rPr>
                <w:rFonts w:ascii="Arial" w:hAnsi="Arial" w:cs="Arial"/>
                <w:b/>
                <w:bCs/>
              </w:rPr>
            </w:pPr>
            <w:proofErr w:type="spellStart"/>
            <w:r w:rsidRPr="00C10A1B">
              <w:rPr>
                <w:rFonts w:ascii="Arial" w:hAnsi="Arial" w:cs="Arial"/>
                <w:b/>
                <w:bCs/>
              </w:rPr>
              <w:t>Sangomar</w:t>
            </w:r>
            <w:proofErr w:type="spellEnd"/>
            <w:r w:rsidRPr="00C10A1B">
              <w:rPr>
                <w:rFonts w:ascii="Arial" w:hAnsi="Arial" w:cs="Arial"/>
                <w:b/>
                <w:bCs/>
              </w:rPr>
              <w:t xml:space="preserve"> Exploitation Plan</w:t>
            </w:r>
          </w:p>
        </w:tc>
        <w:tc>
          <w:tcPr>
            <w:tcW w:w="6753" w:type="dxa"/>
            <w:shd w:val="clear" w:color="auto" w:fill="auto"/>
          </w:tcPr>
          <w:p w14:paraId="5A099F23" w14:textId="6C785299" w:rsidR="00696610" w:rsidRPr="00C10A1B" w:rsidRDefault="00D04B62" w:rsidP="00AF2DFF">
            <w:pPr>
              <w:tabs>
                <w:tab w:val="left" w:pos="2835"/>
              </w:tabs>
              <w:spacing w:before="240"/>
              <w:jc w:val="both"/>
              <w:rPr>
                <w:rFonts w:ascii="Arial" w:hAnsi="Arial" w:cs="Arial"/>
                <w:iCs/>
              </w:rPr>
            </w:pPr>
            <w:r w:rsidRPr="00C10A1B">
              <w:rPr>
                <w:rFonts w:ascii="Arial" w:hAnsi="Arial" w:cs="Arial"/>
                <w:iCs/>
              </w:rPr>
              <w:t xml:space="preserve">the development and exploitation plan for </w:t>
            </w:r>
            <w:proofErr w:type="spellStart"/>
            <w:r w:rsidRPr="00C10A1B">
              <w:rPr>
                <w:rFonts w:ascii="Arial" w:hAnsi="Arial" w:cs="Arial"/>
                <w:iCs/>
              </w:rPr>
              <w:t>Sangomar</w:t>
            </w:r>
            <w:proofErr w:type="spellEnd"/>
            <w:r w:rsidRPr="00C10A1B">
              <w:rPr>
                <w:rFonts w:ascii="Arial" w:hAnsi="Arial" w:cs="Arial"/>
                <w:iCs/>
              </w:rPr>
              <w:t xml:space="preserve"> prepared</w:t>
            </w:r>
            <w:r w:rsidR="00C10A1B" w:rsidRPr="00C10A1B">
              <w:rPr>
                <w:rFonts w:ascii="Arial" w:hAnsi="Arial" w:cs="Arial"/>
                <w:iCs/>
              </w:rPr>
              <w:t xml:space="preserve"> </w:t>
            </w:r>
            <w:r w:rsidR="00B46D2A" w:rsidRPr="00C10A1B">
              <w:rPr>
                <w:rFonts w:ascii="Arial" w:hAnsi="Arial" w:cs="Arial"/>
                <w:iCs/>
              </w:rPr>
              <w:t>u</w:t>
            </w:r>
            <w:r w:rsidRPr="00C10A1B">
              <w:rPr>
                <w:rFonts w:ascii="Arial" w:hAnsi="Arial" w:cs="Arial"/>
                <w:iCs/>
              </w:rPr>
              <w:t xml:space="preserve">nder Article 9.5 of the RSSD PSC, submitted in final form on </w:t>
            </w:r>
            <w:r w:rsidR="00B46D2A" w:rsidRPr="00C10A1B">
              <w:rPr>
                <w:rFonts w:ascii="Arial" w:hAnsi="Arial" w:cs="Arial"/>
                <w:iCs/>
              </w:rPr>
              <w:t>2</w:t>
            </w:r>
            <w:r w:rsidRPr="00C10A1B">
              <w:rPr>
                <w:rFonts w:ascii="Arial" w:hAnsi="Arial" w:cs="Arial"/>
                <w:iCs/>
              </w:rPr>
              <w:t xml:space="preserve"> December 2019 and approved by the Minister on 8 January 2020</w:t>
            </w:r>
          </w:p>
        </w:tc>
      </w:tr>
      <w:tr w:rsidR="00AF2DFF" w:rsidRPr="00C10A1B" w14:paraId="5502DD4B" w14:textId="77777777" w:rsidTr="00FE4612">
        <w:tc>
          <w:tcPr>
            <w:tcW w:w="2263" w:type="dxa"/>
            <w:shd w:val="clear" w:color="auto" w:fill="auto"/>
          </w:tcPr>
          <w:p w14:paraId="05638051" w14:textId="4F894F30" w:rsidR="00854607" w:rsidRPr="00C10A1B" w:rsidRDefault="00854607" w:rsidP="00AF2DFF">
            <w:pPr>
              <w:tabs>
                <w:tab w:val="left" w:pos="2835"/>
              </w:tabs>
              <w:spacing w:before="240"/>
              <w:jc w:val="both"/>
              <w:rPr>
                <w:rFonts w:ascii="Arial" w:hAnsi="Arial" w:cs="Arial"/>
                <w:b/>
                <w:bCs/>
              </w:rPr>
            </w:pPr>
            <w:proofErr w:type="spellStart"/>
            <w:r w:rsidRPr="00C10A1B">
              <w:rPr>
                <w:rFonts w:ascii="Arial" w:hAnsi="Arial" w:cs="Arial"/>
                <w:b/>
                <w:bCs/>
              </w:rPr>
              <w:t>Sangomar</w:t>
            </w:r>
            <w:proofErr w:type="spellEnd"/>
            <w:r w:rsidRPr="00C10A1B">
              <w:rPr>
                <w:rFonts w:ascii="Arial" w:hAnsi="Arial" w:cs="Arial"/>
                <w:b/>
                <w:bCs/>
              </w:rPr>
              <w:t xml:space="preserve"> North/SPICA</w:t>
            </w:r>
          </w:p>
        </w:tc>
        <w:tc>
          <w:tcPr>
            <w:tcW w:w="6753" w:type="dxa"/>
            <w:shd w:val="clear" w:color="auto" w:fill="auto"/>
          </w:tcPr>
          <w:p w14:paraId="553E6057" w14:textId="0AAF9926" w:rsidR="00854607" w:rsidRPr="00C10A1B" w:rsidRDefault="00854607" w:rsidP="00AF2DFF">
            <w:pPr>
              <w:tabs>
                <w:tab w:val="left" w:pos="2835"/>
              </w:tabs>
              <w:spacing w:before="240"/>
              <w:jc w:val="both"/>
              <w:rPr>
                <w:rFonts w:ascii="Arial" w:hAnsi="Arial" w:cs="Arial"/>
                <w:iCs/>
              </w:rPr>
            </w:pPr>
            <w:r w:rsidRPr="00C10A1B">
              <w:rPr>
                <w:rFonts w:ascii="Arial" w:hAnsi="Arial" w:cs="Arial"/>
                <w:iCs/>
              </w:rPr>
              <w:t xml:space="preserve">the </w:t>
            </w:r>
            <w:proofErr w:type="spellStart"/>
            <w:r w:rsidRPr="00C10A1B">
              <w:rPr>
                <w:rFonts w:ascii="Arial" w:hAnsi="Arial" w:cs="Arial"/>
                <w:iCs/>
              </w:rPr>
              <w:t>Sangomar</w:t>
            </w:r>
            <w:proofErr w:type="spellEnd"/>
            <w:r w:rsidRPr="00C10A1B">
              <w:rPr>
                <w:rFonts w:ascii="Arial" w:hAnsi="Arial" w:cs="Arial"/>
                <w:iCs/>
              </w:rPr>
              <w:t xml:space="preserve"> North and SPICA offshore exploration or evaluation area within the RSSD Contract Area</w:t>
            </w:r>
          </w:p>
        </w:tc>
      </w:tr>
      <w:tr w:rsidR="00AF2DFF" w:rsidRPr="00C10A1B" w14:paraId="776649FF" w14:textId="77777777" w:rsidTr="00FE4612">
        <w:tc>
          <w:tcPr>
            <w:tcW w:w="2263" w:type="dxa"/>
            <w:shd w:val="clear" w:color="auto" w:fill="auto"/>
          </w:tcPr>
          <w:p w14:paraId="60FB6FCA" w14:textId="7FB32366" w:rsidR="00696610" w:rsidRPr="00C10A1B" w:rsidRDefault="00D04B62" w:rsidP="00AF2DFF">
            <w:pPr>
              <w:tabs>
                <w:tab w:val="left" w:pos="2835"/>
              </w:tabs>
              <w:spacing w:before="240"/>
              <w:jc w:val="both"/>
              <w:rPr>
                <w:rFonts w:ascii="Arial" w:hAnsi="Arial" w:cs="Arial"/>
                <w:b/>
                <w:bCs/>
              </w:rPr>
            </w:pPr>
            <w:r w:rsidRPr="00C10A1B">
              <w:rPr>
                <w:rFonts w:ascii="Arial" w:hAnsi="Arial" w:cs="Arial"/>
                <w:b/>
                <w:bCs/>
              </w:rPr>
              <w:t>Shareholders</w:t>
            </w:r>
          </w:p>
        </w:tc>
        <w:tc>
          <w:tcPr>
            <w:tcW w:w="6753" w:type="dxa"/>
            <w:shd w:val="clear" w:color="auto" w:fill="auto"/>
          </w:tcPr>
          <w:p w14:paraId="28FC7020" w14:textId="6AF38D34" w:rsidR="00696610" w:rsidRPr="00C10A1B" w:rsidRDefault="00D04B62" w:rsidP="00AF2DFF">
            <w:pPr>
              <w:tabs>
                <w:tab w:val="left" w:pos="2835"/>
              </w:tabs>
              <w:spacing w:before="240"/>
              <w:jc w:val="both"/>
              <w:rPr>
                <w:rFonts w:ascii="Arial" w:hAnsi="Arial" w:cs="Arial"/>
                <w:iCs/>
              </w:rPr>
            </w:pPr>
            <w:r w:rsidRPr="00C10A1B">
              <w:rPr>
                <w:rFonts w:ascii="Arial" w:hAnsi="Arial" w:cs="Arial"/>
                <w:iCs/>
              </w:rPr>
              <w:t>the holders of the ordinary shares of 231/169 pence each in the capital of Cairn</w:t>
            </w:r>
          </w:p>
        </w:tc>
      </w:tr>
      <w:tr w:rsidR="00AF2DFF" w:rsidRPr="00C10A1B" w14:paraId="1BEFAE6A" w14:textId="77777777" w:rsidTr="00FE4612">
        <w:tc>
          <w:tcPr>
            <w:tcW w:w="2263" w:type="dxa"/>
            <w:shd w:val="clear" w:color="auto" w:fill="auto"/>
          </w:tcPr>
          <w:p w14:paraId="7A6E74CA" w14:textId="6A5AB18F" w:rsidR="00854607" w:rsidRPr="00C10A1B" w:rsidRDefault="00854607" w:rsidP="00AF2DFF">
            <w:pPr>
              <w:tabs>
                <w:tab w:val="left" w:pos="2835"/>
              </w:tabs>
              <w:spacing w:before="240"/>
              <w:jc w:val="both"/>
              <w:rPr>
                <w:rFonts w:ascii="Arial" w:hAnsi="Arial" w:cs="Arial"/>
                <w:b/>
                <w:bCs/>
              </w:rPr>
            </w:pPr>
            <w:r w:rsidRPr="00C10A1B">
              <w:rPr>
                <w:rFonts w:ascii="Arial" w:hAnsi="Arial" w:cs="Arial"/>
                <w:b/>
                <w:bCs/>
              </w:rPr>
              <w:t>SPICA</w:t>
            </w:r>
          </w:p>
        </w:tc>
        <w:tc>
          <w:tcPr>
            <w:tcW w:w="6753" w:type="dxa"/>
            <w:shd w:val="clear" w:color="auto" w:fill="auto"/>
          </w:tcPr>
          <w:p w14:paraId="7A8358B9" w14:textId="2B5AB370" w:rsidR="00854607" w:rsidRPr="00C10A1B" w:rsidRDefault="00854607" w:rsidP="00AF2DFF">
            <w:pPr>
              <w:tabs>
                <w:tab w:val="left" w:pos="2835"/>
              </w:tabs>
              <w:spacing w:before="240"/>
              <w:jc w:val="both"/>
              <w:rPr>
                <w:rFonts w:ascii="Arial" w:hAnsi="Arial" w:cs="Arial"/>
                <w:iCs/>
              </w:rPr>
            </w:pPr>
            <w:r w:rsidRPr="00C10A1B">
              <w:rPr>
                <w:rFonts w:ascii="Arial" w:hAnsi="Arial" w:cs="Arial"/>
                <w:iCs/>
              </w:rPr>
              <w:t xml:space="preserve">the prospect of the same name within </w:t>
            </w:r>
            <w:proofErr w:type="spellStart"/>
            <w:r w:rsidRPr="00C10A1B">
              <w:rPr>
                <w:rFonts w:ascii="Arial" w:hAnsi="Arial" w:cs="Arial"/>
                <w:iCs/>
              </w:rPr>
              <w:t>Sangomar</w:t>
            </w:r>
            <w:proofErr w:type="spellEnd"/>
            <w:r w:rsidRPr="00C10A1B">
              <w:rPr>
                <w:rFonts w:ascii="Arial" w:hAnsi="Arial" w:cs="Arial"/>
                <w:iCs/>
              </w:rPr>
              <w:t xml:space="preserve"> North/SPICA, more particularly described demarcated as such in the corresponding application for extension of the exploration period</w:t>
            </w:r>
          </w:p>
        </w:tc>
      </w:tr>
      <w:tr w:rsidR="00AF2DFF" w:rsidRPr="00C10A1B" w14:paraId="19ECCBB1" w14:textId="77777777" w:rsidTr="00FE4612">
        <w:tc>
          <w:tcPr>
            <w:tcW w:w="2263" w:type="dxa"/>
            <w:shd w:val="clear" w:color="auto" w:fill="auto"/>
          </w:tcPr>
          <w:p w14:paraId="2A6DCFC6" w14:textId="65121ADA" w:rsidR="00696610" w:rsidRPr="00C10A1B" w:rsidRDefault="00D04B62" w:rsidP="00AF2DFF">
            <w:pPr>
              <w:tabs>
                <w:tab w:val="left" w:pos="2835"/>
              </w:tabs>
              <w:spacing w:before="240"/>
              <w:rPr>
                <w:rFonts w:ascii="Arial" w:hAnsi="Arial" w:cs="Arial"/>
                <w:b/>
                <w:bCs/>
              </w:rPr>
            </w:pPr>
            <w:r w:rsidRPr="00C10A1B">
              <w:rPr>
                <w:rFonts w:ascii="Arial" w:hAnsi="Arial" w:cs="Arial"/>
                <w:b/>
                <w:bCs/>
              </w:rPr>
              <w:t>Transaction</w:t>
            </w:r>
          </w:p>
        </w:tc>
        <w:tc>
          <w:tcPr>
            <w:tcW w:w="6753" w:type="dxa"/>
            <w:shd w:val="clear" w:color="auto" w:fill="auto"/>
          </w:tcPr>
          <w:p w14:paraId="70B0B760" w14:textId="6FCCE186" w:rsidR="00D04B62" w:rsidRPr="00C10A1B" w:rsidRDefault="00D04B62" w:rsidP="00AF2DFF">
            <w:pPr>
              <w:tabs>
                <w:tab w:val="left" w:pos="2835"/>
              </w:tabs>
              <w:spacing w:before="240"/>
              <w:jc w:val="both"/>
              <w:rPr>
                <w:rFonts w:ascii="Arial" w:hAnsi="Arial" w:cs="Arial"/>
                <w:iCs/>
              </w:rPr>
            </w:pPr>
            <w:r w:rsidRPr="00C10A1B">
              <w:rPr>
                <w:rFonts w:ascii="Arial" w:hAnsi="Arial" w:cs="Arial"/>
                <w:iCs/>
              </w:rPr>
              <w:t>the proposed sale and disposal of the Sale Interest to (</w:t>
            </w:r>
            <w:proofErr w:type="spellStart"/>
            <w:r w:rsidRPr="00C10A1B">
              <w:rPr>
                <w:rFonts w:ascii="Arial" w:hAnsi="Arial" w:cs="Arial"/>
                <w:iCs/>
              </w:rPr>
              <w:t>i</w:t>
            </w:r>
            <w:proofErr w:type="spellEnd"/>
            <w:r w:rsidRPr="00C10A1B">
              <w:rPr>
                <w:rFonts w:ascii="Arial" w:hAnsi="Arial" w:cs="Arial"/>
                <w:iCs/>
              </w:rPr>
              <w:t xml:space="preserve">) </w:t>
            </w:r>
            <w:r w:rsidR="00767028" w:rsidRPr="00C10A1B">
              <w:rPr>
                <w:rFonts w:ascii="Arial" w:hAnsi="Arial" w:cs="Arial"/>
                <w:iCs/>
              </w:rPr>
              <w:t>LUKOIL</w:t>
            </w:r>
            <w:r w:rsidRPr="00C10A1B">
              <w:rPr>
                <w:rFonts w:ascii="Arial" w:hAnsi="Arial" w:cs="Arial"/>
                <w:iCs/>
              </w:rPr>
              <w:t xml:space="preserve"> pursuant to the Sale and Purchase Agreement; or (ii) to one or more of the other parties to the RSSD JOA on the same terms and conditions as the Sale and Purchase Agreement, in the event of exercise by that party or those</w:t>
            </w:r>
          </w:p>
          <w:p w14:paraId="51C8A849" w14:textId="666DCBC0" w:rsidR="00696610" w:rsidRPr="00C10A1B" w:rsidRDefault="00D04B62" w:rsidP="00AF2DFF">
            <w:pPr>
              <w:tabs>
                <w:tab w:val="left" w:pos="2835"/>
              </w:tabs>
              <w:spacing w:before="240"/>
              <w:jc w:val="both"/>
              <w:rPr>
                <w:rFonts w:ascii="Arial" w:hAnsi="Arial" w:cs="Arial"/>
                <w:iCs/>
              </w:rPr>
            </w:pPr>
            <w:r w:rsidRPr="00C10A1B">
              <w:rPr>
                <w:rFonts w:ascii="Arial" w:hAnsi="Arial" w:cs="Arial"/>
                <w:iCs/>
              </w:rPr>
              <w:t>parties of their Pre-Emption Rights in relation to the Sale Interest</w:t>
            </w:r>
          </w:p>
        </w:tc>
      </w:tr>
      <w:tr w:rsidR="00AF2DFF" w:rsidRPr="00C10A1B" w14:paraId="7313E15F" w14:textId="77777777" w:rsidTr="00FE4612">
        <w:tc>
          <w:tcPr>
            <w:tcW w:w="2263" w:type="dxa"/>
            <w:shd w:val="clear" w:color="auto" w:fill="auto"/>
          </w:tcPr>
          <w:p w14:paraId="68715559" w14:textId="3414749B" w:rsidR="00696610" w:rsidRPr="00C10A1B" w:rsidRDefault="00D04B62" w:rsidP="00AF2DFF">
            <w:pPr>
              <w:tabs>
                <w:tab w:val="left" w:pos="2835"/>
              </w:tabs>
              <w:spacing w:before="240"/>
              <w:jc w:val="both"/>
              <w:rPr>
                <w:rFonts w:ascii="Arial" w:hAnsi="Arial" w:cs="Arial"/>
                <w:b/>
                <w:bCs/>
              </w:rPr>
            </w:pPr>
            <w:r w:rsidRPr="00C10A1B">
              <w:rPr>
                <w:rFonts w:ascii="Arial" w:hAnsi="Arial" w:cs="Arial"/>
                <w:b/>
                <w:bCs/>
              </w:rPr>
              <w:t>Woodside</w:t>
            </w:r>
          </w:p>
        </w:tc>
        <w:tc>
          <w:tcPr>
            <w:tcW w:w="6753" w:type="dxa"/>
            <w:shd w:val="clear" w:color="auto" w:fill="auto"/>
          </w:tcPr>
          <w:p w14:paraId="5EE4300A" w14:textId="6985FF36" w:rsidR="00696610" w:rsidRPr="00C10A1B" w:rsidRDefault="00D04B62" w:rsidP="00AF2DFF">
            <w:pPr>
              <w:tabs>
                <w:tab w:val="left" w:pos="2835"/>
              </w:tabs>
              <w:spacing w:before="240"/>
              <w:jc w:val="both"/>
              <w:rPr>
                <w:rFonts w:ascii="Arial" w:hAnsi="Arial" w:cs="Arial"/>
                <w:iCs/>
              </w:rPr>
            </w:pPr>
            <w:r w:rsidRPr="00C10A1B">
              <w:rPr>
                <w:rFonts w:ascii="Arial" w:hAnsi="Arial" w:cs="Arial"/>
                <w:iCs/>
              </w:rPr>
              <w:t>Woodside Energy (Senegal) B.V., a subsidiary of Woodside Petroleum Limited and the current operator under the RSSD JOA</w:t>
            </w:r>
          </w:p>
        </w:tc>
      </w:tr>
      <w:bookmarkEnd w:id="7"/>
    </w:tbl>
    <w:p w14:paraId="6220AF58" w14:textId="77777777" w:rsidR="008151BC" w:rsidRPr="00C10A1B" w:rsidRDefault="008151BC" w:rsidP="00AF2DFF">
      <w:pPr>
        <w:tabs>
          <w:tab w:val="left" w:pos="2835"/>
        </w:tabs>
        <w:spacing w:after="0" w:line="240" w:lineRule="auto"/>
        <w:jc w:val="both"/>
        <w:rPr>
          <w:rFonts w:ascii="Arial" w:eastAsia="Times New Roman" w:hAnsi="Arial" w:cs="Arial"/>
          <w:iCs/>
          <w:sz w:val="20"/>
          <w:szCs w:val="20"/>
        </w:rPr>
      </w:pPr>
    </w:p>
    <w:p w14:paraId="36FE8BDD" w14:textId="074526C8" w:rsidR="00877B97" w:rsidRPr="00C10A1B" w:rsidRDefault="00877B97" w:rsidP="00A67B28">
      <w:pPr>
        <w:spacing w:after="0" w:line="240" w:lineRule="auto"/>
        <w:jc w:val="both"/>
        <w:rPr>
          <w:rFonts w:ascii="Arial" w:eastAsia="Times New Roman" w:hAnsi="Arial" w:cs="Arial"/>
          <w:sz w:val="20"/>
          <w:szCs w:val="20"/>
        </w:rPr>
      </w:pPr>
    </w:p>
    <w:p w14:paraId="19EBC538" w14:textId="77777777" w:rsidR="009D2320" w:rsidRPr="00C10A1B" w:rsidRDefault="009D2320" w:rsidP="00A67B28">
      <w:pPr>
        <w:spacing w:after="0" w:line="240" w:lineRule="auto"/>
        <w:jc w:val="both"/>
        <w:rPr>
          <w:rFonts w:ascii="Arial" w:eastAsia="Times New Roman" w:hAnsi="Arial" w:cs="Arial"/>
          <w:sz w:val="20"/>
          <w:szCs w:val="20"/>
        </w:rPr>
      </w:pPr>
    </w:p>
    <w:p w14:paraId="26502D31" w14:textId="0220B7D4" w:rsidR="00A67B28" w:rsidRPr="00C10A1B" w:rsidRDefault="00A67B28" w:rsidP="00AF2DFF">
      <w:pPr>
        <w:spacing w:after="0" w:line="240" w:lineRule="auto"/>
        <w:jc w:val="both"/>
        <w:rPr>
          <w:rFonts w:ascii="Arial" w:eastAsia="Times New Roman" w:hAnsi="Arial" w:cs="Arial"/>
          <w:sz w:val="20"/>
          <w:szCs w:val="20"/>
        </w:rPr>
      </w:pPr>
      <w:r w:rsidRPr="00C10A1B">
        <w:rPr>
          <w:rFonts w:ascii="Arial" w:eastAsia="Times New Roman" w:hAnsi="Arial" w:cs="Arial"/>
          <w:sz w:val="20"/>
          <w:szCs w:val="20"/>
        </w:rPr>
        <w:t>  </w:t>
      </w:r>
    </w:p>
    <w:p w14:paraId="6CE2677F" w14:textId="77777777" w:rsidR="00C23D4F" w:rsidRPr="00C10A1B" w:rsidRDefault="00C23D4F" w:rsidP="00A67B28">
      <w:pPr>
        <w:rPr>
          <w:rFonts w:ascii="Arial" w:hAnsi="Arial" w:cs="Arial"/>
          <w:sz w:val="20"/>
          <w:szCs w:val="20"/>
        </w:rPr>
      </w:pPr>
    </w:p>
    <w:sectPr w:rsidR="00C23D4F" w:rsidRPr="00C10A1B">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A1ACB" w14:textId="77777777" w:rsidR="005C1199" w:rsidRDefault="005C1199" w:rsidP="003C60C4">
      <w:pPr>
        <w:spacing w:after="0" w:line="240" w:lineRule="auto"/>
      </w:pPr>
      <w:r>
        <w:separator/>
      </w:r>
    </w:p>
  </w:endnote>
  <w:endnote w:type="continuationSeparator" w:id="0">
    <w:p w14:paraId="43520B81" w14:textId="77777777" w:rsidR="005C1199" w:rsidRDefault="005C1199" w:rsidP="003C6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2020603050405020304"/>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5656722"/>
      <w:docPartObj>
        <w:docPartGallery w:val="Page Numbers (Bottom of Page)"/>
        <w:docPartUnique/>
      </w:docPartObj>
    </w:sdtPr>
    <w:sdtEndPr>
      <w:rPr>
        <w:noProof/>
      </w:rPr>
    </w:sdtEndPr>
    <w:sdtContent>
      <w:p w14:paraId="01FD7D12" w14:textId="33726319" w:rsidR="005D67B3" w:rsidRDefault="005D67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DE0F4" w14:textId="77777777" w:rsidR="005C1199" w:rsidRDefault="005C1199" w:rsidP="003C60C4">
      <w:pPr>
        <w:spacing w:after="0" w:line="240" w:lineRule="auto"/>
      </w:pPr>
      <w:r>
        <w:separator/>
      </w:r>
    </w:p>
  </w:footnote>
  <w:footnote w:type="continuationSeparator" w:id="0">
    <w:p w14:paraId="7E1926F1" w14:textId="77777777" w:rsidR="005C1199" w:rsidRDefault="005C1199" w:rsidP="003C60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6C46"/>
    <w:multiLevelType w:val="hybridMultilevel"/>
    <w:tmpl w:val="25EEA7E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2915B9"/>
    <w:multiLevelType w:val="hybridMultilevel"/>
    <w:tmpl w:val="215AC0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B">
      <w:start w:val="1"/>
      <w:numFmt w:val="bullet"/>
      <w:lvlText w:val=""/>
      <w:lvlJc w:val="left"/>
      <w:pPr>
        <w:ind w:left="2880"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3500B"/>
    <w:multiLevelType w:val="hybridMultilevel"/>
    <w:tmpl w:val="F53CAF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C53E9C"/>
    <w:multiLevelType w:val="hybridMultilevel"/>
    <w:tmpl w:val="67A21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220C8"/>
    <w:multiLevelType w:val="hybridMultilevel"/>
    <w:tmpl w:val="A7EA339E"/>
    <w:lvl w:ilvl="0" w:tplc="9D28A2A8">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A029AE"/>
    <w:multiLevelType w:val="hybridMultilevel"/>
    <w:tmpl w:val="F38618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5F7FFC"/>
    <w:multiLevelType w:val="hybridMultilevel"/>
    <w:tmpl w:val="93FA7A80"/>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4711DEA"/>
    <w:multiLevelType w:val="hybridMultilevel"/>
    <w:tmpl w:val="C156BA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36853DB6"/>
    <w:multiLevelType w:val="hybridMultilevel"/>
    <w:tmpl w:val="43F45E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394127BC"/>
    <w:multiLevelType w:val="hybridMultilevel"/>
    <w:tmpl w:val="DBA04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A963A1A"/>
    <w:multiLevelType w:val="hybridMultilevel"/>
    <w:tmpl w:val="6FB600E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1" w15:restartNumberingAfterBreak="0">
    <w:nsid w:val="3B0613A6"/>
    <w:multiLevelType w:val="multilevel"/>
    <w:tmpl w:val="35266DC8"/>
    <w:lvl w:ilvl="0">
      <w:start w:val="1"/>
      <w:numFmt w:val="decimal"/>
      <w:lvlText w:val="%1."/>
      <w:lvlJc w:val="left"/>
      <w:pPr>
        <w:tabs>
          <w:tab w:val="num" w:pos="720"/>
        </w:tabs>
        <w:ind w:left="720" w:hanging="720"/>
      </w:pPr>
      <w:rPr>
        <w:rFonts w:ascii="Arial" w:hAnsi="Arial" w:cs="Arial" w:hint="default"/>
        <w:b w:val="0"/>
        <w:i w:val="0"/>
        <w:sz w:val="20"/>
      </w:rPr>
    </w:lvl>
    <w:lvl w:ilvl="1">
      <w:start w:val="1"/>
      <w:numFmt w:val="decimal"/>
      <w:lvlText w:val="%1.%2"/>
      <w:lvlJc w:val="left"/>
      <w:pPr>
        <w:tabs>
          <w:tab w:val="num" w:pos="720"/>
        </w:tabs>
        <w:ind w:left="720" w:hanging="720"/>
      </w:pPr>
      <w:rPr>
        <w:rFonts w:ascii="Arial" w:hAnsi="Arial" w:cs="Arial" w:hint="default"/>
        <w:b w:val="0"/>
        <w:i w:val="0"/>
        <w:sz w:val="20"/>
      </w:rPr>
    </w:lvl>
    <w:lvl w:ilvl="2">
      <w:start w:val="1"/>
      <w:numFmt w:val="decimal"/>
      <w:lvlText w:val="%1.%2.%3"/>
      <w:lvlJc w:val="left"/>
      <w:pPr>
        <w:tabs>
          <w:tab w:val="num" w:pos="1584"/>
        </w:tabs>
        <w:ind w:left="1584" w:hanging="864"/>
      </w:pPr>
      <w:rPr>
        <w:rFonts w:ascii="Arial" w:hAnsi="Arial" w:cs="Arial" w:hint="default"/>
        <w:b w:val="0"/>
        <w:i w:val="0"/>
        <w:sz w:val="20"/>
      </w:rPr>
    </w:lvl>
    <w:lvl w:ilvl="3">
      <w:start w:val="1"/>
      <w:numFmt w:val="lowerRoman"/>
      <w:lvlText w:val="(%4)"/>
      <w:lvlJc w:val="left"/>
      <w:pPr>
        <w:tabs>
          <w:tab w:val="num" w:pos="2592"/>
        </w:tabs>
        <w:ind w:left="2592" w:hanging="1008"/>
      </w:pPr>
      <w:rPr>
        <w:rFonts w:ascii="Arial" w:hAnsi="Arial" w:cs="Arial" w:hint="default"/>
        <w:b w:val="0"/>
        <w:i w:val="0"/>
        <w:sz w:val="20"/>
      </w:rPr>
    </w:lvl>
    <w:lvl w:ilvl="4">
      <w:start w:val="1"/>
      <w:numFmt w:val="lowerLetter"/>
      <w:lvlText w:val="(%4)(%5)"/>
      <w:lvlJc w:val="left"/>
      <w:pPr>
        <w:tabs>
          <w:tab w:val="num" w:pos="2592"/>
        </w:tabs>
        <w:ind w:left="2592" w:hanging="1008"/>
      </w:pPr>
      <w:rPr>
        <w:rFonts w:ascii="Arial" w:hAnsi="Arial" w:cs="Arial" w:hint="default"/>
        <w:b w:val="0"/>
        <w:i w:val="0"/>
        <w:sz w:val="20"/>
      </w:rPr>
    </w:lvl>
    <w:lvl w:ilvl="5">
      <w:start w:val="1"/>
      <w:numFmt w:val="decimal"/>
      <w:lvlText w:val="(%4)(%5)(%6)"/>
      <w:lvlJc w:val="left"/>
      <w:pPr>
        <w:tabs>
          <w:tab w:val="num" w:pos="2592"/>
        </w:tabs>
        <w:ind w:left="2592" w:hanging="1008"/>
      </w:pPr>
      <w:rPr>
        <w:rFonts w:ascii="Arial" w:hAnsi="Arial" w:cs="Arial" w:hint="default"/>
        <w:b w:val="0"/>
        <w:i w:val="0"/>
        <w:sz w:val="20"/>
      </w:rPr>
    </w:lvl>
    <w:lvl w:ilvl="6">
      <w:start w:val="1"/>
      <w:numFmt w:val="lowerRoman"/>
      <w:lvlText w:val="(%4)(%5)(%6)(%7)"/>
      <w:lvlJc w:val="left"/>
      <w:pPr>
        <w:tabs>
          <w:tab w:val="num" w:pos="4032"/>
        </w:tabs>
        <w:ind w:left="4032" w:hanging="1440"/>
      </w:pPr>
      <w:rPr>
        <w:rFonts w:ascii="Arial" w:hAnsi="Arial" w:cs="Arial" w:hint="default"/>
        <w:b w:val="0"/>
        <w:i w:val="0"/>
        <w:sz w:val="20"/>
      </w:rPr>
    </w:lvl>
    <w:lvl w:ilvl="7">
      <w:start w:val="1"/>
      <w:numFmt w:val="lowerLetter"/>
      <w:lvlText w:val="(%4)(%5)(%6)(%7)(%8)"/>
      <w:lvlJc w:val="left"/>
      <w:pPr>
        <w:tabs>
          <w:tab w:val="num" w:pos="4032"/>
        </w:tabs>
        <w:ind w:left="4032" w:hanging="1440"/>
      </w:pPr>
      <w:rPr>
        <w:rFonts w:ascii="Arial" w:hAnsi="Arial" w:cs="Arial" w:hint="default"/>
        <w:b w:val="0"/>
        <w:i w:val="0"/>
        <w:sz w:val="20"/>
      </w:rPr>
    </w:lvl>
    <w:lvl w:ilvl="8">
      <w:start w:val="1"/>
      <w:numFmt w:val="none"/>
      <w:lvlText w:val=""/>
      <w:lvlJc w:val="left"/>
      <w:pPr>
        <w:tabs>
          <w:tab w:val="num" w:pos="0"/>
        </w:tabs>
        <w:ind w:left="0" w:firstLine="0"/>
      </w:pPr>
    </w:lvl>
  </w:abstractNum>
  <w:abstractNum w:abstractNumId="12" w15:restartNumberingAfterBreak="0">
    <w:nsid w:val="3C6F23B8"/>
    <w:multiLevelType w:val="hybridMultilevel"/>
    <w:tmpl w:val="FB50F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8B1607"/>
    <w:multiLevelType w:val="hybridMultilevel"/>
    <w:tmpl w:val="78D2B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B43129"/>
    <w:multiLevelType w:val="hybridMultilevel"/>
    <w:tmpl w:val="4EE65236"/>
    <w:lvl w:ilvl="0" w:tplc="08090001">
      <w:start w:val="1"/>
      <w:numFmt w:val="bullet"/>
      <w:lvlText w:val=""/>
      <w:lvlJc w:val="left"/>
      <w:pPr>
        <w:ind w:left="720" w:hanging="360"/>
      </w:pPr>
      <w:rPr>
        <w:rFonts w:ascii="Symbol" w:hAnsi="Symbol" w:hint="default"/>
      </w:rPr>
    </w:lvl>
    <w:lvl w:ilvl="1" w:tplc="1D523B52">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272F31"/>
    <w:multiLevelType w:val="hybridMultilevel"/>
    <w:tmpl w:val="72221102"/>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3617EAC"/>
    <w:multiLevelType w:val="hybridMultilevel"/>
    <w:tmpl w:val="E3B2C55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A9424D"/>
    <w:multiLevelType w:val="hybridMultilevel"/>
    <w:tmpl w:val="69183B94"/>
    <w:lvl w:ilvl="0" w:tplc="9D28A2A8">
      <w:numFmt w:val="bullet"/>
      <w:lvlText w:val="•"/>
      <w:lvlJc w:val="left"/>
      <w:pPr>
        <w:ind w:left="1713" w:hanging="360"/>
      </w:pPr>
      <w:rPr>
        <w:rFonts w:ascii="Arial" w:eastAsia="Times New Roman" w:hAnsi="Arial" w:cs="Aria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6BCC4F2C"/>
    <w:multiLevelType w:val="hybridMultilevel"/>
    <w:tmpl w:val="ED9C39B4"/>
    <w:lvl w:ilvl="0" w:tplc="8FF2BB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1657804"/>
    <w:multiLevelType w:val="hybridMultilevel"/>
    <w:tmpl w:val="F608128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2D36881"/>
    <w:multiLevelType w:val="hybridMultilevel"/>
    <w:tmpl w:val="EB2A7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572464"/>
    <w:multiLevelType w:val="hybridMultilevel"/>
    <w:tmpl w:val="7F4048F6"/>
    <w:lvl w:ilvl="0" w:tplc="9D28A2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E855C6"/>
    <w:multiLevelType w:val="hybridMultilevel"/>
    <w:tmpl w:val="C1FE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ED2448"/>
    <w:multiLevelType w:val="hybridMultilevel"/>
    <w:tmpl w:val="1F44B67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374B65"/>
    <w:multiLevelType w:val="hybridMultilevel"/>
    <w:tmpl w:val="5426AA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B">
      <w:start w:val="1"/>
      <w:numFmt w:val="bullet"/>
      <w:lvlText w:val=""/>
      <w:lvlJc w:val="left"/>
      <w:pPr>
        <w:ind w:left="2880" w:hanging="360"/>
      </w:pPr>
      <w:rPr>
        <w:rFonts w:ascii="Wingdings" w:hAnsi="Wingding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AD65FC"/>
    <w:multiLevelType w:val="hybridMultilevel"/>
    <w:tmpl w:val="623E504E"/>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2"/>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1"/>
  </w:num>
  <w:num w:numId="5">
    <w:abstractNumId w:va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13"/>
  </w:num>
  <w:num w:numId="10">
    <w:abstractNumId w:val="20"/>
  </w:num>
  <w:num w:numId="11">
    <w:abstractNumId w:val="10"/>
  </w:num>
  <w:num w:numId="12">
    <w:abstractNumId w:val="12"/>
  </w:num>
  <w:num w:numId="13">
    <w:abstractNumId w:val="18"/>
  </w:num>
  <w:num w:numId="14">
    <w:abstractNumId w:val="14"/>
  </w:num>
  <w:num w:numId="15">
    <w:abstractNumId w:val="3"/>
  </w:num>
  <w:num w:numId="16">
    <w:abstractNumId w:val="21"/>
  </w:num>
  <w:num w:numId="17">
    <w:abstractNumId w:val="17"/>
  </w:num>
  <w:num w:numId="18">
    <w:abstractNumId w:val="4"/>
  </w:num>
  <w:num w:numId="19">
    <w:abstractNumId w:val="23"/>
  </w:num>
  <w:num w:numId="20">
    <w:abstractNumId w:val="9"/>
  </w:num>
  <w:num w:numId="21">
    <w:abstractNumId w:val="15"/>
  </w:num>
  <w:num w:numId="22">
    <w:abstractNumId w:val="16"/>
  </w:num>
  <w:num w:numId="23">
    <w:abstractNumId w:val="5"/>
  </w:num>
  <w:num w:numId="24">
    <w:abstractNumId w:val="25"/>
  </w:num>
  <w:num w:numId="25">
    <w:abstractNumId w:val="0"/>
  </w:num>
  <w:num w:numId="26">
    <w:abstractNumId w:val="19"/>
  </w:num>
  <w:num w:numId="27">
    <w:abstractNumId w:val="2"/>
  </w:num>
  <w:num w:numId="28">
    <w:abstractNumId w:val="1"/>
  </w:num>
  <w:num w:numId="29">
    <w:abstractNumId w:val="24"/>
  </w:num>
  <w:num w:numId="30">
    <w:abstractNumId w:val="6"/>
  </w:num>
  <w:num w:numId="31">
    <w:abstractNumId w:val="15"/>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A67B28"/>
    <w:rsid w:val="00000A30"/>
    <w:rsid w:val="000127A8"/>
    <w:rsid w:val="00016CDC"/>
    <w:rsid w:val="00021C87"/>
    <w:rsid w:val="0002411B"/>
    <w:rsid w:val="00024F22"/>
    <w:rsid w:val="00025D7C"/>
    <w:rsid w:val="000308C8"/>
    <w:rsid w:val="00051FA8"/>
    <w:rsid w:val="00063100"/>
    <w:rsid w:val="00075C74"/>
    <w:rsid w:val="00076CC4"/>
    <w:rsid w:val="00083004"/>
    <w:rsid w:val="00083C47"/>
    <w:rsid w:val="0008430E"/>
    <w:rsid w:val="00087D4A"/>
    <w:rsid w:val="00090277"/>
    <w:rsid w:val="000922A0"/>
    <w:rsid w:val="000A4BC7"/>
    <w:rsid w:val="000B3C80"/>
    <w:rsid w:val="000B56B4"/>
    <w:rsid w:val="000C2F56"/>
    <w:rsid w:val="000C3A73"/>
    <w:rsid w:val="000E24A9"/>
    <w:rsid w:val="000F4204"/>
    <w:rsid w:val="00102F16"/>
    <w:rsid w:val="00104C12"/>
    <w:rsid w:val="00104C15"/>
    <w:rsid w:val="00110B9C"/>
    <w:rsid w:val="00127FD5"/>
    <w:rsid w:val="00130C85"/>
    <w:rsid w:val="00136C7F"/>
    <w:rsid w:val="0014292D"/>
    <w:rsid w:val="001478BB"/>
    <w:rsid w:val="00151C0E"/>
    <w:rsid w:val="00162006"/>
    <w:rsid w:val="0017130D"/>
    <w:rsid w:val="001742F6"/>
    <w:rsid w:val="00187565"/>
    <w:rsid w:val="00193704"/>
    <w:rsid w:val="001945F6"/>
    <w:rsid w:val="00194C78"/>
    <w:rsid w:val="001A4F03"/>
    <w:rsid w:val="001D348C"/>
    <w:rsid w:val="0020636F"/>
    <w:rsid w:val="0021028B"/>
    <w:rsid w:val="0021128C"/>
    <w:rsid w:val="00212FFA"/>
    <w:rsid w:val="00213FC8"/>
    <w:rsid w:val="0021634A"/>
    <w:rsid w:val="002235B7"/>
    <w:rsid w:val="002237F5"/>
    <w:rsid w:val="00226060"/>
    <w:rsid w:val="00232D33"/>
    <w:rsid w:val="00233273"/>
    <w:rsid w:val="002347BD"/>
    <w:rsid w:val="00243606"/>
    <w:rsid w:val="00251961"/>
    <w:rsid w:val="00252E8B"/>
    <w:rsid w:val="002549CD"/>
    <w:rsid w:val="0026097A"/>
    <w:rsid w:val="00263589"/>
    <w:rsid w:val="00270365"/>
    <w:rsid w:val="0027478F"/>
    <w:rsid w:val="00286EC6"/>
    <w:rsid w:val="002B4036"/>
    <w:rsid w:val="002C6054"/>
    <w:rsid w:val="002D04E0"/>
    <w:rsid w:val="002E0FD5"/>
    <w:rsid w:val="002F01DA"/>
    <w:rsid w:val="002F55B2"/>
    <w:rsid w:val="002F6F09"/>
    <w:rsid w:val="00305475"/>
    <w:rsid w:val="00306B19"/>
    <w:rsid w:val="0031013D"/>
    <w:rsid w:val="003243B6"/>
    <w:rsid w:val="00332032"/>
    <w:rsid w:val="003347EC"/>
    <w:rsid w:val="003352C1"/>
    <w:rsid w:val="00344831"/>
    <w:rsid w:val="0035053C"/>
    <w:rsid w:val="003522BA"/>
    <w:rsid w:val="0037001E"/>
    <w:rsid w:val="00390066"/>
    <w:rsid w:val="003950D1"/>
    <w:rsid w:val="00395CAF"/>
    <w:rsid w:val="003B03BE"/>
    <w:rsid w:val="003C32E6"/>
    <w:rsid w:val="003C60C4"/>
    <w:rsid w:val="003D27DC"/>
    <w:rsid w:val="003D5376"/>
    <w:rsid w:val="003D5B90"/>
    <w:rsid w:val="003D66A5"/>
    <w:rsid w:val="003F28A5"/>
    <w:rsid w:val="003F532B"/>
    <w:rsid w:val="00404C20"/>
    <w:rsid w:val="004201DD"/>
    <w:rsid w:val="00425AE3"/>
    <w:rsid w:val="004279BA"/>
    <w:rsid w:val="00441AC0"/>
    <w:rsid w:val="00441B90"/>
    <w:rsid w:val="00446232"/>
    <w:rsid w:val="00447EF2"/>
    <w:rsid w:val="00450CFA"/>
    <w:rsid w:val="00452B7E"/>
    <w:rsid w:val="00456CAC"/>
    <w:rsid w:val="004725B1"/>
    <w:rsid w:val="004735BE"/>
    <w:rsid w:val="00482B0F"/>
    <w:rsid w:val="004857B5"/>
    <w:rsid w:val="00497C85"/>
    <w:rsid w:val="004A5C1B"/>
    <w:rsid w:val="004D3EF3"/>
    <w:rsid w:val="004D436F"/>
    <w:rsid w:val="004E0289"/>
    <w:rsid w:val="004E0386"/>
    <w:rsid w:val="004F2537"/>
    <w:rsid w:val="004F724F"/>
    <w:rsid w:val="00501FE7"/>
    <w:rsid w:val="005064D9"/>
    <w:rsid w:val="005146B2"/>
    <w:rsid w:val="005205E6"/>
    <w:rsid w:val="00521EE2"/>
    <w:rsid w:val="00522255"/>
    <w:rsid w:val="00522ECA"/>
    <w:rsid w:val="00526E66"/>
    <w:rsid w:val="0053519B"/>
    <w:rsid w:val="00536F87"/>
    <w:rsid w:val="00537158"/>
    <w:rsid w:val="005459E7"/>
    <w:rsid w:val="00552883"/>
    <w:rsid w:val="0056328A"/>
    <w:rsid w:val="005749A4"/>
    <w:rsid w:val="005757D2"/>
    <w:rsid w:val="0059492D"/>
    <w:rsid w:val="00594B27"/>
    <w:rsid w:val="005950DF"/>
    <w:rsid w:val="005A7930"/>
    <w:rsid w:val="005C07FE"/>
    <w:rsid w:val="005C1199"/>
    <w:rsid w:val="005D60A5"/>
    <w:rsid w:val="005D67B3"/>
    <w:rsid w:val="005F1A4B"/>
    <w:rsid w:val="005F60CE"/>
    <w:rsid w:val="005F7FB9"/>
    <w:rsid w:val="00600193"/>
    <w:rsid w:val="00601B6D"/>
    <w:rsid w:val="00601C48"/>
    <w:rsid w:val="006055B1"/>
    <w:rsid w:val="00615C8E"/>
    <w:rsid w:val="00621303"/>
    <w:rsid w:val="006329AB"/>
    <w:rsid w:val="00633D95"/>
    <w:rsid w:val="006351C9"/>
    <w:rsid w:val="00644D8B"/>
    <w:rsid w:val="006562D8"/>
    <w:rsid w:val="006627AD"/>
    <w:rsid w:val="00676EDB"/>
    <w:rsid w:val="00677262"/>
    <w:rsid w:val="00681A79"/>
    <w:rsid w:val="006872A9"/>
    <w:rsid w:val="00694074"/>
    <w:rsid w:val="00696610"/>
    <w:rsid w:val="006A0895"/>
    <w:rsid w:val="006B0D2A"/>
    <w:rsid w:val="006B331D"/>
    <w:rsid w:val="006B33DA"/>
    <w:rsid w:val="006C54CB"/>
    <w:rsid w:val="006D4257"/>
    <w:rsid w:val="006D4309"/>
    <w:rsid w:val="006D4C80"/>
    <w:rsid w:val="006D5D61"/>
    <w:rsid w:val="006E2789"/>
    <w:rsid w:val="007012AE"/>
    <w:rsid w:val="00701394"/>
    <w:rsid w:val="00705BBE"/>
    <w:rsid w:val="00707013"/>
    <w:rsid w:val="007171D7"/>
    <w:rsid w:val="00724445"/>
    <w:rsid w:val="00730C48"/>
    <w:rsid w:val="0073508F"/>
    <w:rsid w:val="007458AC"/>
    <w:rsid w:val="007463C4"/>
    <w:rsid w:val="00753BF4"/>
    <w:rsid w:val="0076621E"/>
    <w:rsid w:val="00767028"/>
    <w:rsid w:val="00774283"/>
    <w:rsid w:val="007840AE"/>
    <w:rsid w:val="007A0316"/>
    <w:rsid w:val="007A308B"/>
    <w:rsid w:val="007B6CC4"/>
    <w:rsid w:val="007C03A5"/>
    <w:rsid w:val="007C24FF"/>
    <w:rsid w:val="007C4575"/>
    <w:rsid w:val="007C4722"/>
    <w:rsid w:val="007D6A18"/>
    <w:rsid w:val="007F0F20"/>
    <w:rsid w:val="007F16E5"/>
    <w:rsid w:val="007F66A0"/>
    <w:rsid w:val="007F6D9A"/>
    <w:rsid w:val="008019FE"/>
    <w:rsid w:val="00807C2C"/>
    <w:rsid w:val="008151BC"/>
    <w:rsid w:val="00817146"/>
    <w:rsid w:val="00817E42"/>
    <w:rsid w:val="008205BB"/>
    <w:rsid w:val="0083564F"/>
    <w:rsid w:val="00852736"/>
    <w:rsid w:val="00854607"/>
    <w:rsid w:val="00864F7A"/>
    <w:rsid w:val="00865B17"/>
    <w:rsid w:val="00877B97"/>
    <w:rsid w:val="0088535A"/>
    <w:rsid w:val="008920FD"/>
    <w:rsid w:val="008931A0"/>
    <w:rsid w:val="008966C6"/>
    <w:rsid w:val="008A18C9"/>
    <w:rsid w:val="008A4145"/>
    <w:rsid w:val="008A5F66"/>
    <w:rsid w:val="008B19FC"/>
    <w:rsid w:val="008B33EC"/>
    <w:rsid w:val="008B609B"/>
    <w:rsid w:val="008D0676"/>
    <w:rsid w:val="008D0D50"/>
    <w:rsid w:val="008D48AB"/>
    <w:rsid w:val="008D7650"/>
    <w:rsid w:val="008E2295"/>
    <w:rsid w:val="008E4B9D"/>
    <w:rsid w:val="008F2ECC"/>
    <w:rsid w:val="008F580A"/>
    <w:rsid w:val="008F5A64"/>
    <w:rsid w:val="008F6FB3"/>
    <w:rsid w:val="00910798"/>
    <w:rsid w:val="009208A4"/>
    <w:rsid w:val="00925B01"/>
    <w:rsid w:val="009277D0"/>
    <w:rsid w:val="00940406"/>
    <w:rsid w:val="0094098C"/>
    <w:rsid w:val="009454DC"/>
    <w:rsid w:val="00950113"/>
    <w:rsid w:val="00960302"/>
    <w:rsid w:val="009611A9"/>
    <w:rsid w:val="0096726D"/>
    <w:rsid w:val="00973C3C"/>
    <w:rsid w:val="00973E83"/>
    <w:rsid w:val="009743D3"/>
    <w:rsid w:val="00981A48"/>
    <w:rsid w:val="009842A4"/>
    <w:rsid w:val="00996F97"/>
    <w:rsid w:val="009A01C1"/>
    <w:rsid w:val="009A1DAE"/>
    <w:rsid w:val="009A3878"/>
    <w:rsid w:val="009B5796"/>
    <w:rsid w:val="009B5FA0"/>
    <w:rsid w:val="009C082D"/>
    <w:rsid w:val="009C75BE"/>
    <w:rsid w:val="009D11B8"/>
    <w:rsid w:val="009D2320"/>
    <w:rsid w:val="009E25B8"/>
    <w:rsid w:val="009E46D4"/>
    <w:rsid w:val="009E6027"/>
    <w:rsid w:val="009F501C"/>
    <w:rsid w:val="00A04EAB"/>
    <w:rsid w:val="00A103C5"/>
    <w:rsid w:val="00A161A9"/>
    <w:rsid w:val="00A20525"/>
    <w:rsid w:val="00A24685"/>
    <w:rsid w:val="00A24778"/>
    <w:rsid w:val="00A271FE"/>
    <w:rsid w:val="00A30F7F"/>
    <w:rsid w:val="00A413AC"/>
    <w:rsid w:val="00A424F0"/>
    <w:rsid w:val="00A449A4"/>
    <w:rsid w:val="00A46DB2"/>
    <w:rsid w:val="00A50CAF"/>
    <w:rsid w:val="00A54D78"/>
    <w:rsid w:val="00A56D15"/>
    <w:rsid w:val="00A632E3"/>
    <w:rsid w:val="00A66A3F"/>
    <w:rsid w:val="00A67B28"/>
    <w:rsid w:val="00A76078"/>
    <w:rsid w:val="00A94F18"/>
    <w:rsid w:val="00A962CF"/>
    <w:rsid w:val="00A96616"/>
    <w:rsid w:val="00A97ED9"/>
    <w:rsid w:val="00AA09EE"/>
    <w:rsid w:val="00AA3F33"/>
    <w:rsid w:val="00AA559A"/>
    <w:rsid w:val="00AA6016"/>
    <w:rsid w:val="00AB0A64"/>
    <w:rsid w:val="00AB7B7D"/>
    <w:rsid w:val="00AC2095"/>
    <w:rsid w:val="00AC269A"/>
    <w:rsid w:val="00AD5D71"/>
    <w:rsid w:val="00AD5EE5"/>
    <w:rsid w:val="00AD64B8"/>
    <w:rsid w:val="00AE0589"/>
    <w:rsid w:val="00AF2DFF"/>
    <w:rsid w:val="00AF5CD5"/>
    <w:rsid w:val="00AF76A4"/>
    <w:rsid w:val="00B054EA"/>
    <w:rsid w:val="00B306C1"/>
    <w:rsid w:val="00B341C6"/>
    <w:rsid w:val="00B40F09"/>
    <w:rsid w:val="00B42D92"/>
    <w:rsid w:val="00B43F81"/>
    <w:rsid w:val="00B46515"/>
    <w:rsid w:val="00B46D2A"/>
    <w:rsid w:val="00B74A23"/>
    <w:rsid w:val="00B750CE"/>
    <w:rsid w:val="00B76CF6"/>
    <w:rsid w:val="00B9227C"/>
    <w:rsid w:val="00B92748"/>
    <w:rsid w:val="00BA76B1"/>
    <w:rsid w:val="00BB6EAC"/>
    <w:rsid w:val="00BC1D87"/>
    <w:rsid w:val="00BC2BA6"/>
    <w:rsid w:val="00BC7842"/>
    <w:rsid w:val="00BF232D"/>
    <w:rsid w:val="00C048B5"/>
    <w:rsid w:val="00C05785"/>
    <w:rsid w:val="00C10688"/>
    <w:rsid w:val="00C10A1B"/>
    <w:rsid w:val="00C13139"/>
    <w:rsid w:val="00C20C40"/>
    <w:rsid w:val="00C20F12"/>
    <w:rsid w:val="00C23D4F"/>
    <w:rsid w:val="00C24351"/>
    <w:rsid w:val="00C2613E"/>
    <w:rsid w:val="00C27490"/>
    <w:rsid w:val="00C278C5"/>
    <w:rsid w:val="00C33DA7"/>
    <w:rsid w:val="00C3488D"/>
    <w:rsid w:val="00C43C48"/>
    <w:rsid w:val="00C460F3"/>
    <w:rsid w:val="00C51B9B"/>
    <w:rsid w:val="00C626ED"/>
    <w:rsid w:val="00C72373"/>
    <w:rsid w:val="00C72689"/>
    <w:rsid w:val="00C72921"/>
    <w:rsid w:val="00C845AC"/>
    <w:rsid w:val="00C84F2F"/>
    <w:rsid w:val="00CA2583"/>
    <w:rsid w:val="00CA6C65"/>
    <w:rsid w:val="00CB4545"/>
    <w:rsid w:val="00CB74C0"/>
    <w:rsid w:val="00CC099C"/>
    <w:rsid w:val="00CC2F31"/>
    <w:rsid w:val="00CC427B"/>
    <w:rsid w:val="00CE12E6"/>
    <w:rsid w:val="00D03F29"/>
    <w:rsid w:val="00D04B62"/>
    <w:rsid w:val="00D16821"/>
    <w:rsid w:val="00D27635"/>
    <w:rsid w:val="00D4441A"/>
    <w:rsid w:val="00D475F4"/>
    <w:rsid w:val="00D50AEE"/>
    <w:rsid w:val="00D54886"/>
    <w:rsid w:val="00D5642E"/>
    <w:rsid w:val="00D651FD"/>
    <w:rsid w:val="00D76077"/>
    <w:rsid w:val="00D762C4"/>
    <w:rsid w:val="00D77BBB"/>
    <w:rsid w:val="00D87502"/>
    <w:rsid w:val="00D947C1"/>
    <w:rsid w:val="00DD33DF"/>
    <w:rsid w:val="00DD4DA6"/>
    <w:rsid w:val="00DE03F7"/>
    <w:rsid w:val="00DE49E9"/>
    <w:rsid w:val="00DE652B"/>
    <w:rsid w:val="00DF097E"/>
    <w:rsid w:val="00DF44C9"/>
    <w:rsid w:val="00DF6DA2"/>
    <w:rsid w:val="00E05522"/>
    <w:rsid w:val="00E05F4C"/>
    <w:rsid w:val="00E15D64"/>
    <w:rsid w:val="00E21345"/>
    <w:rsid w:val="00E265F0"/>
    <w:rsid w:val="00E31955"/>
    <w:rsid w:val="00E37E3B"/>
    <w:rsid w:val="00E42A73"/>
    <w:rsid w:val="00E42E61"/>
    <w:rsid w:val="00E43EAE"/>
    <w:rsid w:val="00E52DF0"/>
    <w:rsid w:val="00E57FC1"/>
    <w:rsid w:val="00E70E29"/>
    <w:rsid w:val="00E764B4"/>
    <w:rsid w:val="00E779DB"/>
    <w:rsid w:val="00E84F1B"/>
    <w:rsid w:val="00E859FF"/>
    <w:rsid w:val="00E87EDD"/>
    <w:rsid w:val="00EA3F42"/>
    <w:rsid w:val="00EB1BA1"/>
    <w:rsid w:val="00EC1806"/>
    <w:rsid w:val="00ED027C"/>
    <w:rsid w:val="00ED1B86"/>
    <w:rsid w:val="00ED29A8"/>
    <w:rsid w:val="00EF57A3"/>
    <w:rsid w:val="00EF6256"/>
    <w:rsid w:val="00EF77FD"/>
    <w:rsid w:val="00F06DFA"/>
    <w:rsid w:val="00F078ED"/>
    <w:rsid w:val="00F10874"/>
    <w:rsid w:val="00F11084"/>
    <w:rsid w:val="00F214F0"/>
    <w:rsid w:val="00F21FA1"/>
    <w:rsid w:val="00F263DD"/>
    <w:rsid w:val="00F41C84"/>
    <w:rsid w:val="00F519C3"/>
    <w:rsid w:val="00F62F05"/>
    <w:rsid w:val="00F6723D"/>
    <w:rsid w:val="00F751A7"/>
    <w:rsid w:val="00F7608C"/>
    <w:rsid w:val="00F77C25"/>
    <w:rsid w:val="00F81A34"/>
    <w:rsid w:val="00FA03E3"/>
    <w:rsid w:val="00FA5AE4"/>
    <w:rsid w:val="00FB01CB"/>
    <w:rsid w:val="00FB0451"/>
    <w:rsid w:val="00FB5BCE"/>
    <w:rsid w:val="00FB71CD"/>
    <w:rsid w:val="00FD1D9C"/>
    <w:rsid w:val="00FD4BA8"/>
    <w:rsid w:val="00FE3DA6"/>
    <w:rsid w:val="00FE4612"/>
    <w:rsid w:val="00FF004A"/>
    <w:rsid w:val="00FF13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86D377"/>
  <w15:docId w15:val="{72400A3B-CD7A-4A7B-A00D-D7D536A5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E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973E83"/>
    <w:pPr>
      <w:keepNext w:val="0"/>
      <w:keepLines w:val="0"/>
      <w:spacing w:before="60" w:after="60" w:line="240" w:lineRule="exact"/>
      <w:jc w:val="center"/>
      <w:outlineLvl w:val="1"/>
    </w:pPr>
    <w:rPr>
      <w:rFonts w:ascii="Arial" w:eastAsia="Times" w:hAnsi="Arial" w:cs="Times New Roman"/>
      <w:b/>
      <w:color w:val="auto"/>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
    <w:name w:val="bb"/>
    <w:basedOn w:val="Normal"/>
    <w:rsid w:val="00A67B28"/>
    <w:pPr>
      <w:spacing w:after="0" w:line="240" w:lineRule="auto"/>
      <w:jc w:val="both"/>
    </w:pPr>
    <w:rPr>
      <w:rFonts w:ascii="Arial" w:eastAsia="Times New Roman" w:hAnsi="Arial" w:cs="Arial"/>
      <w:b/>
      <w:bCs/>
      <w:sz w:val="20"/>
      <w:szCs w:val="20"/>
    </w:rPr>
  </w:style>
  <w:style w:type="paragraph" w:customStyle="1" w:styleId="bc">
    <w:name w:val="bc"/>
    <w:basedOn w:val="Normal"/>
    <w:rsid w:val="00A67B28"/>
    <w:pPr>
      <w:spacing w:after="0" w:line="240" w:lineRule="auto"/>
      <w:jc w:val="both"/>
    </w:pPr>
    <w:rPr>
      <w:rFonts w:ascii="Arial" w:eastAsia="Times New Roman" w:hAnsi="Arial" w:cs="Arial"/>
      <w:sz w:val="20"/>
      <w:szCs w:val="20"/>
    </w:rPr>
  </w:style>
  <w:style w:type="paragraph" w:customStyle="1" w:styleId="be">
    <w:name w:val="be"/>
    <w:basedOn w:val="Normal"/>
    <w:rsid w:val="00A67B28"/>
    <w:pPr>
      <w:spacing w:after="0" w:line="240" w:lineRule="auto"/>
      <w:jc w:val="center"/>
    </w:pPr>
    <w:rPr>
      <w:rFonts w:ascii="Arial" w:eastAsia="Times New Roman" w:hAnsi="Arial" w:cs="Arial"/>
      <w:b/>
      <w:bCs/>
      <w:sz w:val="20"/>
      <w:szCs w:val="20"/>
    </w:rPr>
  </w:style>
  <w:style w:type="paragraph" w:customStyle="1" w:styleId="bf">
    <w:name w:val="bf"/>
    <w:basedOn w:val="Normal"/>
    <w:rsid w:val="00A67B28"/>
    <w:pPr>
      <w:spacing w:after="240" w:line="260" w:lineRule="atLeast"/>
      <w:ind w:left="714" w:hanging="357"/>
      <w:jc w:val="both"/>
    </w:pPr>
    <w:rPr>
      <w:rFonts w:ascii="Arial" w:eastAsia="Times New Roman" w:hAnsi="Arial" w:cs="Arial"/>
      <w:sz w:val="20"/>
      <w:szCs w:val="20"/>
    </w:rPr>
  </w:style>
  <w:style w:type="paragraph" w:customStyle="1" w:styleId="bg">
    <w:name w:val="bg"/>
    <w:basedOn w:val="Normal"/>
    <w:rsid w:val="00A67B28"/>
    <w:pPr>
      <w:spacing w:after="240" w:line="260" w:lineRule="atLeast"/>
      <w:ind w:left="714" w:hanging="357"/>
    </w:pPr>
    <w:rPr>
      <w:rFonts w:ascii="Arial" w:eastAsia="Times New Roman" w:hAnsi="Arial" w:cs="Arial"/>
      <w:sz w:val="20"/>
      <w:szCs w:val="20"/>
    </w:rPr>
  </w:style>
  <w:style w:type="paragraph" w:customStyle="1" w:styleId="bh">
    <w:name w:val="bh"/>
    <w:basedOn w:val="Normal"/>
    <w:rsid w:val="00A67B28"/>
    <w:pPr>
      <w:spacing w:after="240" w:line="240" w:lineRule="auto"/>
      <w:ind w:left="714" w:hanging="357"/>
      <w:jc w:val="both"/>
    </w:pPr>
    <w:rPr>
      <w:rFonts w:ascii="Arial" w:eastAsia="Times New Roman" w:hAnsi="Arial" w:cs="Arial"/>
      <w:sz w:val="20"/>
      <w:szCs w:val="20"/>
    </w:rPr>
  </w:style>
  <w:style w:type="paragraph" w:customStyle="1" w:styleId="bi">
    <w:name w:val="bi"/>
    <w:basedOn w:val="Normal"/>
    <w:rsid w:val="00A67B28"/>
    <w:pPr>
      <w:spacing w:after="0" w:line="240" w:lineRule="auto"/>
      <w:jc w:val="both"/>
    </w:pPr>
    <w:rPr>
      <w:rFonts w:ascii="Arial" w:eastAsia="Times New Roman" w:hAnsi="Arial" w:cs="Arial"/>
      <w:i/>
      <w:iCs/>
      <w:sz w:val="20"/>
      <w:szCs w:val="20"/>
    </w:rPr>
  </w:style>
  <w:style w:type="paragraph" w:customStyle="1" w:styleId="bj">
    <w:name w:val="bj"/>
    <w:basedOn w:val="Normal"/>
    <w:rsid w:val="00A67B28"/>
    <w:pPr>
      <w:spacing w:after="0" w:line="240" w:lineRule="auto"/>
      <w:jc w:val="both"/>
    </w:pPr>
    <w:rPr>
      <w:rFonts w:ascii="Arial" w:eastAsia="Times New Roman" w:hAnsi="Arial" w:cs="Arial"/>
      <w:sz w:val="20"/>
      <w:szCs w:val="20"/>
    </w:rPr>
  </w:style>
  <w:style w:type="paragraph" w:customStyle="1" w:styleId="bk">
    <w:name w:val="bk"/>
    <w:basedOn w:val="Normal"/>
    <w:rsid w:val="00A67B28"/>
    <w:pPr>
      <w:spacing w:after="0" w:line="240" w:lineRule="auto"/>
      <w:jc w:val="both"/>
    </w:pPr>
    <w:rPr>
      <w:rFonts w:ascii="Arial" w:eastAsia="Times New Roman" w:hAnsi="Arial" w:cs="Arial"/>
      <w:b/>
      <w:bCs/>
      <w:sz w:val="20"/>
      <w:szCs w:val="20"/>
    </w:rPr>
  </w:style>
  <w:style w:type="paragraph" w:customStyle="1" w:styleId="bl">
    <w:name w:val="bl"/>
    <w:basedOn w:val="Normal"/>
    <w:rsid w:val="00A67B28"/>
    <w:pPr>
      <w:spacing w:after="0" w:line="240" w:lineRule="auto"/>
      <w:ind w:left="720" w:hanging="360"/>
      <w:jc w:val="both"/>
    </w:pPr>
    <w:rPr>
      <w:rFonts w:ascii="Arial" w:eastAsia="Times New Roman" w:hAnsi="Arial" w:cs="Arial"/>
      <w:sz w:val="20"/>
      <w:szCs w:val="20"/>
    </w:rPr>
  </w:style>
  <w:style w:type="paragraph" w:customStyle="1" w:styleId="bm">
    <w:name w:val="bm"/>
    <w:basedOn w:val="Normal"/>
    <w:rsid w:val="00A67B28"/>
    <w:pPr>
      <w:spacing w:after="0" w:line="260" w:lineRule="atLeast"/>
      <w:ind w:left="720" w:hanging="360"/>
      <w:jc w:val="both"/>
    </w:pPr>
    <w:rPr>
      <w:rFonts w:ascii="Arial" w:eastAsia="Times New Roman" w:hAnsi="Arial" w:cs="Arial"/>
      <w:sz w:val="20"/>
      <w:szCs w:val="20"/>
    </w:rPr>
  </w:style>
  <w:style w:type="paragraph" w:customStyle="1" w:styleId="bn">
    <w:name w:val="bn"/>
    <w:basedOn w:val="Normal"/>
    <w:rsid w:val="00A67B28"/>
    <w:pPr>
      <w:spacing w:after="0" w:line="240" w:lineRule="auto"/>
      <w:ind w:left="1080"/>
      <w:jc w:val="both"/>
    </w:pPr>
    <w:rPr>
      <w:rFonts w:ascii="Arial" w:eastAsia="Times New Roman" w:hAnsi="Arial" w:cs="Arial"/>
      <w:sz w:val="20"/>
      <w:szCs w:val="20"/>
    </w:rPr>
  </w:style>
  <w:style w:type="paragraph" w:customStyle="1" w:styleId="bo">
    <w:name w:val="bo"/>
    <w:basedOn w:val="Normal"/>
    <w:rsid w:val="00A67B28"/>
    <w:pPr>
      <w:spacing w:after="0" w:line="240" w:lineRule="auto"/>
      <w:ind w:left="720" w:hanging="360"/>
      <w:jc w:val="both"/>
    </w:pPr>
    <w:rPr>
      <w:rFonts w:ascii="Arial" w:eastAsia="Times New Roman" w:hAnsi="Arial" w:cs="Arial"/>
      <w:sz w:val="20"/>
      <w:szCs w:val="20"/>
    </w:rPr>
  </w:style>
  <w:style w:type="paragraph" w:customStyle="1" w:styleId="bp">
    <w:name w:val="bp"/>
    <w:basedOn w:val="Normal"/>
    <w:rsid w:val="00A67B28"/>
    <w:pPr>
      <w:spacing w:after="0" w:line="240" w:lineRule="auto"/>
      <w:ind w:left="360"/>
      <w:jc w:val="both"/>
    </w:pPr>
    <w:rPr>
      <w:rFonts w:ascii="Arial" w:eastAsia="Times New Roman" w:hAnsi="Arial" w:cs="Arial"/>
      <w:sz w:val="20"/>
      <w:szCs w:val="20"/>
    </w:rPr>
  </w:style>
  <w:style w:type="paragraph" w:customStyle="1" w:styleId="a">
    <w:name w:val="a"/>
    <w:basedOn w:val="Normal"/>
    <w:rsid w:val="00A67B28"/>
    <w:pPr>
      <w:spacing w:after="0" w:line="240" w:lineRule="auto"/>
    </w:pPr>
    <w:rPr>
      <w:rFonts w:ascii="Arial" w:eastAsia="Times New Roman" w:hAnsi="Arial" w:cs="Arial"/>
      <w:sz w:val="20"/>
      <w:szCs w:val="20"/>
    </w:rPr>
  </w:style>
  <w:style w:type="paragraph" w:customStyle="1" w:styleId="bs">
    <w:name w:val="bs"/>
    <w:basedOn w:val="Normal"/>
    <w:rsid w:val="00A67B28"/>
    <w:pPr>
      <w:spacing w:after="0" w:line="240" w:lineRule="auto"/>
    </w:pPr>
    <w:rPr>
      <w:rFonts w:ascii="Arial" w:eastAsia="Times New Roman" w:hAnsi="Arial" w:cs="Arial"/>
      <w:b/>
      <w:bCs/>
      <w:sz w:val="20"/>
      <w:szCs w:val="20"/>
    </w:rPr>
  </w:style>
  <w:style w:type="paragraph" w:customStyle="1" w:styleId="bu">
    <w:name w:val="bu"/>
    <w:basedOn w:val="Normal"/>
    <w:rsid w:val="00A67B28"/>
    <w:pPr>
      <w:spacing w:after="0" w:line="240" w:lineRule="atLeast"/>
      <w:jc w:val="both"/>
    </w:pPr>
    <w:rPr>
      <w:rFonts w:ascii="Arial" w:eastAsia="Times New Roman" w:hAnsi="Arial" w:cs="Arial"/>
      <w:sz w:val="20"/>
      <w:szCs w:val="20"/>
    </w:rPr>
  </w:style>
  <w:style w:type="paragraph" w:customStyle="1" w:styleId="bv">
    <w:name w:val="bv"/>
    <w:basedOn w:val="Normal"/>
    <w:rsid w:val="00A67B28"/>
    <w:pPr>
      <w:spacing w:before="120" w:after="120" w:line="240" w:lineRule="auto"/>
      <w:ind w:left="720" w:hanging="360"/>
      <w:jc w:val="both"/>
    </w:pPr>
    <w:rPr>
      <w:rFonts w:ascii="Arial" w:eastAsia="Times New Roman" w:hAnsi="Arial" w:cs="Arial"/>
      <w:sz w:val="20"/>
      <w:szCs w:val="20"/>
    </w:rPr>
  </w:style>
  <w:style w:type="paragraph" w:customStyle="1" w:styleId="bw">
    <w:name w:val="bw"/>
    <w:basedOn w:val="Normal"/>
    <w:rsid w:val="00A67B28"/>
    <w:pPr>
      <w:spacing w:before="120" w:after="120" w:line="240" w:lineRule="auto"/>
      <w:ind w:left="1440" w:hanging="360"/>
      <w:jc w:val="both"/>
    </w:pPr>
    <w:rPr>
      <w:rFonts w:ascii="Arial" w:eastAsia="Times New Roman" w:hAnsi="Arial" w:cs="Arial"/>
      <w:sz w:val="20"/>
      <w:szCs w:val="20"/>
    </w:rPr>
  </w:style>
  <w:style w:type="paragraph" w:customStyle="1" w:styleId="g">
    <w:name w:val="g"/>
    <w:basedOn w:val="Normal"/>
    <w:rsid w:val="00A67B28"/>
    <w:pPr>
      <w:spacing w:after="0" w:line="240" w:lineRule="auto"/>
      <w:jc w:val="both"/>
    </w:pPr>
    <w:rPr>
      <w:rFonts w:ascii="Times New Roman" w:eastAsia="Times New Roman" w:hAnsi="Times New Roman" w:cs="Times New Roman"/>
      <w:sz w:val="24"/>
      <w:szCs w:val="24"/>
    </w:rPr>
  </w:style>
  <w:style w:type="paragraph" w:customStyle="1" w:styleId="bcrae2010815225929849">
    <w:name w:val="bc_rae__2010815225929849"/>
    <w:basedOn w:val="Normal"/>
    <w:rsid w:val="00A67B28"/>
    <w:pPr>
      <w:spacing w:after="0" w:line="240" w:lineRule="auto"/>
      <w:jc w:val="both"/>
    </w:pPr>
    <w:rPr>
      <w:rFonts w:ascii="Arial" w:eastAsia="Times New Roman" w:hAnsi="Arial" w:cs="Arial"/>
      <w:sz w:val="20"/>
      <w:szCs w:val="20"/>
    </w:rPr>
  </w:style>
  <w:style w:type="character" w:customStyle="1" w:styleId="bd">
    <w:name w:val="bd"/>
    <w:basedOn w:val="DefaultParagraphFont"/>
    <w:rsid w:val="00A67B28"/>
    <w:rPr>
      <w:b/>
      <w:bCs/>
    </w:rPr>
  </w:style>
  <w:style w:type="character" w:customStyle="1" w:styleId="av">
    <w:name w:val="av"/>
    <w:basedOn w:val="DefaultParagraphFont"/>
    <w:rsid w:val="00A67B28"/>
    <w:rPr>
      <w:rFonts w:ascii="Wingdings" w:hAnsi="Wingdings" w:hint="default"/>
    </w:rPr>
  </w:style>
  <w:style w:type="character" w:customStyle="1" w:styleId="ap">
    <w:name w:val="ap"/>
    <w:basedOn w:val="DefaultParagraphFont"/>
    <w:rsid w:val="00A67B28"/>
    <w:rPr>
      <w:rFonts w:ascii="Arial" w:hAnsi="Arial" w:cs="Arial" w:hint="default"/>
      <w:sz w:val="20"/>
      <w:szCs w:val="20"/>
    </w:rPr>
  </w:style>
  <w:style w:type="character" w:customStyle="1" w:styleId="aj">
    <w:name w:val="aj"/>
    <w:basedOn w:val="DefaultParagraphFont"/>
    <w:rsid w:val="00A67B28"/>
    <w:rPr>
      <w:rFonts w:ascii="Arial" w:hAnsi="Arial" w:cs="Arial" w:hint="default"/>
      <w:b w:val="0"/>
      <w:bCs w:val="0"/>
    </w:rPr>
  </w:style>
  <w:style w:type="character" w:customStyle="1" w:styleId="af">
    <w:name w:val="af"/>
    <w:basedOn w:val="DefaultParagraphFont"/>
    <w:rsid w:val="00A67B28"/>
    <w:rPr>
      <w:color w:val="000000"/>
    </w:rPr>
  </w:style>
  <w:style w:type="character" w:customStyle="1" w:styleId="br">
    <w:name w:val="br"/>
    <w:basedOn w:val="DefaultParagraphFont"/>
    <w:rsid w:val="00A67B28"/>
    <w:rPr>
      <w:rFonts w:ascii="Arial" w:hAnsi="Arial" w:cs="Arial" w:hint="default"/>
      <w:color w:val="000000"/>
      <w:spacing w:val="0"/>
    </w:rPr>
  </w:style>
  <w:style w:type="character" w:customStyle="1" w:styleId="ad">
    <w:name w:val="ad"/>
    <w:basedOn w:val="DefaultParagraphFont"/>
    <w:rsid w:val="00A67B28"/>
    <w:rPr>
      <w:rFonts w:ascii="Arial" w:hAnsi="Arial" w:cs="Arial" w:hint="default"/>
      <w:b w:val="0"/>
      <w:bCs w:val="0"/>
      <w:color w:val="000000"/>
    </w:rPr>
  </w:style>
  <w:style w:type="character" w:customStyle="1" w:styleId="ab">
    <w:name w:val="ab"/>
    <w:basedOn w:val="DefaultParagraphFont"/>
    <w:rsid w:val="00A67B28"/>
    <w:rPr>
      <w:strike w:val="0"/>
      <w:dstrike w:val="0"/>
      <w:color w:val="000000"/>
      <w:u w:val="none"/>
      <w:effect w:val="none"/>
    </w:rPr>
  </w:style>
  <w:style w:type="character" w:customStyle="1" w:styleId="z">
    <w:name w:val="z"/>
    <w:basedOn w:val="DefaultParagraphFont"/>
    <w:rsid w:val="00A67B28"/>
    <w:rPr>
      <w:rFonts w:ascii="Arial" w:hAnsi="Arial" w:cs="Arial" w:hint="default"/>
      <w:color w:val="000000"/>
    </w:rPr>
  </w:style>
  <w:style w:type="character" w:customStyle="1" w:styleId="x">
    <w:name w:val="x"/>
    <w:basedOn w:val="DefaultParagraphFont"/>
    <w:rsid w:val="00A67B28"/>
    <w:rPr>
      <w:color w:val="0000FF"/>
      <w:u w:val="single"/>
    </w:rPr>
  </w:style>
  <w:style w:type="character" w:customStyle="1" w:styleId="t">
    <w:name w:val="t"/>
    <w:basedOn w:val="DefaultParagraphFont"/>
    <w:rsid w:val="00A67B28"/>
    <w:rPr>
      <w:rFonts w:ascii="Courier New" w:hAnsi="Courier New" w:cs="Courier New" w:hint="default"/>
    </w:rPr>
  </w:style>
  <w:style w:type="character" w:customStyle="1" w:styleId="r">
    <w:name w:val="r"/>
    <w:basedOn w:val="DefaultParagraphFont"/>
    <w:rsid w:val="00A67B28"/>
    <w:rPr>
      <w:u w:val="single"/>
    </w:rPr>
  </w:style>
  <w:style w:type="character" w:styleId="Strong">
    <w:name w:val="Strong"/>
    <w:basedOn w:val="DefaultParagraphFont"/>
    <w:uiPriority w:val="22"/>
    <w:qFormat/>
    <w:rsid w:val="00A67B28"/>
    <w:rPr>
      <w:b/>
      <w:bCs/>
    </w:rPr>
  </w:style>
  <w:style w:type="character" w:styleId="Hyperlink">
    <w:name w:val="Hyperlink"/>
    <w:basedOn w:val="DefaultParagraphFont"/>
    <w:uiPriority w:val="99"/>
    <w:unhideWhenUsed/>
    <w:rsid w:val="00A67B28"/>
    <w:rPr>
      <w:color w:val="0000FF"/>
      <w:u w:val="single"/>
    </w:rPr>
  </w:style>
  <w:style w:type="paragraph" w:styleId="ListParagraph">
    <w:name w:val="List Paragraph"/>
    <w:basedOn w:val="Normal"/>
    <w:uiPriority w:val="34"/>
    <w:qFormat/>
    <w:rsid w:val="00A67B28"/>
    <w:pPr>
      <w:ind w:left="720"/>
      <w:contextualSpacing/>
    </w:pPr>
  </w:style>
  <w:style w:type="paragraph" w:customStyle="1" w:styleId="ListParagraph2">
    <w:name w:val="List Paragraph 2"/>
    <w:basedOn w:val="ListParagraph"/>
    <w:uiPriority w:val="5"/>
    <w:qFormat/>
    <w:rsid w:val="003243B6"/>
    <w:pPr>
      <w:tabs>
        <w:tab w:val="num" w:pos="720"/>
      </w:tabs>
      <w:spacing w:before="60" w:after="60" w:line="240" w:lineRule="exact"/>
      <w:ind w:hanging="720"/>
      <w:contextualSpacing w:val="0"/>
      <w:jc w:val="both"/>
    </w:pPr>
    <w:rPr>
      <w:rFonts w:ascii="Arial" w:eastAsia="Times" w:hAnsi="Arial" w:cs="Times New Roman"/>
      <w:sz w:val="20"/>
      <w:szCs w:val="20"/>
      <w:lang w:eastAsia="en-US"/>
    </w:rPr>
  </w:style>
  <w:style w:type="paragraph" w:customStyle="1" w:styleId="ListParagraph3">
    <w:name w:val="List Paragraph 3"/>
    <w:basedOn w:val="ListParagraph2"/>
    <w:uiPriority w:val="5"/>
    <w:qFormat/>
    <w:rsid w:val="003243B6"/>
    <w:pPr>
      <w:tabs>
        <w:tab w:val="clear" w:pos="720"/>
        <w:tab w:val="num" w:pos="1584"/>
      </w:tabs>
      <w:ind w:left="1584" w:hanging="864"/>
    </w:pPr>
  </w:style>
  <w:style w:type="paragraph" w:customStyle="1" w:styleId="ListParagraph4">
    <w:name w:val="List Paragraph 4"/>
    <w:basedOn w:val="ListParagraph3"/>
    <w:uiPriority w:val="5"/>
    <w:qFormat/>
    <w:rsid w:val="003243B6"/>
    <w:pPr>
      <w:tabs>
        <w:tab w:val="clear" w:pos="1584"/>
        <w:tab w:val="num" w:pos="2592"/>
      </w:tabs>
      <w:ind w:left="2592" w:hanging="1008"/>
    </w:pPr>
  </w:style>
  <w:style w:type="paragraph" w:customStyle="1" w:styleId="ListParagraph5">
    <w:name w:val="List Paragraph 5"/>
    <w:basedOn w:val="ListParagraph4"/>
    <w:uiPriority w:val="5"/>
    <w:qFormat/>
    <w:rsid w:val="003243B6"/>
  </w:style>
  <w:style w:type="paragraph" w:customStyle="1" w:styleId="ListParagraph6">
    <w:name w:val="List Paragraph 6"/>
    <w:basedOn w:val="ListParagraph5"/>
    <w:uiPriority w:val="5"/>
    <w:qFormat/>
    <w:rsid w:val="003243B6"/>
  </w:style>
  <w:style w:type="paragraph" w:customStyle="1" w:styleId="ListParagraph7">
    <w:name w:val="List Paragraph 7"/>
    <w:basedOn w:val="ListParagraph6"/>
    <w:uiPriority w:val="5"/>
    <w:qFormat/>
    <w:rsid w:val="003243B6"/>
    <w:pPr>
      <w:tabs>
        <w:tab w:val="clear" w:pos="2592"/>
        <w:tab w:val="num" w:pos="4032"/>
      </w:tabs>
      <w:ind w:left="4032" w:hanging="1440"/>
    </w:pPr>
  </w:style>
  <w:style w:type="paragraph" w:customStyle="1" w:styleId="ListParagraph8">
    <w:name w:val="List Paragraph 8"/>
    <w:basedOn w:val="ListParagraph7"/>
    <w:uiPriority w:val="5"/>
    <w:qFormat/>
    <w:rsid w:val="003243B6"/>
  </w:style>
  <w:style w:type="paragraph" w:styleId="CommentText">
    <w:name w:val="annotation text"/>
    <w:basedOn w:val="Normal"/>
    <w:link w:val="CommentTextChar"/>
    <w:uiPriority w:val="99"/>
    <w:semiHidden/>
    <w:unhideWhenUsed/>
    <w:rsid w:val="00677262"/>
    <w:pPr>
      <w:spacing w:before="60" w:after="60" w:line="240" w:lineRule="auto"/>
      <w:jc w:val="both"/>
    </w:pPr>
    <w:rPr>
      <w:rFonts w:ascii="Arial" w:eastAsia="Times New Roman" w:hAnsi="Arial" w:cs="Times New Roman"/>
      <w:sz w:val="20"/>
      <w:szCs w:val="20"/>
      <w:lang w:eastAsia="en-US"/>
    </w:rPr>
  </w:style>
  <w:style w:type="character" w:customStyle="1" w:styleId="CommentTextChar">
    <w:name w:val="Comment Text Char"/>
    <w:basedOn w:val="DefaultParagraphFont"/>
    <w:link w:val="CommentText"/>
    <w:uiPriority w:val="99"/>
    <w:semiHidden/>
    <w:rsid w:val="00677262"/>
    <w:rPr>
      <w:rFonts w:ascii="Arial" w:eastAsia="Times New Roman" w:hAnsi="Arial" w:cs="Times New Roman"/>
      <w:sz w:val="20"/>
      <w:szCs w:val="20"/>
      <w:lang w:eastAsia="en-US"/>
    </w:rPr>
  </w:style>
  <w:style w:type="character" w:styleId="CommentReference">
    <w:name w:val="annotation reference"/>
    <w:basedOn w:val="DefaultParagraphFont"/>
    <w:uiPriority w:val="99"/>
    <w:semiHidden/>
    <w:unhideWhenUsed/>
    <w:rsid w:val="00677262"/>
    <w:rPr>
      <w:sz w:val="16"/>
      <w:szCs w:val="16"/>
    </w:rPr>
  </w:style>
  <w:style w:type="paragraph" w:styleId="BalloonText">
    <w:name w:val="Balloon Text"/>
    <w:basedOn w:val="Normal"/>
    <w:link w:val="BalloonTextChar"/>
    <w:uiPriority w:val="99"/>
    <w:semiHidden/>
    <w:unhideWhenUsed/>
    <w:rsid w:val="00677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262"/>
    <w:rPr>
      <w:rFonts w:ascii="Segoe UI" w:hAnsi="Segoe UI" w:cs="Segoe UI"/>
      <w:sz w:val="18"/>
      <w:szCs w:val="18"/>
    </w:rPr>
  </w:style>
  <w:style w:type="table" w:styleId="TableGrid">
    <w:name w:val="Table Grid"/>
    <w:basedOn w:val="TableNormal"/>
    <w:uiPriority w:val="39"/>
    <w:rsid w:val="0076621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73E83"/>
    <w:rPr>
      <w:rFonts w:ascii="Arial" w:eastAsia="Times" w:hAnsi="Arial" w:cs="Times New Roman"/>
      <w:b/>
      <w:sz w:val="20"/>
      <w:szCs w:val="20"/>
      <w:lang w:eastAsia="en-US"/>
    </w:rPr>
  </w:style>
  <w:style w:type="character" w:customStyle="1" w:styleId="Heading1Char">
    <w:name w:val="Heading 1 Char"/>
    <w:basedOn w:val="DefaultParagraphFont"/>
    <w:link w:val="Heading1"/>
    <w:uiPriority w:val="9"/>
    <w:rsid w:val="00973E83"/>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016CDC"/>
    <w:pPr>
      <w:spacing w:before="0" w:after="160"/>
      <w:jc w:val="left"/>
    </w:pPr>
    <w:rPr>
      <w:rFonts w:asciiTheme="minorHAnsi" w:eastAsiaTheme="minorEastAsia" w:hAnsiTheme="minorHAnsi" w:cstheme="minorBidi"/>
      <w:b/>
      <w:bCs/>
      <w:lang w:eastAsia="ja-JP"/>
    </w:rPr>
  </w:style>
  <w:style w:type="character" w:customStyle="1" w:styleId="CommentSubjectChar">
    <w:name w:val="Comment Subject Char"/>
    <w:basedOn w:val="CommentTextChar"/>
    <w:link w:val="CommentSubject"/>
    <w:uiPriority w:val="99"/>
    <w:semiHidden/>
    <w:rsid w:val="00016CDC"/>
    <w:rPr>
      <w:rFonts w:ascii="Arial" w:eastAsia="Times New Roman" w:hAnsi="Arial" w:cs="Times New Roman"/>
      <w:b/>
      <w:bCs/>
      <w:sz w:val="20"/>
      <w:szCs w:val="20"/>
      <w:lang w:eastAsia="en-US"/>
    </w:rPr>
  </w:style>
  <w:style w:type="paragraph" w:styleId="Header">
    <w:name w:val="header"/>
    <w:basedOn w:val="Normal"/>
    <w:link w:val="HeaderChar"/>
    <w:uiPriority w:val="99"/>
    <w:unhideWhenUsed/>
    <w:rsid w:val="003C60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0C4"/>
  </w:style>
  <w:style w:type="paragraph" w:styleId="Footer">
    <w:name w:val="footer"/>
    <w:basedOn w:val="Normal"/>
    <w:link w:val="FooterChar"/>
    <w:uiPriority w:val="99"/>
    <w:unhideWhenUsed/>
    <w:rsid w:val="003C60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0C4"/>
  </w:style>
  <w:style w:type="character" w:customStyle="1" w:styleId="UnresolvedMention1">
    <w:name w:val="Unresolved Mention1"/>
    <w:basedOn w:val="DefaultParagraphFont"/>
    <w:uiPriority w:val="99"/>
    <w:semiHidden/>
    <w:unhideWhenUsed/>
    <w:rsid w:val="00F41C84"/>
    <w:rPr>
      <w:color w:val="605E5C"/>
      <w:shd w:val="clear" w:color="auto" w:fill="E1DFDD"/>
    </w:rPr>
  </w:style>
  <w:style w:type="paragraph" w:customStyle="1" w:styleId="Default">
    <w:name w:val="Default"/>
    <w:rsid w:val="007C03A5"/>
    <w:pPr>
      <w:autoSpaceDE w:val="0"/>
      <w:autoSpaceDN w:val="0"/>
      <w:adjustRightInd w:val="0"/>
      <w:spacing w:after="0" w:line="240" w:lineRule="auto"/>
    </w:pPr>
    <w:rPr>
      <w:rFonts w:ascii="Arial" w:hAnsi="Arial" w:cs="Arial"/>
      <w:color w:val="000000"/>
      <w:sz w:val="24"/>
      <w:szCs w:val="24"/>
    </w:rPr>
  </w:style>
  <w:style w:type="paragraph" w:customStyle="1" w:styleId="vy">
    <w:name w:val="vy"/>
    <w:basedOn w:val="Normal"/>
    <w:rsid w:val="00C274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s">
    <w:name w:val="vs"/>
    <w:basedOn w:val="DefaultParagraphFont"/>
    <w:rsid w:val="00C27490"/>
  </w:style>
  <w:style w:type="paragraph" w:customStyle="1" w:styleId="wd">
    <w:name w:val="wd"/>
    <w:basedOn w:val="Normal"/>
    <w:rsid w:val="00C274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f">
    <w:name w:val="vf"/>
    <w:basedOn w:val="DefaultParagraphFont"/>
    <w:rsid w:val="00C27490"/>
  </w:style>
  <w:style w:type="paragraph" w:styleId="NormalWeb">
    <w:name w:val="Normal (Web)"/>
    <w:basedOn w:val="Normal"/>
    <w:uiPriority w:val="99"/>
    <w:semiHidden/>
    <w:unhideWhenUsed/>
    <w:rsid w:val="008B19FC"/>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80127">
      <w:bodyDiv w:val="1"/>
      <w:marLeft w:val="0"/>
      <w:marRight w:val="0"/>
      <w:marTop w:val="0"/>
      <w:marBottom w:val="0"/>
      <w:divBdr>
        <w:top w:val="none" w:sz="0" w:space="0" w:color="auto"/>
        <w:left w:val="none" w:sz="0" w:space="0" w:color="auto"/>
        <w:bottom w:val="none" w:sz="0" w:space="0" w:color="auto"/>
        <w:right w:val="none" w:sz="0" w:space="0" w:color="auto"/>
      </w:divBdr>
    </w:div>
    <w:div w:id="153108480">
      <w:bodyDiv w:val="1"/>
      <w:marLeft w:val="0"/>
      <w:marRight w:val="0"/>
      <w:marTop w:val="0"/>
      <w:marBottom w:val="0"/>
      <w:divBdr>
        <w:top w:val="none" w:sz="0" w:space="0" w:color="auto"/>
        <w:left w:val="none" w:sz="0" w:space="0" w:color="auto"/>
        <w:bottom w:val="none" w:sz="0" w:space="0" w:color="auto"/>
        <w:right w:val="none" w:sz="0" w:space="0" w:color="auto"/>
      </w:divBdr>
    </w:div>
    <w:div w:id="321860285">
      <w:bodyDiv w:val="1"/>
      <w:marLeft w:val="0"/>
      <w:marRight w:val="0"/>
      <w:marTop w:val="0"/>
      <w:marBottom w:val="0"/>
      <w:divBdr>
        <w:top w:val="none" w:sz="0" w:space="0" w:color="auto"/>
        <w:left w:val="none" w:sz="0" w:space="0" w:color="auto"/>
        <w:bottom w:val="none" w:sz="0" w:space="0" w:color="auto"/>
        <w:right w:val="none" w:sz="0" w:space="0" w:color="auto"/>
      </w:divBdr>
    </w:div>
    <w:div w:id="749039036">
      <w:bodyDiv w:val="1"/>
      <w:marLeft w:val="0"/>
      <w:marRight w:val="0"/>
      <w:marTop w:val="0"/>
      <w:marBottom w:val="0"/>
      <w:divBdr>
        <w:top w:val="none" w:sz="0" w:space="0" w:color="auto"/>
        <w:left w:val="none" w:sz="0" w:space="0" w:color="auto"/>
        <w:bottom w:val="none" w:sz="0" w:space="0" w:color="auto"/>
        <w:right w:val="none" w:sz="0" w:space="0" w:color="auto"/>
      </w:divBdr>
    </w:div>
    <w:div w:id="767849861">
      <w:bodyDiv w:val="1"/>
      <w:marLeft w:val="0"/>
      <w:marRight w:val="0"/>
      <w:marTop w:val="0"/>
      <w:marBottom w:val="0"/>
      <w:divBdr>
        <w:top w:val="none" w:sz="0" w:space="0" w:color="auto"/>
        <w:left w:val="none" w:sz="0" w:space="0" w:color="auto"/>
        <w:bottom w:val="none" w:sz="0" w:space="0" w:color="auto"/>
        <w:right w:val="none" w:sz="0" w:space="0" w:color="auto"/>
      </w:divBdr>
    </w:div>
    <w:div w:id="916863448">
      <w:bodyDiv w:val="1"/>
      <w:marLeft w:val="0"/>
      <w:marRight w:val="0"/>
      <w:marTop w:val="0"/>
      <w:marBottom w:val="0"/>
      <w:divBdr>
        <w:top w:val="none" w:sz="0" w:space="0" w:color="auto"/>
        <w:left w:val="none" w:sz="0" w:space="0" w:color="auto"/>
        <w:bottom w:val="none" w:sz="0" w:space="0" w:color="auto"/>
        <w:right w:val="none" w:sz="0" w:space="0" w:color="auto"/>
      </w:divBdr>
    </w:div>
    <w:div w:id="943541420">
      <w:bodyDiv w:val="1"/>
      <w:marLeft w:val="0"/>
      <w:marRight w:val="0"/>
      <w:marTop w:val="0"/>
      <w:marBottom w:val="0"/>
      <w:divBdr>
        <w:top w:val="none" w:sz="0" w:space="0" w:color="auto"/>
        <w:left w:val="none" w:sz="0" w:space="0" w:color="auto"/>
        <w:bottom w:val="none" w:sz="0" w:space="0" w:color="auto"/>
        <w:right w:val="none" w:sz="0" w:space="0" w:color="auto"/>
      </w:divBdr>
    </w:div>
    <w:div w:id="1387337049">
      <w:bodyDiv w:val="1"/>
      <w:marLeft w:val="0"/>
      <w:marRight w:val="0"/>
      <w:marTop w:val="0"/>
      <w:marBottom w:val="0"/>
      <w:divBdr>
        <w:top w:val="none" w:sz="0" w:space="0" w:color="auto"/>
        <w:left w:val="none" w:sz="0" w:space="0" w:color="auto"/>
        <w:bottom w:val="none" w:sz="0" w:space="0" w:color="auto"/>
        <w:right w:val="none" w:sz="0" w:space="0" w:color="auto"/>
      </w:divBdr>
    </w:div>
    <w:div w:id="1527060899">
      <w:bodyDiv w:val="1"/>
      <w:marLeft w:val="0"/>
      <w:marRight w:val="0"/>
      <w:marTop w:val="0"/>
      <w:marBottom w:val="0"/>
      <w:divBdr>
        <w:top w:val="none" w:sz="0" w:space="0" w:color="auto"/>
        <w:left w:val="none" w:sz="0" w:space="0" w:color="auto"/>
        <w:bottom w:val="none" w:sz="0" w:space="0" w:color="auto"/>
        <w:right w:val="none" w:sz="0" w:space="0" w:color="auto"/>
      </w:divBdr>
      <w:divsChild>
        <w:div w:id="1209881611">
          <w:marLeft w:val="1360"/>
          <w:marRight w:val="1360"/>
          <w:marTop w:val="1700"/>
          <w:marBottom w:val="1500"/>
          <w:divBdr>
            <w:top w:val="none" w:sz="0" w:space="0" w:color="auto"/>
            <w:left w:val="none" w:sz="0" w:space="0" w:color="auto"/>
            <w:bottom w:val="none" w:sz="0" w:space="0" w:color="auto"/>
            <w:right w:val="none" w:sz="0" w:space="0" w:color="auto"/>
          </w:divBdr>
        </w:div>
        <w:div w:id="813334205">
          <w:marLeft w:val="1360"/>
          <w:marRight w:val="1360"/>
          <w:marTop w:val="1700"/>
          <w:marBottom w:val="1500"/>
          <w:divBdr>
            <w:top w:val="none" w:sz="0" w:space="0" w:color="auto"/>
            <w:left w:val="none" w:sz="0" w:space="0" w:color="auto"/>
            <w:bottom w:val="none" w:sz="0" w:space="0" w:color="auto"/>
            <w:right w:val="none" w:sz="0" w:space="0" w:color="auto"/>
          </w:divBdr>
        </w:div>
        <w:div w:id="1279414296">
          <w:marLeft w:val="0"/>
          <w:marRight w:val="0"/>
          <w:marTop w:val="0"/>
          <w:marBottom w:val="0"/>
          <w:divBdr>
            <w:top w:val="none" w:sz="0" w:space="0" w:color="auto"/>
            <w:left w:val="none" w:sz="0" w:space="0" w:color="auto"/>
            <w:bottom w:val="none" w:sz="0" w:space="0" w:color="auto"/>
            <w:right w:val="none" w:sz="0" w:space="0" w:color="auto"/>
          </w:divBdr>
        </w:div>
        <w:div w:id="1182670433">
          <w:marLeft w:val="0"/>
          <w:marRight w:val="0"/>
          <w:marTop w:val="0"/>
          <w:marBottom w:val="0"/>
          <w:divBdr>
            <w:top w:val="none" w:sz="0" w:space="0" w:color="auto"/>
            <w:left w:val="none" w:sz="0" w:space="0" w:color="auto"/>
            <w:bottom w:val="none" w:sz="0" w:space="0" w:color="auto"/>
            <w:right w:val="none" w:sz="0" w:space="0" w:color="auto"/>
          </w:divBdr>
        </w:div>
        <w:div w:id="1933735052">
          <w:marLeft w:val="0"/>
          <w:marRight w:val="0"/>
          <w:marTop w:val="0"/>
          <w:marBottom w:val="0"/>
          <w:divBdr>
            <w:top w:val="none" w:sz="0" w:space="0" w:color="auto"/>
            <w:left w:val="none" w:sz="0" w:space="0" w:color="auto"/>
            <w:bottom w:val="none" w:sz="0" w:space="0" w:color="auto"/>
            <w:right w:val="none" w:sz="0" w:space="0" w:color="auto"/>
          </w:divBdr>
        </w:div>
      </w:divsChild>
    </w:div>
    <w:div w:id="1670909220">
      <w:bodyDiv w:val="1"/>
      <w:marLeft w:val="0"/>
      <w:marRight w:val="0"/>
      <w:marTop w:val="0"/>
      <w:marBottom w:val="0"/>
      <w:divBdr>
        <w:top w:val="none" w:sz="0" w:space="0" w:color="auto"/>
        <w:left w:val="none" w:sz="0" w:space="0" w:color="auto"/>
        <w:bottom w:val="none" w:sz="0" w:space="0" w:color="auto"/>
        <w:right w:val="none" w:sz="0" w:space="0" w:color="auto"/>
      </w:divBdr>
    </w:div>
    <w:div w:id="1754085360">
      <w:bodyDiv w:val="1"/>
      <w:marLeft w:val="0"/>
      <w:marRight w:val="0"/>
      <w:marTop w:val="0"/>
      <w:marBottom w:val="0"/>
      <w:divBdr>
        <w:top w:val="none" w:sz="0" w:space="0" w:color="auto"/>
        <w:left w:val="none" w:sz="0" w:space="0" w:color="auto"/>
        <w:bottom w:val="none" w:sz="0" w:space="0" w:color="auto"/>
        <w:right w:val="none" w:sz="0" w:space="0" w:color="auto"/>
      </w:divBdr>
    </w:div>
    <w:div w:id="1835492759">
      <w:bodyDiv w:val="1"/>
      <w:marLeft w:val="0"/>
      <w:marRight w:val="0"/>
      <w:marTop w:val="0"/>
      <w:marBottom w:val="0"/>
      <w:divBdr>
        <w:top w:val="none" w:sz="0" w:space="0" w:color="auto"/>
        <w:left w:val="none" w:sz="0" w:space="0" w:color="auto"/>
        <w:bottom w:val="none" w:sz="0" w:space="0" w:color="auto"/>
        <w:right w:val="none" w:sz="0" w:space="0" w:color="auto"/>
      </w:divBdr>
    </w:div>
    <w:div w:id="1846745398">
      <w:bodyDiv w:val="1"/>
      <w:marLeft w:val="0"/>
      <w:marRight w:val="0"/>
      <w:marTop w:val="0"/>
      <w:marBottom w:val="0"/>
      <w:divBdr>
        <w:top w:val="none" w:sz="0" w:space="0" w:color="auto"/>
        <w:left w:val="none" w:sz="0" w:space="0" w:color="auto"/>
        <w:bottom w:val="none" w:sz="0" w:space="0" w:color="auto"/>
        <w:right w:val="none" w:sz="0" w:space="0" w:color="auto"/>
      </w:divBdr>
    </w:div>
    <w:div w:id="1946499309">
      <w:bodyDiv w:val="1"/>
      <w:marLeft w:val="0"/>
      <w:marRight w:val="0"/>
      <w:marTop w:val="0"/>
      <w:marBottom w:val="0"/>
      <w:divBdr>
        <w:top w:val="none" w:sz="0" w:space="0" w:color="auto"/>
        <w:left w:val="none" w:sz="0" w:space="0" w:color="auto"/>
        <w:bottom w:val="none" w:sz="0" w:space="0" w:color="auto"/>
        <w:right w:val="none" w:sz="0" w:space="0" w:color="auto"/>
      </w:divBdr>
      <w:divsChild>
        <w:div w:id="1385134525">
          <w:marLeft w:val="0"/>
          <w:marRight w:val="0"/>
          <w:marTop w:val="0"/>
          <w:marBottom w:val="0"/>
          <w:divBdr>
            <w:top w:val="none" w:sz="0" w:space="0" w:color="auto"/>
            <w:left w:val="none" w:sz="0" w:space="0" w:color="auto"/>
            <w:bottom w:val="none" w:sz="0" w:space="0" w:color="auto"/>
            <w:right w:val="none" w:sz="0" w:space="0" w:color="auto"/>
          </w:divBdr>
          <w:divsChild>
            <w:div w:id="72575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48430">
      <w:bodyDiv w:val="1"/>
      <w:marLeft w:val="0"/>
      <w:marRight w:val="0"/>
      <w:marTop w:val="0"/>
      <w:marBottom w:val="0"/>
      <w:divBdr>
        <w:top w:val="none" w:sz="0" w:space="0" w:color="auto"/>
        <w:left w:val="none" w:sz="0" w:space="0" w:color="auto"/>
        <w:bottom w:val="none" w:sz="0" w:space="0" w:color="auto"/>
        <w:right w:val="none" w:sz="0" w:space="0" w:color="auto"/>
      </w:divBdr>
    </w:div>
    <w:div w:id="2069572535">
      <w:bodyDiv w:val="1"/>
      <w:marLeft w:val="0"/>
      <w:marRight w:val="0"/>
      <w:marTop w:val="0"/>
      <w:marBottom w:val="0"/>
      <w:divBdr>
        <w:top w:val="none" w:sz="0" w:space="0" w:color="auto"/>
        <w:left w:val="none" w:sz="0" w:space="0" w:color="auto"/>
        <w:bottom w:val="none" w:sz="0" w:space="0" w:color="auto"/>
        <w:right w:val="none" w:sz="0" w:space="0" w:color="auto"/>
      </w:divBdr>
    </w:div>
    <w:div w:id="2100714025">
      <w:bodyDiv w:val="1"/>
      <w:marLeft w:val="0"/>
      <w:marRight w:val="0"/>
      <w:marTop w:val="0"/>
      <w:marBottom w:val="0"/>
      <w:divBdr>
        <w:top w:val="none" w:sz="0" w:space="0" w:color="auto"/>
        <w:left w:val="none" w:sz="0" w:space="0" w:color="auto"/>
        <w:bottom w:val="none" w:sz="0" w:space="0" w:color="auto"/>
        <w:right w:val="none" w:sz="0" w:space="0" w:color="auto"/>
      </w:divBdr>
    </w:div>
    <w:div w:id="2108113946">
      <w:bodyDiv w:val="1"/>
      <w:marLeft w:val="0"/>
      <w:marRight w:val="0"/>
      <w:marTop w:val="0"/>
      <w:marBottom w:val="0"/>
      <w:divBdr>
        <w:top w:val="none" w:sz="0" w:space="0" w:color="auto"/>
        <w:left w:val="none" w:sz="0" w:space="0" w:color="auto"/>
        <w:bottom w:val="none" w:sz="0" w:space="0" w:color="auto"/>
        <w:right w:val="none" w:sz="0" w:space="0" w:color="auto"/>
      </w:divBdr>
    </w:div>
    <w:div w:id="213709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rmedia.news/p8ml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irnenergy.com/investo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irn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6E5079F99AC04281E3964DF2E80F86" ma:contentTypeVersion="10" ma:contentTypeDescription="Create a new document." ma:contentTypeScope="" ma:versionID="f2a48c4ec4ecbb896b57ef796cc640e6">
  <xsd:schema xmlns:xsd="http://www.w3.org/2001/XMLSchema" xmlns:xs="http://www.w3.org/2001/XMLSchema" xmlns:p="http://schemas.microsoft.com/office/2006/metadata/properties" xmlns:ns3="7cbfa13f-c7e2-41f7-bd36-d1a73d7f6ff3" targetNamespace="http://schemas.microsoft.com/office/2006/metadata/properties" ma:root="true" ma:fieldsID="a572c8864713c6fabf5662f06d03c99f" ns3:_="">
    <xsd:import namespace="7cbfa13f-c7e2-41f7-bd36-d1a73d7f6ff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fa13f-c7e2-41f7-bd36-d1a73d7f6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5B71B-0504-4895-BED6-5A6A6C70488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cbfa13f-c7e2-41f7-bd36-d1a73d7f6ff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086E318-19AB-4A6D-8D1D-78B15E680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fa13f-c7e2-41f7-bd36-d1a73d7f6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A1AB5E-A4D8-4557-BE9C-8D67FDD11184}">
  <ds:schemaRefs>
    <ds:schemaRef ds:uri="http://schemas.microsoft.com/sharepoint/v3/contenttype/forms"/>
  </ds:schemaRefs>
</ds:datastoreItem>
</file>

<file path=customXml/itemProps4.xml><?xml version="1.0" encoding="utf-8"?>
<ds:datastoreItem xmlns:ds="http://schemas.openxmlformats.org/officeDocument/2006/customXml" ds:itemID="{21F5C86F-1135-49F4-97F6-953EA60EA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4160</Words>
  <Characters>23716</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Morgan Stanley</Company>
  <LinksUpToDate>false</LinksUpToDate>
  <CharactersWithSpaces>27821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Radford, Reece</dc:creator>
  <cp:lastModifiedBy>Maryth Guild</cp:lastModifiedBy>
  <cp:revision>2</cp:revision>
  <cp:lastPrinted>2019-11-06T17:44:00Z</cp:lastPrinted>
  <dcterms:created xsi:type="dcterms:W3CDTF">2020-07-27T13:03:00Z</dcterms:created>
  <dcterms:modified xsi:type="dcterms:W3CDTF">2020-07-27T13:03:00Z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0x010100E76E5079F99AC04281E3964DF2E80F86</vt:lpwstr>
  </property>
  <property fmtid="{D5CDD505-2E9C-101B-9397-08002B2CF9AE}" pid="3" name="MSIP_Label_27f19db2-d867-48b1-bee5-621b02f2470f_Enabled">
    <vt:lpwstr>true</vt:lpwstr>
  </property>
  <property fmtid="{D5CDD505-2E9C-101B-9397-08002B2CF9AE}" pid="4" name="MSIP_Label_27f19db2-d867-48b1-bee5-621b02f2470f_SetDate">
    <vt:lpwstr>2020-05-10T07:39:06Z</vt:lpwstr>
  </property>
  <property fmtid="{D5CDD505-2E9C-101B-9397-08002B2CF9AE}" pid="5" name="MSIP_Label_27f19db2-d867-48b1-bee5-621b02f2470f_Method">
    <vt:lpwstr>Privileged</vt:lpwstr>
  </property>
  <property fmtid="{D5CDD505-2E9C-101B-9397-08002B2CF9AE}" pid="6" name="MSIP_Label_27f19db2-d867-48b1-bee5-621b02f2470f_Name">
    <vt:lpwstr>RAndCoConfidentialMarked</vt:lpwstr>
  </property>
  <property fmtid="{D5CDD505-2E9C-101B-9397-08002B2CF9AE}" pid="7" name="MSIP_Label_27f19db2-d867-48b1-bee5-621b02f2470f_SiteId">
    <vt:lpwstr>a3a61790-e8ca-448a-b1be-e046da74a581</vt:lpwstr>
  </property>
  <property fmtid="{D5CDD505-2E9C-101B-9397-08002B2CF9AE}" pid="8" name="MSIP_Label_27f19db2-d867-48b1-bee5-621b02f2470f_ActionId">
    <vt:lpwstr>e4e70ca3-c776-408f-aeb7-0000f73aa451</vt:lpwstr>
  </property>
  <property fmtid="{D5CDD505-2E9C-101B-9397-08002B2CF9AE}" pid="9" name="MSIP_Label_27f19db2-d867-48b1-bee5-621b02f2470f_ContentBits">
    <vt:lpwstr>2</vt:lpwstr>
  </property>
  <property fmtid="{D5CDD505-2E9C-101B-9397-08002B2CF9AE}" pid="10" name="RTHDocumentSensitivity">
    <vt:lpwstr>Confidential</vt:lpwstr>
  </property>
  <property fmtid="{D5CDD505-2E9C-101B-9397-08002B2CF9AE}" pid="11" name="RTHDocumentSensitivityFR">
    <vt:lpwstr>Confidentiel</vt:lpwstr>
  </property>
</Properties>
</file>