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064C" w14:textId="77777777" w:rsidR="00C45448" w:rsidRDefault="00C45448">
      <w:pPr>
        <w:tabs>
          <w:tab w:val="right" w:pos="9540"/>
        </w:tabs>
        <w:rPr>
          <w:rFonts w:cs="Arial"/>
          <w:b/>
        </w:rPr>
      </w:pPr>
      <w:bookmarkStart w:id="0" w:name="_GoBack"/>
      <w:bookmarkEnd w:id="0"/>
    </w:p>
    <w:p w14:paraId="2C4051F9" w14:textId="77777777" w:rsidR="00C45448" w:rsidRDefault="00C45448">
      <w:pPr>
        <w:tabs>
          <w:tab w:val="right" w:pos="9540"/>
        </w:tabs>
        <w:rPr>
          <w:rFonts w:cs="Arial"/>
          <w:b/>
        </w:rPr>
      </w:pPr>
    </w:p>
    <w:p w14:paraId="3A95986C" w14:textId="7A21BC23" w:rsidR="00C41D04" w:rsidRDefault="00DE1A57">
      <w:pPr>
        <w:tabs>
          <w:tab w:val="right" w:pos="9540"/>
        </w:tabs>
        <w:rPr>
          <w:rFonts w:cs="Arial"/>
        </w:rPr>
      </w:pPr>
      <w:r>
        <w:rPr>
          <w:rFonts w:cs="Arial"/>
          <w:b/>
        </w:rPr>
        <w:t>FOR IMMEDIATE RELEASE</w:t>
      </w:r>
      <w:r>
        <w:rPr>
          <w:rFonts w:cs="Arial"/>
          <w:b/>
        </w:rPr>
        <w:tab/>
      </w:r>
      <w:r w:rsidR="00AC0A4E">
        <w:rPr>
          <w:rFonts w:cs="Arial"/>
          <w:b/>
        </w:rPr>
        <w:t>3</w:t>
      </w:r>
      <w:r w:rsidR="00087252">
        <w:rPr>
          <w:rFonts w:cs="Arial"/>
          <w:b/>
        </w:rPr>
        <w:t xml:space="preserve"> </w:t>
      </w:r>
      <w:r w:rsidR="00980BFC">
        <w:rPr>
          <w:rFonts w:cs="Arial"/>
          <w:b/>
        </w:rPr>
        <w:t>February</w:t>
      </w:r>
      <w:r w:rsidR="00087252">
        <w:rPr>
          <w:rFonts w:cs="Arial"/>
          <w:b/>
        </w:rPr>
        <w:t xml:space="preserve"> 2021</w:t>
      </w:r>
    </w:p>
    <w:p w14:paraId="18052E58" w14:textId="77777777" w:rsidR="00D17921" w:rsidRDefault="00D17921">
      <w:pPr>
        <w:jc w:val="center"/>
        <w:rPr>
          <w:rFonts w:cs="Arial"/>
          <w:b/>
          <w:bCs/>
        </w:rPr>
      </w:pPr>
    </w:p>
    <w:p w14:paraId="19CFA7E9" w14:textId="77777777" w:rsidR="008D10F7" w:rsidRDefault="008D10F7">
      <w:pPr>
        <w:jc w:val="center"/>
        <w:rPr>
          <w:rFonts w:cs="Arial"/>
          <w:b/>
          <w:bCs/>
        </w:rPr>
      </w:pPr>
    </w:p>
    <w:p w14:paraId="4E694320" w14:textId="77777777" w:rsidR="00C41D04" w:rsidRDefault="00DE1A5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CAIRN ENERGY PLC (“Cairn” or “the Company”)</w:t>
      </w:r>
    </w:p>
    <w:p w14:paraId="37410648" w14:textId="77777777" w:rsidR="00C41D04" w:rsidRDefault="00C41D04">
      <w:pPr>
        <w:jc w:val="center"/>
        <w:rPr>
          <w:rFonts w:cs="Arial"/>
          <w:b/>
          <w:bCs/>
          <w:lang w:eastAsia="en-US"/>
        </w:rPr>
      </w:pPr>
    </w:p>
    <w:p w14:paraId="549AC1F6" w14:textId="77777777" w:rsidR="00C41D04" w:rsidRDefault="00DE1A57">
      <w:pPr>
        <w:jc w:val="center"/>
        <w:rPr>
          <w:rFonts w:cs="Arial"/>
          <w:b/>
        </w:rPr>
      </w:pPr>
      <w:r>
        <w:rPr>
          <w:rFonts w:cs="Arial"/>
          <w:b/>
        </w:rPr>
        <w:t xml:space="preserve">Interests of Directors / Persons Discharging Managerial Responsibility (“PDMRs”) </w:t>
      </w:r>
    </w:p>
    <w:p w14:paraId="500FD0FC" w14:textId="77777777" w:rsidR="00C41D04" w:rsidRDefault="00DE1A57">
      <w:pPr>
        <w:jc w:val="center"/>
        <w:rPr>
          <w:rFonts w:cs="Arial"/>
          <w:b/>
        </w:rPr>
      </w:pPr>
      <w:r>
        <w:rPr>
          <w:rFonts w:cs="Arial"/>
          <w:b/>
        </w:rPr>
        <w:t>in the Company’s Shares</w:t>
      </w:r>
    </w:p>
    <w:p w14:paraId="09D12C7E" w14:textId="77777777" w:rsidR="00A1320E" w:rsidRDefault="00A1320E">
      <w:pPr>
        <w:pStyle w:val="BodyText2"/>
        <w:rPr>
          <w:rFonts w:ascii="Arial" w:hAnsi="Arial" w:cs="Arial"/>
          <w:sz w:val="20"/>
        </w:rPr>
      </w:pPr>
    </w:p>
    <w:p w14:paraId="38A48230" w14:textId="77777777" w:rsidR="00B23B58" w:rsidRDefault="00C72416" w:rsidP="00B23B58">
      <w:pPr>
        <w:pStyle w:val="BodyText2"/>
        <w:ind w:left="720" w:hanging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</w:t>
      </w:r>
      <w:r w:rsidR="00B23B58">
        <w:rPr>
          <w:rFonts w:ascii="Arial" w:hAnsi="Arial" w:cs="Arial"/>
          <w:b/>
          <w:bCs/>
          <w:sz w:val="20"/>
        </w:rPr>
        <w:t>.</w:t>
      </w:r>
      <w:r w:rsidR="00B23B58">
        <w:rPr>
          <w:rFonts w:ascii="Arial" w:hAnsi="Arial" w:cs="Arial"/>
          <w:b/>
          <w:bCs/>
          <w:sz w:val="20"/>
        </w:rPr>
        <w:tab/>
        <w:t xml:space="preserve">Purchase of </w:t>
      </w:r>
      <w:r w:rsidR="006B2C82">
        <w:rPr>
          <w:rFonts w:ascii="Arial" w:hAnsi="Arial" w:cs="Arial"/>
          <w:b/>
          <w:bCs/>
          <w:sz w:val="20"/>
        </w:rPr>
        <w:t xml:space="preserve">Dividend </w:t>
      </w:r>
      <w:r w:rsidR="00087252">
        <w:rPr>
          <w:rFonts w:ascii="Arial" w:hAnsi="Arial" w:cs="Arial"/>
          <w:b/>
          <w:bCs/>
          <w:sz w:val="20"/>
        </w:rPr>
        <w:t>Shares</w:t>
      </w:r>
      <w:r w:rsidR="00B23B58">
        <w:rPr>
          <w:rFonts w:ascii="Arial" w:hAnsi="Arial" w:cs="Arial"/>
          <w:b/>
          <w:bCs/>
          <w:sz w:val="20"/>
        </w:rPr>
        <w:t xml:space="preserve"> under the Company's 2010 Share Incentive Plan (the “SIP”</w:t>
      </w:r>
      <w:r w:rsidR="00F754B2">
        <w:rPr>
          <w:rFonts w:ascii="Arial" w:hAnsi="Arial" w:cs="Arial"/>
          <w:b/>
          <w:bCs/>
          <w:sz w:val="20"/>
        </w:rPr>
        <w:t xml:space="preserve"> or the “Plan”</w:t>
      </w:r>
      <w:r w:rsidR="00B23B58">
        <w:rPr>
          <w:rFonts w:ascii="Arial" w:hAnsi="Arial" w:cs="Arial"/>
          <w:b/>
          <w:bCs/>
          <w:sz w:val="20"/>
        </w:rPr>
        <w:t>)</w:t>
      </w:r>
      <w:r w:rsidR="0007486A">
        <w:rPr>
          <w:rFonts w:ascii="Arial" w:hAnsi="Arial" w:cs="Arial"/>
          <w:b/>
          <w:bCs/>
          <w:sz w:val="20"/>
        </w:rPr>
        <w:t xml:space="preserve"> </w:t>
      </w:r>
    </w:p>
    <w:p w14:paraId="1A234FEB" w14:textId="77777777" w:rsidR="00B23B58" w:rsidRDefault="00B23B58" w:rsidP="00B23B58">
      <w:pPr>
        <w:pStyle w:val="BodyText2"/>
        <w:rPr>
          <w:rFonts w:ascii="Arial" w:hAnsi="Arial" w:cs="Arial"/>
          <w:sz w:val="20"/>
        </w:rPr>
      </w:pPr>
    </w:p>
    <w:p w14:paraId="57BDB419" w14:textId="6C36A4A9" w:rsidR="00B23B58" w:rsidRPr="00087252" w:rsidRDefault="00F754B2" w:rsidP="00B23B58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Following the payment of the special dividend that was approved at the Company’s general meeting held on 8 January 2021 (the “Special Dividend”), </w:t>
      </w:r>
      <w:r w:rsidR="00B23B58">
        <w:rPr>
          <w:rFonts w:ascii="Arial" w:hAnsi="Arial" w:cs="Arial"/>
          <w:sz w:val="20"/>
        </w:rPr>
        <w:t xml:space="preserve">Cairn announces that, </w:t>
      </w:r>
      <w:r w:rsidR="00B23B58" w:rsidRPr="003A2CB2">
        <w:rPr>
          <w:rFonts w:ascii="Arial" w:hAnsi="Arial" w:cs="Arial"/>
          <w:sz w:val="20"/>
        </w:rPr>
        <w:t xml:space="preserve">on </w:t>
      </w:r>
      <w:r w:rsidR="0064184A" w:rsidRPr="003A2CB2">
        <w:rPr>
          <w:rFonts w:ascii="Arial" w:hAnsi="Arial" w:cs="Arial"/>
          <w:sz w:val="20"/>
        </w:rPr>
        <w:t xml:space="preserve">2 February </w:t>
      </w:r>
      <w:r w:rsidR="00087252" w:rsidRPr="003A2CB2">
        <w:rPr>
          <w:rFonts w:ascii="Arial" w:hAnsi="Arial" w:cs="Arial"/>
          <w:sz w:val="20"/>
        </w:rPr>
        <w:t>2021</w:t>
      </w:r>
      <w:r w:rsidR="00122F00" w:rsidRPr="003A2CB2">
        <w:rPr>
          <w:rFonts w:ascii="Arial" w:hAnsi="Arial" w:cs="Arial"/>
          <w:sz w:val="20"/>
        </w:rPr>
        <w:t>,</w:t>
      </w:r>
      <w:r w:rsidR="00122F00">
        <w:rPr>
          <w:rFonts w:ascii="Arial" w:hAnsi="Arial" w:cs="Arial"/>
          <w:sz w:val="20"/>
        </w:rPr>
        <w:t xml:space="preserve"> the trustee </w:t>
      </w:r>
      <w:r w:rsidR="00B23B58">
        <w:rPr>
          <w:rFonts w:ascii="Arial" w:hAnsi="Arial" w:cs="Arial"/>
          <w:sz w:val="20"/>
        </w:rPr>
        <w:t xml:space="preserve">of the Company's HMRC approved all-employee SIP purchased ordinary shares of </w:t>
      </w:r>
      <w:r w:rsidR="00087252" w:rsidRPr="00087252">
        <w:rPr>
          <w:rFonts w:ascii="Arial" w:hAnsi="Arial" w:cs="Arial"/>
          <w:sz w:val="20"/>
          <w:vertAlign w:val="superscript"/>
        </w:rPr>
        <w:t>21</w:t>
      </w:r>
      <w:r w:rsidR="00087252">
        <w:rPr>
          <w:rFonts w:ascii="Arial" w:hAnsi="Arial" w:cs="Arial"/>
          <w:sz w:val="20"/>
        </w:rPr>
        <w:t>/</w:t>
      </w:r>
      <w:r w:rsidR="00087252" w:rsidRPr="00087252">
        <w:rPr>
          <w:rFonts w:ascii="Arial" w:hAnsi="Arial" w:cs="Arial"/>
          <w:sz w:val="20"/>
          <w:vertAlign w:val="subscript"/>
        </w:rPr>
        <w:t>13</w:t>
      </w:r>
      <w:r w:rsidR="00784E8D">
        <w:rPr>
          <w:rFonts w:ascii="Arial" w:hAnsi="Arial" w:cs="Arial"/>
          <w:sz w:val="20"/>
        </w:rPr>
        <w:t xml:space="preserve"> </w:t>
      </w:r>
      <w:r w:rsidR="00B23B58">
        <w:rPr>
          <w:rFonts w:ascii="Arial" w:hAnsi="Arial" w:cs="Arial"/>
          <w:bCs/>
          <w:sz w:val="20"/>
        </w:rPr>
        <w:t xml:space="preserve">pence </w:t>
      </w:r>
      <w:r w:rsidR="00B23B58">
        <w:rPr>
          <w:rFonts w:ascii="Arial" w:hAnsi="Arial" w:cs="Arial"/>
          <w:sz w:val="20"/>
        </w:rPr>
        <w:t>each in the Company ("Ordinary Shares") in the market at a price of £</w:t>
      </w:r>
      <w:r w:rsidR="0064184A">
        <w:rPr>
          <w:rFonts w:ascii="Arial" w:hAnsi="Arial" w:cs="Arial"/>
          <w:sz w:val="20"/>
        </w:rPr>
        <w:t>1.773</w:t>
      </w:r>
      <w:r w:rsidR="00B23B58">
        <w:rPr>
          <w:rFonts w:ascii="Arial" w:hAnsi="Arial" w:cs="Arial"/>
          <w:sz w:val="20"/>
        </w:rPr>
        <w:t xml:space="preserve"> per Ordinary Share on behalf of </w:t>
      </w:r>
      <w:r>
        <w:rPr>
          <w:rFonts w:ascii="Arial" w:hAnsi="Arial" w:cs="Arial"/>
          <w:sz w:val="20"/>
        </w:rPr>
        <w:t xml:space="preserve">those </w:t>
      </w:r>
      <w:r w:rsidR="00B23B58">
        <w:rPr>
          <w:rFonts w:ascii="Arial" w:hAnsi="Arial" w:cs="Arial"/>
          <w:sz w:val="20"/>
        </w:rPr>
        <w:t>participants in the SIP</w:t>
      </w:r>
      <w:r>
        <w:rPr>
          <w:rFonts w:ascii="Arial" w:hAnsi="Arial" w:cs="Arial"/>
          <w:sz w:val="20"/>
        </w:rPr>
        <w:t xml:space="preserve"> who had elected to reinvest in further shares </w:t>
      </w:r>
      <w:r w:rsidR="00DE741A">
        <w:rPr>
          <w:rFonts w:ascii="Arial" w:hAnsi="Arial" w:cs="Arial"/>
          <w:sz w:val="20"/>
        </w:rPr>
        <w:t>the S</w:t>
      </w:r>
      <w:r>
        <w:rPr>
          <w:rFonts w:ascii="Arial" w:hAnsi="Arial" w:cs="Arial"/>
          <w:sz w:val="20"/>
        </w:rPr>
        <w:t xml:space="preserve">pecial </w:t>
      </w:r>
      <w:r w:rsidR="00DE741A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ividend payable on their holdings under the Plan.</w:t>
      </w:r>
    </w:p>
    <w:p w14:paraId="23B31919" w14:textId="77777777" w:rsidR="00B23B58" w:rsidRPr="00087252" w:rsidRDefault="00B23B58" w:rsidP="00B23B58">
      <w:pPr>
        <w:pStyle w:val="BodyText2"/>
        <w:rPr>
          <w:rFonts w:ascii="Arial" w:hAnsi="Arial" w:cs="Arial"/>
          <w:sz w:val="20"/>
        </w:rPr>
      </w:pPr>
    </w:p>
    <w:p w14:paraId="28D68AC8" w14:textId="77777777" w:rsidR="00B23B58" w:rsidRDefault="00F754B2" w:rsidP="00B23B58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 explained in the circular to shareholders dated 17 December 2020, </w:t>
      </w:r>
      <w:r w:rsidR="00A412DB">
        <w:rPr>
          <w:rFonts w:ascii="Arial" w:hAnsi="Arial" w:cs="Arial"/>
          <w:sz w:val="20"/>
        </w:rPr>
        <w:t xml:space="preserve">any Ordinary Shares purchased in the above manner </w:t>
      </w:r>
      <w:r w:rsidR="00087252">
        <w:rPr>
          <w:rFonts w:ascii="Arial" w:hAnsi="Arial" w:cs="Arial"/>
          <w:sz w:val="20"/>
        </w:rPr>
        <w:t>are</w:t>
      </w:r>
      <w:r w:rsidR="00087252" w:rsidRPr="00087252">
        <w:rPr>
          <w:rFonts w:ascii="Arial" w:hAnsi="Arial" w:cs="Arial"/>
          <w:sz w:val="20"/>
        </w:rPr>
        <w:t xml:space="preserve"> classed as “Dividend Shares” for the purposes of the SIP and </w:t>
      </w:r>
      <w:r w:rsidR="00087252">
        <w:rPr>
          <w:rFonts w:ascii="Arial" w:hAnsi="Arial" w:cs="Arial"/>
          <w:sz w:val="20"/>
        </w:rPr>
        <w:t>are</w:t>
      </w:r>
      <w:r w:rsidR="00087252" w:rsidRPr="00087252">
        <w:rPr>
          <w:rFonts w:ascii="Arial" w:hAnsi="Arial" w:cs="Arial"/>
          <w:sz w:val="20"/>
        </w:rPr>
        <w:t xml:space="preserve"> subject to a mandatory three-year holding period during which they cannot normally be sold o</w:t>
      </w:r>
      <w:r w:rsidR="00DE741A">
        <w:rPr>
          <w:rFonts w:ascii="Arial" w:hAnsi="Arial" w:cs="Arial"/>
          <w:sz w:val="20"/>
        </w:rPr>
        <w:t>r otherwise withdrawn from the P</w:t>
      </w:r>
      <w:r w:rsidR="00087252" w:rsidRPr="00087252">
        <w:rPr>
          <w:rFonts w:ascii="Arial" w:hAnsi="Arial" w:cs="Arial"/>
          <w:sz w:val="20"/>
        </w:rPr>
        <w:t xml:space="preserve">lan. Any </w:t>
      </w:r>
      <w:r w:rsidR="00A412DB">
        <w:rPr>
          <w:rFonts w:ascii="Arial" w:hAnsi="Arial" w:cs="Arial"/>
          <w:sz w:val="20"/>
        </w:rPr>
        <w:t xml:space="preserve">SIP </w:t>
      </w:r>
      <w:r w:rsidR="00087252" w:rsidRPr="00087252">
        <w:rPr>
          <w:rFonts w:ascii="Arial" w:hAnsi="Arial" w:cs="Arial"/>
          <w:sz w:val="20"/>
        </w:rPr>
        <w:t xml:space="preserve">participant who </w:t>
      </w:r>
      <w:r w:rsidR="00087252">
        <w:rPr>
          <w:rFonts w:ascii="Arial" w:hAnsi="Arial" w:cs="Arial"/>
          <w:sz w:val="20"/>
        </w:rPr>
        <w:t>did</w:t>
      </w:r>
      <w:r w:rsidR="00087252" w:rsidRPr="00087252">
        <w:rPr>
          <w:rFonts w:ascii="Arial" w:hAnsi="Arial" w:cs="Arial"/>
          <w:sz w:val="20"/>
        </w:rPr>
        <w:t xml:space="preserve"> not elect to reinvest in Dividend Shares receive</w:t>
      </w:r>
      <w:r w:rsidR="00087252">
        <w:rPr>
          <w:rFonts w:ascii="Arial" w:hAnsi="Arial" w:cs="Arial"/>
          <w:sz w:val="20"/>
        </w:rPr>
        <w:t>d</w:t>
      </w:r>
      <w:r w:rsidR="00087252" w:rsidRPr="00087252">
        <w:rPr>
          <w:rFonts w:ascii="Arial" w:hAnsi="Arial" w:cs="Arial"/>
          <w:sz w:val="20"/>
        </w:rPr>
        <w:t xml:space="preserve"> the</w:t>
      </w:r>
      <w:r w:rsidR="00DE741A">
        <w:rPr>
          <w:rFonts w:ascii="Arial" w:hAnsi="Arial" w:cs="Arial"/>
          <w:sz w:val="20"/>
        </w:rPr>
        <w:t>ir</w:t>
      </w:r>
      <w:r w:rsidR="00087252" w:rsidRPr="00087252">
        <w:rPr>
          <w:rFonts w:ascii="Arial" w:hAnsi="Arial" w:cs="Arial"/>
          <w:sz w:val="20"/>
        </w:rPr>
        <w:t xml:space="preserve"> Special Dividend in cash</w:t>
      </w:r>
      <w:r w:rsidR="009C13AE">
        <w:rPr>
          <w:rFonts w:ascii="Arial" w:hAnsi="Arial" w:cs="Arial"/>
          <w:sz w:val="20"/>
        </w:rPr>
        <w:t>.</w:t>
      </w:r>
    </w:p>
    <w:p w14:paraId="4996E50F" w14:textId="77777777" w:rsidR="00087252" w:rsidRPr="00087252" w:rsidRDefault="00087252" w:rsidP="00B23B58">
      <w:pPr>
        <w:pStyle w:val="BodyText2"/>
        <w:rPr>
          <w:rFonts w:ascii="Arial" w:hAnsi="Arial" w:cs="Arial"/>
          <w:sz w:val="20"/>
        </w:rPr>
      </w:pPr>
    </w:p>
    <w:p w14:paraId="3CDE5873" w14:textId="77777777" w:rsidR="00A1320E" w:rsidRDefault="00B23B58" w:rsidP="00B23B58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Details of the Executive Directors a</w:t>
      </w:r>
      <w:r w:rsidR="009C13AE">
        <w:rPr>
          <w:rFonts w:ascii="Arial" w:hAnsi="Arial" w:cs="Arial"/>
          <w:sz w:val="20"/>
        </w:rPr>
        <w:t>nd PDM</w:t>
      </w:r>
      <w:r w:rsidR="00A412DB">
        <w:rPr>
          <w:rFonts w:ascii="Arial" w:hAnsi="Arial" w:cs="Arial"/>
          <w:sz w:val="20"/>
        </w:rPr>
        <w:t>Rs who elected to reinvest the</w:t>
      </w:r>
      <w:r w:rsidR="009C13AE">
        <w:rPr>
          <w:rFonts w:ascii="Arial" w:hAnsi="Arial" w:cs="Arial"/>
          <w:sz w:val="20"/>
        </w:rPr>
        <w:t xml:space="preserve"> Special Dividend </w:t>
      </w:r>
      <w:r w:rsidR="00A412DB">
        <w:rPr>
          <w:rFonts w:ascii="Arial" w:hAnsi="Arial" w:cs="Arial"/>
          <w:sz w:val="20"/>
        </w:rPr>
        <w:t>payable on their holding</w:t>
      </w:r>
      <w:r w:rsidR="00122F00">
        <w:rPr>
          <w:rFonts w:ascii="Arial" w:hAnsi="Arial" w:cs="Arial"/>
          <w:sz w:val="20"/>
        </w:rPr>
        <w:t>s</w:t>
      </w:r>
      <w:r w:rsidR="00A412DB">
        <w:rPr>
          <w:rFonts w:ascii="Arial" w:hAnsi="Arial" w:cs="Arial"/>
          <w:sz w:val="20"/>
        </w:rPr>
        <w:t xml:space="preserve"> in the SIP </w:t>
      </w:r>
      <w:r w:rsidR="009C13AE">
        <w:rPr>
          <w:rFonts w:ascii="Arial" w:hAnsi="Arial" w:cs="Arial"/>
          <w:sz w:val="20"/>
        </w:rPr>
        <w:t>are</w:t>
      </w:r>
      <w:r w:rsidR="00DE741A">
        <w:rPr>
          <w:rFonts w:ascii="Arial" w:hAnsi="Arial" w:cs="Arial"/>
          <w:sz w:val="20"/>
        </w:rPr>
        <w:t xml:space="preserve"> as follows</w:t>
      </w:r>
      <w:r>
        <w:rPr>
          <w:rFonts w:ascii="Arial" w:hAnsi="Arial" w:cs="Arial"/>
          <w:sz w:val="20"/>
        </w:rPr>
        <w:t>:</w:t>
      </w:r>
    </w:p>
    <w:p w14:paraId="38F4121D" w14:textId="77777777" w:rsidR="009C13AE" w:rsidRDefault="009C13AE" w:rsidP="00B23B58">
      <w:pPr>
        <w:pStyle w:val="BodyText2"/>
        <w:rPr>
          <w:rFonts w:ascii="Arial" w:hAnsi="Arial" w:cs="Arial"/>
          <w:sz w:val="20"/>
        </w:rPr>
      </w:pPr>
    </w:p>
    <w:p w14:paraId="0667B051" w14:textId="77777777" w:rsidR="00B23B58" w:rsidRDefault="00B23B58" w:rsidP="00B23B58">
      <w:pPr>
        <w:pStyle w:val="BodyText2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8"/>
        <w:gridCol w:w="2559"/>
      </w:tblGrid>
      <w:tr w:rsidR="009C13AE" w14:paraId="0AD594C2" w14:textId="77777777" w:rsidTr="009C13AE">
        <w:trPr>
          <w:jc w:val="center"/>
        </w:trPr>
        <w:tc>
          <w:tcPr>
            <w:tcW w:w="5658" w:type="dxa"/>
          </w:tcPr>
          <w:p w14:paraId="52E3B55E" w14:textId="77777777" w:rsidR="009C13AE" w:rsidRDefault="009C13AE" w:rsidP="00B23B58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4B1BBDB" w14:textId="77777777" w:rsidR="009C13AE" w:rsidRDefault="009C13AE" w:rsidP="00B23B58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Director / PDMR</w:t>
            </w:r>
          </w:p>
          <w:p w14:paraId="318078D5" w14:textId="77777777" w:rsidR="009C13AE" w:rsidRDefault="009C13AE" w:rsidP="00B23B58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9" w:type="dxa"/>
          </w:tcPr>
          <w:p w14:paraId="28A846AB" w14:textId="77777777" w:rsidR="009C13AE" w:rsidRDefault="009C13AE" w:rsidP="00C72416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Number of </w:t>
            </w:r>
            <w:r w:rsidR="00F754B2">
              <w:rPr>
                <w:rFonts w:ascii="Arial" w:hAnsi="Arial" w:cs="Arial"/>
                <w:b/>
                <w:sz w:val="20"/>
              </w:rPr>
              <w:t>Dividend Shares Acquired</w:t>
            </w:r>
          </w:p>
          <w:p w14:paraId="5AABC5F1" w14:textId="77777777" w:rsidR="009C13AE" w:rsidRDefault="009C13AE" w:rsidP="00C72416">
            <w:pPr>
              <w:pStyle w:val="BodyText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C13AE" w14:paraId="7715C924" w14:textId="77777777" w:rsidTr="0064184A">
        <w:trPr>
          <w:jc w:val="center"/>
        </w:trPr>
        <w:tc>
          <w:tcPr>
            <w:tcW w:w="5658" w:type="dxa"/>
          </w:tcPr>
          <w:p w14:paraId="3EB880A9" w14:textId="77777777" w:rsidR="009C13AE" w:rsidRDefault="009C13AE" w:rsidP="0097088F">
            <w:pPr>
              <w:pStyle w:val="BodyText2"/>
              <w:rPr>
                <w:rFonts w:ascii="Arial" w:hAnsi="Arial" w:cs="Arial"/>
                <w:sz w:val="20"/>
                <w:lang w:val="en-GB"/>
              </w:rPr>
            </w:pPr>
          </w:p>
          <w:p w14:paraId="472CB759" w14:textId="77777777" w:rsidR="009C13AE" w:rsidRDefault="009C13AE" w:rsidP="0097088F">
            <w:pPr>
              <w:pStyle w:val="BodyText2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Simon Thomson, Chief Executive</w:t>
            </w:r>
          </w:p>
          <w:p w14:paraId="1982B703" w14:textId="77777777" w:rsidR="009C13AE" w:rsidRDefault="009C13AE" w:rsidP="0097088F">
            <w:pPr>
              <w:pStyle w:val="BodyText2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559" w:type="dxa"/>
            <w:vAlign w:val="center"/>
          </w:tcPr>
          <w:p w14:paraId="46B3B439" w14:textId="47D3547B" w:rsidR="009C13AE" w:rsidRDefault="0064184A" w:rsidP="0064184A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AC0A4E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233</w:t>
            </w:r>
          </w:p>
        </w:tc>
      </w:tr>
      <w:tr w:rsidR="009C13AE" w14:paraId="40C02645" w14:textId="77777777" w:rsidTr="0064184A">
        <w:trPr>
          <w:jc w:val="center"/>
        </w:trPr>
        <w:tc>
          <w:tcPr>
            <w:tcW w:w="5658" w:type="dxa"/>
          </w:tcPr>
          <w:p w14:paraId="19D27380" w14:textId="77777777" w:rsidR="009C13AE" w:rsidRDefault="009C13AE" w:rsidP="00C72416">
            <w:pPr>
              <w:pStyle w:val="BodyText2"/>
              <w:rPr>
                <w:rFonts w:ascii="Arial" w:hAnsi="Arial" w:cs="Arial"/>
                <w:sz w:val="20"/>
                <w:lang w:val="en-GB"/>
              </w:rPr>
            </w:pPr>
          </w:p>
          <w:p w14:paraId="39A5AE12" w14:textId="77777777" w:rsidR="009C13AE" w:rsidRDefault="009C13AE" w:rsidP="00C72416">
            <w:pPr>
              <w:pStyle w:val="BodyText2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Eric Hathon, Director of Exploration</w:t>
            </w:r>
          </w:p>
          <w:p w14:paraId="2413C7B3" w14:textId="77777777" w:rsidR="009C13AE" w:rsidRDefault="009C13AE" w:rsidP="00C72416">
            <w:pPr>
              <w:pStyle w:val="BodyText2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559" w:type="dxa"/>
            <w:vAlign w:val="center"/>
          </w:tcPr>
          <w:p w14:paraId="25E0EBBB" w14:textId="115CD24C" w:rsidR="009C13AE" w:rsidRDefault="0064184A" w:rsidP="006418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AC0A4E">
              <w:rPr>
                <w:rFonts w:cs="Arial"/>
              </w:rPr>
              <w:t>,</w:t>
            </w:r>
            <w:r>
              <w:rPr>
                <w:rFonts w:cs="Arial"/>
              </w:rPr>
              <w:t>224</w:t>
            </w:r>
          </w:p>
        </w:tc>
      </w:tr>
      <w:tr w:rsidR="009C13AE" w14:paraId="7366E3C5" w14:textId="77777777" w:rsidTr="0064184A">
        <w:trPr>
          <w:jc w:val="center"/>
        </w:trPr>
        <w:tc>
          <w:tcPr>
            <w:tcW w:w="5658" w:type="dxa"/>
          </w:tcPr>
          <w:p w14:paraId="26890DE5" w14:textId="77777777" w:rsidR="009C13AE" w:rsidRDefault="009C13AE" w:rsidP="0097088F">
            <w:pPr>
              <w:pStyle w:val="BodyText2"/>
              <w:rPr>
                <w:rFonts w:ascii="Arial" w:hAnsi="Arial" w:cs="Arial"/>
                <w:sz w:val="20"/>
                <w:lang w:val="en-GB"/>
              </w:rPr>
            </w:pPr>
          </w:p>
          <w:p w14:paraId="72E6C216" w14:textId="77777777" w:rsidR="009C13AE" w:rsidRDefault="009C13AE" w:rsidP="0097088F">
            <w:pPr>
              <w:pStyle w:val="BodyText2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Paul Mayland, Chief Operating Officer</w:t>
            </w:r>
          </w:p>
          <w:p w14:paraId="19B0B32A" w14:textId="77777777" w:rsidR="009C13AE" w:rsidRDefault="009C13AE" w:rsidP="0097088F">
            <w:pPr>
              <w:pStyle w:val="BodyText2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559" w:type="dxa"/>
            <w:vAlign w:val="center"/>
          </w:tcPr>
          <w:p w14:paraId="2AD61EC3" w14:textId="30FC5865" w:rsidR="009C13AE" w:rsidRDefault="0064184A" w:rsidP="0064184A">
            <w:pPr>
              <w:jc w:val="center"/>
            </w:pPr>
            <w:r>
              <w:t>6</w:t>
            </w:r>
            <w:r w:rsidR="00AC0A4E">
              <w:t>,</w:t>
            </w:r>
            <w:r>
              <w:t>177</w:t>
            </w:r>
          </w:p>
        </w:tc>
      </w:tr>
      <w:tr w:rsidR="009C13AE" w14:paraId="226D5B66" w14:textId="77777777" w:rsidTr="0064184A">
        <w:trPr>
          <w:jc w:val="center"/>
        </w:trPr>
        <w:tc>
          <w:tcPr>
            <w:tcW w:w="5658" w:type="dxa"/>
          </w:tcPr>
          <w:p w14:paraId="4D3D00F7" w14:textId="77777777" w:rsidR="009C13AE" w:rsidRDefault="009C13AE" w:rsidP="0097088F">
            <w:pPr>
              <w:pStyle w:val="BodyText2"/>
              <w:rPr>
                <w:rFonts w:ascii="Arial" w:hAnsi="Arial" w:cs="Arial"/>
                <w:sz w:val="20"/>
                <w:lang w:val="en-GB"/>
              </w:rPr>
            </w:pPr>
          </w:p>
          <w:p w14:paraId="385ADC12" w14:textId="77777777" w:rsidR="009C13AE" w:rsidRDefault="002D107A" w:rsidP="0097088F">
            <w:pPr>
              <w:pStyle w:val="BodyText2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Douglas Taylor</w:t>
            </w:r>
            <w:r w:rsidR="009C13AE">
              <w:rPr>
                <w:rFonts w:ascii="Arial" w:hAnsi="Arial" w:cs="Arial"/>
                <w:sz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20"/>
                <w:lang w:val="en-GB"/>
              </w:rPr>
              <w:t>Deputy Finance Director</w:t>
            </w:r>
          </w:p>
          <w:p w14:paraId="10B97E4D" w14:textId="77777777" w:rsidR="009C13AE" w:rsidRDefault="009C13AE" w:rsidP="0097088F">
            <w:pPr>
              <w:pStyle w:val="BodyText2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559" w:type="dxa"/>
            <w:vAlign w:val="center"/>
          </w:tcPr>
          <w:p w14:paraId="372F08B2" w14:textId="5BD7E9AA" w:rsidR="009C13AE" w:rsidRDefault="0064184A" w:rsidP="0064184A">
            <w:pPr>
              <w:jc w:val="center"/>
            </w:pPr>
            <w:r>
              <w:t>4</w:t>
            </w:r>
            <w:r w:rsidR="00AC0A4E">
              <w:t>,</w:t>
            </w:r>
            <w:r>
              <w:t>221</w:t>
            </w:r>
          </w:p>
        </w:tc>
      </w:tr>
    </w:tbl>
    <w:p w14:paraId="58581D83" w14:textId="77777777" w:rsidR="009C13AE" w:rsidRDefault="009C13AE">
      <w:pPr>
        <w:rPr>
          <w:rFonts w:cs="Arial"/>
          <w:b/>
        </w:rPr>
      </w:pPr>
    </w:p>
    <w:p w14:paraId="4771130A" w14:textId="77777777" w:rsidR="009C13AE" w:rsidRDefault="009C13AE">
      <w:pPr>
        <w:rPr>
          <w:rFonts w:cs="Arial"/>
          <w:b/>
        </w:rPr>
      </w:pPr>
    </w:p>
    <w:p w14:paraId="57F4486A" w14:textId="77777777" w:rsidR="00A412DB" w:rsidRDefault="00A412DB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page"/>
      </w:r>
    </w:p>
    <w:p w14:paraId="518AE5EB" w14:textId="77777777" w:rsidR="003C0C45" w:rsidRPr="003C0C45" w:rsidRDefault="003C0C45" w:rsidP="003C0C45">
      <w:pPr>
        <w:jc w:val="both"/>
        <w:rPr>
          <w:rFonts w:cs="Arial"/>
          <w:b/>
          <w:bCs/>
          <w:lang w:val="en-US"/>
        </w:rPr>
      </w:pPr>
      <w:r w:rsidRPr="003C0C45">
        <w:rPr>
          <w:rFonts w:cs="Arial"/>
          <w:b/>
          <w:bCs/>
          <w:lang w:val="en-US"/>
        </w:rPr>
        <w:lastRenderedPageBreak/>
        <w:t xml:space="preserve">2. </w:t>
      </w:r>
      <w:r w:rsidRPr="003C0C45">
        <w:rPr>
          <w:rFonts w:cs="Arial"/>
          <w:b/>
          <w:bCs/>
          <w:lang w:val="en-US"/>
        </w:rPr>
        <w:tab/>
        <w:t>Summary of current holdings of Executive Directors / PDMRs</w:t>
      </w:r>
    </w:p>
    <w:p w14:paraId="58A35949" w14:textId="77777777" w:rsidR="003C0C45" w:rsidRPr="003C0C45" w:rsidRDefault="003C0C45" w:rsidP="003C0C45">
      <w:pPr>
        <w:jc w:val="both"/>
        <w:rPr>
          <w:rFonts w:cs="Arial"/>
          <w:bCs/>
          <w:lang w:val="en-US"/>
        </w:rPr>
      </w:pPr>
    </w:p>
    <w:p w14:paraId="0DA53B76" w14:textId="77777777" w:rsidR="003C0C45" w:rsidRDefault="003C0C45" w:rsidP="003C0C45">
      <w:pPr>
        <w:jc w:val="both"/>
        <w:rPr>
          <w:rFonts w:cs="Arial"/>
          <w:bCs/>
          <w:lang w:val="en-US"/>
        </w:rPr>
      </w:pPr>
      <w:r w:rsidRPr="003C0C45">
        <w:rPr>
          <w:rFonts w:cs="Arial"/>
          <w:bCs/>
          <w:lang w:val="en-US"/>
        </w:rPr>
        <w:t xml:space="preserve">Following this announcement, the Executive Directors’ and PDMRs’ beneficial interests in the </w:t>
      </w:r>
      <w:r w:rsidR="00122F00">
        <w:rPr>
          <w:rFonts w:cs="Arial"/>
          <w:bCs/>
          <w:lang w:val="en-US"/>
        </w:rPr>
        <w:t xml:space="preserve">Ordinary </w:t>
      </w:r>
      <w:r w:rsidRPr="003C0C45">
        <w:rPr>
          <w:rFonts w:cs="Arial"/>
          <w:bCs/>
          <w:lang w:val="en-US"/>
        </w:rPr>
        <w:t>Shares of the Company are as follows:</w:t>
      </w:r>
    </w:p>
    <w:p w14:paraId="16E6CD99" w14:textId="77777777" w:rsidR="003C0C45" w:rsidRDefault="003C0C45" w:rsidP="003C0C45">
      <w:pPr>
        <w:jc w:val="both"/>
        <w:rPr>
          <w:rFonts w:cs="Arial"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1430"/>
        <w:gridCol w:w="1430"/>
        <w:gridCol w:w="1240"/>
        <w:gridCol w:w="1619"/>
        <w:gridCol w:w="1621"/>
      </w:tblGrid>
      <w:tr w:rsidR="003C0C45" w:rsidRPr="003C0C45" w14:paraId="4349CAE0" w14:textId="77777777" w:rsidTr="00911CDB">
        <w:trPr>
          <w:trHeight w:val="255"/>
        </w:trPr>
        <w:tc>
          <w:tcPr>
            <w:tcW w:w="1141" w:type="pct"/>
            <w:vMerge w:val="restart"/>
            <w:vAlign w:val="center"/>
          </w:tcPr>
          <w:p w14:paraId="2F6A351C" w14:textId="77777777" w:rsidR="003C0C45" w:rsidRPr="003C0C45" w:rsidRDefault="003C0C45" w:rsidP="003C0C45">
            <w:pPr>
              <w:jc w:val="center"/>
              <w:rPr>
                <w:rFonts w:cs="Arial"/>
                <w:lang w:val="en-US"/>
              </w:rPr>
            </w:pPr>
            <w:r w:rsidRPr="003C0C45">
              <w:rPr>
                <w:rFonts w:cs="Arial"/>
                <w:b/>
                <w:lang w:val="en-US"/>
              </w:rPr>
              <w:t>Executive Director / PDMR</w:t>
            </w:r>
          </w:p>
        </w:tc>
        <w:tc>
          <w:tcPr>
            <w:tcW w:w="752" w:type="pct"/>
            <w:vMerge w:val="restart"/>
            <w:vAlign w:val="center"/>
          </w:tcPr>
          <w:p w14:paraId="18843470" w14:textId="77777777" w:rsidR="003C0C45" w:rsidRPr="003C0C45" w:rsidRDefault="003C0C45" w:rsidP="003C0C45">
            <w:pPr>
              <w:jc w:val="center"/>
              <w:rPr>
                <w:rFonts w:cs="Arial"/>
                <w:b/>
                <w:lang w:val="en-US"/>
              </w:rPr>
            </w:pPr>
            <w:r w:rsidRPr="003C0C45">
              <w:rPr>
                <w:rFonts w:cs="Arial"/>
                <w:b/>
                <w:lang w:val="en-US"/>
              </w:rPr>
              <w:t>Previous</w:t>
            </w:r>
          </w:p>
          <w:p w14:paraId="22DC682F" w14:textId="6E975788" w:rsidR="003C0C45" w:rsidRPr="003C0C45" w:rsidRDefault="003C0C45" w:rsidP="003C0C45">
            <w:pPr>
              <w:jc w:val="center"/>
              <w:rPr>
                <w:rFonts w:cs="Arial"/>
                <w:b/>
                <w:lang w:val="en-US"/>
              </w:rPr>
            </w:pPr>
            <w:r w:rsidRPr="003C0C45">
              <w:rPr>
                <w:rFonts w:cs="Arial"/>
                <w:b/>
                <w:lang w:val="en-US"/>
              </w:rPr>
              <w:t>Shares</w:t>
            </w:r>
            <w:r w:rsidR="00A872B0">
              <w:rPr>
                <w:rFonts w:cs="Arial"/>
                <w:b/>
                <w:lang w:val="en-US"/>
              </w:rPr>
              <w:t>*</w:t>
            </w:r>
          </w:p>
        </w:tc>
        <w:tc>
          <w:tcPr>
            <w:tcW w:w="752" w:type="pct"/>
            <w:vMerge w:val="restart"/>
            <w:vAlign w:val="center"/>
          </w:tcPr>
          <w:p w14:paraId="7C958F17" w14:textId="77777777" w:rsidR="003C0C45" w:rsidRPr="003C0C45" w:rsidRDefault="003C0C45" w:rsidP="003C0C45">
            <w:pPr>
              <w:jc w:val="center"/>
              <w:rPr>
                <w:rFonts w:cs="Arial"/>
                <w:lang w:val="en-US"/>
              </w:rPr>
            </w:pPr>
            <w:r w:rsidRPr="003C0C45">
              <w:rPr>
                <w:rFonts w:cs="Arial"/>
                <w:b/>
                <w:lang w:val="en-US"/>
              </w:rPr>
              <w:t>Current Shares</w:t>
            </w:r>
          </w:p>
        </w:tc>
        <w:tc>
          <w:tcPr>
            <w:tcW w:w="652" w:type="pct"/>
            <w:vMerge w:val="restart"/>
            <w:vAlign w:val="center"/>
          </w:tcPr>
          <w:p w14:paraId="109F5228" w14:textId="77777777" w:rsidR="003C0C45" w:rsidRPr="003C0C45" w:rsidRDefault="003C0C45" w:rsidP="003C0C45">
            <w:pPr>
              <w:jc w:val="center"/>
              <w:rPr>
                <w:rFonts w:cs="Arial"/>
                <w:lang w:val="en-US"/>
              </w:rPr>
            </w:pPr>
            <w:r w:rsidRPr="003C0C45">
              <w:rPr>
                <w:rFonts w:cs="Arial"/>
                <w:b/>
                <w:lang w:val="en-US"/>
              </w:rPr>
              <w:t>% Issued Share Capital</w:t>
            </w:r>
          </w:p>
        </w:tc>
        <w:tc>
          <w:tcPr>
            <w:tcW w:w="1703" w:type="pct"/>
            <w:gridSpan w:val="2"/>
            <w:vAlign w:val="center"/>
          </w:tcPr>
          <w:p w14:paraId="4B1F721E" w14:textId="77777777" w:rsidR="003C0C45" w:rsidRPr="003C0C45" w:rsidRDefault="003C0C45" w:rsidP="003C0C45">
            <w:pPr>
              <w:jc w:val="center"/>
              <w:rPr>
                <w:rFonts w:cs="Arial"/>
                <w:b/>
                <w:lang w:val="en-US"/>
              </w:rPr>
            </w:pPr>
            <w:r w:rsidRPr="003C0C45">
              <w:rPr>
                <w:rFonts w:cs="Arial"/>
                <w:b/>
                <w:lang w:val="en-US"/>
              </w:rPr>
              <w:t xml:space="preserve">Outstanding entitlements under </w:t>
            </w:r>
            <w:r w:rsidR="0023599D">
              <w:rPr>
                <w:rFonts w:cs="Arial"/>
                <w:b/>
                <w:lang w:val="en-US"/>
              </w:rPr>
              <w:t>2017 LTIP</w:t>
            </w:r>
          </w:p>
          <w:p w14:paraId="1069BB79" w14:textId="77777777" w:rsidR="003C0C45" w:rsidRPr="003C0C45" w:rsidRDefault="003C0C45" w:rsidP="003C0C45">
            <w:pPr>
              <w:jc w:val="center"/>
              <w:rPr>
                <w:rFonts w:cs="Arial"/>
                <w:b/>
                <w:lang w:val="en-US"/>
              </w:rPr>
            </w:pPr>
          </w:p>
        </w:tc>
      </w:tr>
      <w:tr w:rsidR="003C0C45" w:rsidRPr="003C0C45" w14:paraId="2D8865B4" w14:textId="77777777" w:rsidTr="00911CDB">
        <w:trPr>
          <w:trHeight w:val="255"/>
        </w:trPr>
        <w:tc>
          <w:tcPr>
            <w:tcW w:w="1141" w:type="pct"/>
            <w:vMerge/>
            <w:vAlign w:val="center"/>
          </w:tcPr>
          <w:p w14:paraId="00F8DCE1" w14:textId="77777777" w:rsidR="003C0C45" w:rsidRPr="003C0C45" w:rsidRDefault="003C0C45" w:rsidP="003C0C45">
            <w:pPr>
              <w:rPr>
                <w:rFonts w:cs="Arial"/>
                <w:lang w:val="en-US"/>
              </w:rPr>
            </w:pPr>
          </w:p>
        </w:tc>
        <w:tc>
          <w:tcPr>
            <w:tcW w:w="752" w:type="pct"/>
            <w:vMerge/>
          </w:tcPr>
          <w:p w14:paraId="663E4D9F" w14:textId="77777777" w:rsidR="003C0C45" w:rsidRPr="003C0C45" w:rsidRDefault="003C0C45" w:rsidP="003C0C4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752" w:type="pct"/>
            <w:vMerge/>
            <w:vAlign w:val="center"/>
          </w:tcPr>
          <w:p w14:paraId="7F34BB34" w14:textId="77777777" w:rsidR="003C0C45" w:rsidRPr="003C0C45" w:rsidRDefault="003C0C45" w:rsidP="003C0C4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652" w:type="pct"/>
            <w:vMerge/>
            <w:vAlign w:val="bottom"/>
          </w:tcPr>
          <w:p w14:paraId="24FEBB85" w14:textId="77777777" w:rsidR="003C0C45" w:rsidRPr="003C0C45" w:rsidRDefault="003C0C45" w:rsidP="003C0C4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851" w:type="pct"/>
            <w:vAlign w:val="bottom"/>
          </w:tcPr>
          <w:p w14:paraId="5B6C9A15" w14:textId="77777777" w:rsidR="003C0C45" w:rsidRPr="003C0C45" w:rsidRDefault="003C0C45" w:rsidP="003C0C45">
            <w:pPr>
              <w:jc w:val="center"/>
              <w:rPr>
                <w:rFonts w:cs="Arial"/>
                <w:i/>
              </w:rPr>
            </w:pPr>
            <w:r w:rsidRPr="003C0C45">
              <w:rPr>
                <w:rFonts w:cs="Arial"/>
                <w:i/>
              </w:rPr>
              <w:t>Unvested Awards still subject to performance conditions</w:t>
            </w:r>
          </w:p>
        </w:tc>
        <w:tc>
          <w:tcPr>
            <w:tcW w:w="852" w:type="pct"/>
            <w:vAlign w:val="center"/>
          </w:tcPr>
          <w:p w14:paraId="705FFD61" w14:textId="31ADAB74" w:rsidR="003C0C45" w:rsidRPr="003C0C45" w:rsidRDefault="003C0C45" w:rsidP="003C0C45">
            <w:pPr>
              <w:jc w:val="center"/>
              <w:rPr>
                <w:rFonts w:cs="Arial"/>
                <w:i/>
              </w:rPr>
            </w:pPr>
            <w:r w:rsidRPr="003C0C45">
              <w:rPr>
                <w:rFonts w:cs="Arial"/>
                <w:i/>
              </w:rPr>
              <w:t>Vested but unexercised Awards</w:t>
            </w:r>
            <w:r w:rsidRPr="003C0C45">
              <w:rPr>
                <w:rFonts w:cs="Arial"/>
              </w:rPr>
              <w:t>*</w:t>
            </w:r>
            <w:r w:rsidR="00A872B0">
              <w:rPr>
                <w:rFonts w:cs="Arial"/>
              </w:rPr>
              <w:t>*</w:t>
            </w:r>
          </w:p>
        </w:tc>
      </w:tr>
      <w:tr w:rsidR="00CD3DFE" w:rsidRPr="003C0C45" w14:paraId="25A13AC6" w14:textId="77777777" w:rsidTr="00911CDB">
        <w:trPr>
          <w:trHeight w:val="480"/>
        </w:trPr>
        <w:tc>
          <w:tcPr>
            <w:tcW w:w="1141" w:type="pct"/>
            <w:vAlign w:val="center"/>
          </w:tcPr>
          <w:p w14:paraId="64B280C8" w14:textId="77777777" w:rsidR="00CD3DFE" w:rsidRPr="003C0C45" w:rsidRDefault="00CD3DFE" w:rsidP="00CD3DFE">
            <w:pPr>
              <w:rPr>
                <w:rFonts w:cs="Arial"/>
                <w:lang w:val="en-US"/>
              </w:rPr>
            </w:pPr>
            <w:r w:rsidRPr="003C0C45">
              <w:rPr>
                <w:rFonts w:cs="Arial"/>
                <w:lang w:val="en-US"/>
              </w:rPr>
              <w:t>Simon Thomson</w:t>
            </w:r>
          </w:p>
        </w:tc>
        <w:tc>
          <w:tcPr>
            <w:tcW w:w="752" w:type="pct"/>
            <w:vAlign w:val="center"/>
          </w:tcPr>
          <w:p w14:paraId="2F03630E" w14:textId="6CE2D137" w:rsidR="00CD3DFE" w:rsidRPr="00AC0A4E" w:rsidRDefault="0064184A" w:rsidP="00CD3DFE">
            <w:pPr>
              <w:jc w:val="center"/>
              <w:rPr>
                <w:rFonts w:cs="Arial"/>
                <w:lang w:val="en-US"/>
              </w:rPr>
            </w:pPr>
            <w:r w:rsidRPr="00AC0A4E">
              <w:rPr>
                <w:rFonts w:cs="Arial"/>
                <w:lang w:val="en-US"/>
              </w:rPr>
              <w:t>1,138,856</w:t>
            </w:r>
          </w:p>
        </w:tc>
        <w:tc>
          <w:tcPr>
            <w:tcW w:w="752" w:type="pct"/>
            <w:vAlign w:val="center"/>
          </w:tcPr>
          <w:p w14:paraId="2FFBE73B" w14:textId="4334B063" w:rsidR="00CD3DFE" w:rsidRPr="00AC0A4E" w:rsidRDefault="0064184A" w:rsidP="00CD3DFE">
            <w:pPr>
              <w:jc w:val="center"/>
              <w:rPr>
                <w:rFonts w:cs="Arial"/>
                <w:lang w:val="en-US"/>
              </w:rPr>
            </w:pPr>
            <w:r w:rsidRPr="00AC0A4E">
              <w:rPr>
                <w:rFonts w:cs="Arial"/>
                <w:lang w:val="en-US"/>
              </w:rPr>
              <w:t>1,145,089</w:t>
            </w:r>
          </w:p>
        </w:tc>
        <w:tc>
          <w:tcPr>
            <w:tcW w:w="652" w:type="pct"/>
            <w:vAlign w:val="center"/>
          </w:tcPr>
          <w:p w14:paraId="6DE27F6C" w14:textId="7142D900" w:rsidR="00CD3DFE" w:rsidRPr="006D2E6F" w:rsidRDefault="003A2CB2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0.229%</w:t>
            </w:r>
          </w:p>
        </w:tc>
        <w:tc>
          <w:tcPr>
            <w:tcW w:w="851" w:type="pct"/>
            <w:vAlign w:val="center"/>
          </w:tcPr>
          <w:p w14:paraId="253F4CE5" w14:textId="77777777" w:rsidR="00CD3DFE" w:rsidRPr="003A2CB2" w:rsidRDefault="0023599D" w:rsidP="00CD3DFE">
            <w:pPr>
              <w:jc w:val="center"/>
              <w:rPr>
                <w:rFonts w:cs="Arial"/>
              </w:rPr>
            </w:pPr>
            <w:r w:rsidRPr="003A2CB2">
              <w:rPr>
                <w:rFonts w:cs="Arial"/>
              </w:rPr>
              <w:t>2,416,842</w:t>
            </w:r>
          </w:p>
        </w:tc>
        <w:tc>
          <w:tcPr>
            <w:tcW w:w="852" w:type="pct"/>
            <w:vAlign w:val="center"/>
          </w:tcPr>
          <w:p w14:paraId="0875AE02" w14:textId="77777777" w:rsidR="00CD3DFE" w:rsidRPr="003A2CB2" w:rsidRDefault="0023599D" w:rsidP="00CD3DFE">
            <w:pPr>
              <w:jc w:val="center"/>
              <w:rPr>
                <w:rFonts w:cs="Arial"/>
              </w:rPr>
            </w:pPr>
            <w:r w:rsidRPr="003A2CB2">
              <w:rPr>
                <w:rFonts w:cs="Arial"/>
              </w:rPr>
              <w:t>176,128</w:t>
            </w:r>
          </w:p>
        </w:tc>
      </w:tr>
      <w:tr w:rsidR="00CD3DFE" w:rsidRPr="003C0C45" w14:paraId="009FDFFC" w14:textId="77777777" w:rsidTr="00911CDB">
        <w:trPr>
          <w:trHeight w:val="401"/>
        </w:trPr>
        <w:tc>
          <w:tcPr>
            <w:tcW w:w="1141" w:type="pct"/>
            <w:vAlign w:val="center"/>
          </w:tcPr>
          <w:p w14:paraId="355892AD" w14:textId="77777777" w:rsidR="00CD3DFE" w:rsidRPr="003C0C45" w:rsidRDefault="00CD3DFE" w:rsidP="00CD3DFE">
            <w:pPr>
              <w:rPr>
                <w:rFonts w:cs="Arial"/>
                <w:lang w:val="en-US"/>
              </w:rPr>
            </w:pPr>
            <w:r w:rsidRPr="003C0C45">
              <w:rPr>
                <w:rFonts w:cs="Arial"/>
                <w:lang w:val="en-US"/>
              </w:rPr>
              <w:t>James Smith</w:t>
            </w:r>
          </w:p>
        </w:tc>
        <w:tc>
          <w:tcPr>
            <w:tcW w:w="752" w:type="pct"/>
            <w:vAlign w:val="center"/>
          </w:tcPr>
          <w:p w14:paraId="21FFBB09" w14:textId="3E858BE0" w:rsidR="00CD3DFE" w:rsidRPr="00FD1689" w:rsidRDefault="0064184A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465,928</w:t>
            </w:r>
          </w:p>
        </w:tc>
        <w:tc>
          <w:tcPr>
            <w:tcW w:w="752" w:type="pct"/>
            <w:vAlign w:val="center"/>
          </w:tcPr>
          <w:p w14:paraId="6AB706FB" w14:textId="7A0E4D75" w:rsidR="00CD3DFE" w:rsidRPr="003C0C45" w:rsidRDefault="0064184A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465,928</w:t>
            </w:r>
          </w:p>
        </w:tc>
        <w:tc>
          <w:tcPr>
            <w:tcW w:w="652" w:type="pct"/>
            <w:vAlign w:val="center"/>
          </w:tcPr>
          <w:p w14:paraId="0A93CCAA" w14:textId="08B33DEB" w:rsidR="00CD3DFE" w:rsidRPr="006D2E6F" w:rsidRDefault="003A2CB2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0.093%</w:t>
            </w:r>
          </w:p>
        </w:tc>
        <w:tc>
          <w:tcPr>
            <w:tcW w:w="851" w:type="pct"/>
            <w:vAlign w:val="center"/>
          </w:tcPr>
          <w:p w14:paraId="631F4470" w14:textId="77777777" w:rsidR="00CD3DFE" w:rsidRPr="003A2CB2" w:rsidRDefault="0023599D" w:rsidP="00CD3DFE">
            <w:pPr>
              <w:jc w:val="center"/>
              <w:rPr>
                <w:rFonts w:cs="Arial"/>
              </w:rPr>
            </w:pPr>
            <w:r w:rsidRPr="003A2CB2">
              <w:rPr>
                <w:rFonts w:cs="Arial"/>
              </w:rPr>
              <w:t>1,571,928</w:t>
            </w:r>
          </w:p>
        </w:tc>
        <w:tc>
          <w:tcPr>
            <w:tcW w:w="852" w:type="pct"/>
            <w:vAlign w:val="center"/>
          </w:tcPr>
          <w:p w14:paraId="41915CBF" w14:textId="77777777" w:rsidR="00CD3DFE" w:rsidRPr="003A2CB2" w:rsidRDefault="0023599D" w:rsidP="00CD3DFE">
            <w:pPr>
              <w:jc w:val="center"/>
              <w:rPr>
                <w:rFonts w:cs="Arial"/>
              </w:rPr>
            </w:pPr>
            <w:r w:rsidRPr="003A2CB2">
              <w:rPr>
                <w:rFonts w:cs="Arial"/>
              </w:rPr>
              <w:t>114,555</w:t>
            </w:r>
          </w:p>
        </w:tc>
      </w:tr>
      <w:tr w:rsidR="00CD3DFE" w:rsidRPr="003C0C45" w14:paraId="574C9396" w14:textId="77777777" w:rsidTr="00911CDB">
        <w:trPr>
          <w:trHeight w:val="437"/>
        </w:trPr>
        <w:tc>
          <w:tcPr>
            <w:tcW w:w="1141" w:type="pct"/>
            <w:vAlign w:val="center"/>
          </w:tcPr>
          <w:p w14:paraId="10607CCC" w14:textId="77777777" w:rsidR="00CD3DFE" w:rsidRPr="003C0C45" w:rsidRDefault="00CD3DFE" w:rsidP="00CD3DFE">
            <w:pPr>
              <w:rPr>
                <w:rFonts w:cs="Arial"/>
                <w:lang w:val="en-US"/>
              </w:rPr>
            </w:pPr>
            <w:r w:rsidRPr="003C0C45">
              <w:rPr>
                <w:rFonts w:cs="Arial"/>
                <w:lang w:val="en-US"/>
              </w:rPr>
              <w:t>Eric Hathon</w:t>
            </w:r>
          </w:p>
        </w:tc>
        <w:tc>
          <w:tcPr>
            <w:tcW w:w="752" w:type="pct"/>
            <w:vAlign w:val="center"/>
          </w:tcPr>
          <w:p w14:paraId="60A06511" w14:textId="6CBCAF4D" w:rsidR="00CD3DFE" w:rsidRPr="00FD1689" w:rsidRDefault="0064184A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40,042</w:t>
            </w:r>
          </w:p>
        </w:tc>
        <w:tc>
          <w:tcPr>
            <w:tcW w:w="752" w:type="pct"/>
            <w:vAlign w:val="center"/>
          </w:tcPr>
          <w:p w14:paraId="0452230B" w14:textId="32203506" w:rsidR="00CD3DFE" w:rsidRPr="003C0C45" w:rsidRDefault="003A2CB2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42,266</w:t>
            </w:r>
          </w:p>
        </w:tc>
        <w:tc>
          <w:tcPr>
            <w:tcW w:w="652" w:type="pct"/>
            <w:vAlign w:val="center"/>
          </w:tcPr>
          <w:p w14:paraId="5E172154" w14:textId="0A85212F" w:rsidR="00CD3DFE" w:rsidRPr="006D2E6F" w:rsidRDefault="003A2CB2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0.008%</w:t>
            </w:r>
          </w:p>
        </w:tc>
        <w:tc>
          <w:tcPr>
            <w:tcW w:w="851" w:type="pct"/>
            <w:vAlign w:val="center"/>
          </w:tcPr>
          <w:p w14:paraId="38668688" w14:textId="77777777" w:rsidR="00CD3DFE" w:rsidRPr="003A2CB2" w:rsidRDefault="0023599D" w:rsidP="00CD3DFE">
            <w:pPr>
              <w:jc w:val="center"/>
              <w:rPr>
                <w:rFonts w:cs="Arial"/>
              </w:rPr>
            </w:pPr>
            <w:r w:rsidRPr="003A2CB2">
              <w:rPr>
                <w:rFonts w:cs="Arial"/>
              </w:rPr>
              <w:t>1,294,887</w:t>
            </w:r>
          </w:p>
        </w:tc>
        <w:tc>
          <w:tcPr>
            <w:tcW w:w="852" w:type="pct"/>
            <w:vAlign w:val="center"/>
          </w:tcPr>
          <w:p w14:paraId="5043E247" w14:textId="77777777" w:rsidR="00CD3DFE" w:rsidRPr="003A2CB2" w:rsidRDefault="0023599D" w:rsidP="00CD3DFE">
            <w:pPr>
              <w:jc w:val="center"/>
              <w:rPr>
                <w:rFonts w:cs="Arial"/>
              </w:rPr>
            </w:pPr>
            <w:r w:rsidRPr="003A2CB2">
              <w:rPr>
                <w:rFonts w:cs="Arial"/>
              </w:rPr>
              <w:t>94,365</w:t>
            </w:r>
          </w:p>
        </w:tc>
      </w:tr>
      <w:tr w:rsidR="00CD3DFE" w:rsidRPr="003C0C45" w14:paraId="1A4DC241" w14:textId="77777777" w:rsidTr="00911CDB">
        <w:trPr>
          <w:trHeight w:val="401"/>
        </w:trPr>
        <w:tc>
          <w:tcPr>
            <w:tcW w:w="1141" w:type="pct"/>
            <w:vAlign w:val="center"/>
          </w:tcPr>
          <w:p w14:paraId="2FC6BA82" w14:textId="77777777" w:rsidR="00CD3DFE" w:rsidRPr="003C0C45" w:rsidRDefault="00CD3DFE" w:rsidP="00CD3DFE">
            <w:pPr>
              <w:rPr>
                <w:rFonts w:cs="Arial"/>
                <w:lang w:val="en-US"/>
              </w:rPr>
            </w:pPr>
            <w:r w:rsidRPr="003C0C45">
              <w:rPr>
                <w:rFonts w:cs="Arial"/>
                <w:lang w:val="en-US"/>
              </w:rPr>
              <w:t>Paul Mayland</w:t>
            </w:r>
          </w:p>
        </w:tc>
        <w:tc>
          <w:tcPr>
            <w:tcW w:w="752" w:type="pct"/>
            <w:vAlign w:val="center"/>
          </w:tcPr>
          <w:p w14:paraId="75EDDEF8" w14:textId="3EB752C9" w:rsidR="00CD3DFE" w:rsidRPr="00FD1689" w:rsidRDefault="0064184A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540,057</w:t>
            </w:r>
          </w:p>
        </w:tc>
        <w:tc>
          <w:tcPr>
            <w:tcW w:w="752" w:type="pct"/>
            <w:vAlign w:val="center"/>
          </w:tcPr>
          <w:p w14:paraId="418FD6D1" w14:textId="0B3EFB5E" w:rsidR="00CD3DFE" w:rsidRPr="003C0C45" w:rsidRDefault="003A2CB2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546,234</w:t>
            </w:r>
          </w:p>
        </w:tc>
        <w:tc>
          <w:tcPr>
            <w:tcW w:w="652" w:type="pct"/>
            <w:vAlign w:val="center"/>
          </w:tcPr>
          <w:p w14:paraId="4630DA2E" w14:textId="6C74887C" w:rsidR="00CD3DFE" w:rsidRPr="006D2E6F" w:rsidRDefault="003A2CB2" w:rsidP="00CD3DF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0.109%</w:t>
            </w:r>
          </w:p>
        </w:tc>
        <w:tc>
          <w:tcPr>
            <w:tcW w:w="851" w:type="pct"/>
            <w:vAlign w:val="center"/>
          </w:tcPr>
          <w:p w14:paraId="5B2EF0C6" w14:textId="77777777" w:rsidR="00CD3DFE" w:rsidRPr="003A2CB2" w:rsidRDefault="0023599D" w:rsidP="00CD3DFE">
            <w:pPr>
              <w:jc w:val="center"/>
              <w:rPr>
                <w:rFonts w:cs="Arial"/>
              </w:rPr>
            </w:pPr>
            <w:r w:rsidRPr="003A2CB2">
              <w:rPr>
                <w:rFonts w:cs="Arial"/>
              </w:rPr>
              <w:t>1,351,433</w:t>
            </w:r>
          </w:p>
        </w:tc>
        <w:tc>
          <w:tcPr>
            <w:tcW w:w="852" w:type="pct"/>
            <w:vAlign w:val="center"/>
          </w:tcPr>
          <w:p w14:paraId="32D7C282" w14:textId="77777777" w:rsidR="00CD3DFE" w:rsidRPr="003A2CB2" w:rsidRDefault="0023599D" w:rsidP="00CD3DFE">
            <w:pPr>
              <w:jc w:val="center"/>
              <w:rPr>
                <w:rFonts w:cs="Arial"/>
              </w:rPr>
            </w:pPr>
            <w:r w:rsidRPr="003A2CB2">
              <w:rPr>
                <w:rFonts w:cs="Arial"/>
              </w:rPr>
              <w:t>98,486</w:t>
            </w:r>
          </w:p>
        </w:tc>
      </w:tr>
      <w:tr w:rsidR="00CD3DFE" w:rsidRPr="003C0C45" w14:paraId="2342C6D3" w14:textId="77777777" w:rsidTr="00911CDB">
        <w:trPr>
          <w:trHeight w:val="419"/>
        </w:trPr>
        <w:tc>
          <w:tcPr>
            <w:tcW w:w="1141" w:type="pct"/>
            <w:vAlign w:val="center"/>
          </w:tcPr>
          <w:p w14:paraId="342206F7" w14:textId="77777777" w:rsidR="00CD3DFE" w:rsidRPr="003C0C45" w:rsidRDefault="00CD3DFE" w:rsidP="00CD3DFE">
            <w:pPr>
              <w:rPr>
                <w:rFonts w:cs="Arial"/>
                <w:lang w:val="en-US"/>
              </w:rPr>
            </w:pPr>
            <w:r w:rsidRPr="003C0C45">
              <w:rPr>
                <w:rFonts w:cs="Arial"/>
                <w:lang w:val="en-US"/>
              </w:rPr>
              <w:t>Miles Warner</w:t>
            </w:r>
          </w:p>
        </w:tc>
        <w:tc>
          <w:tcPr>
            <w:tcW w:w="752" w:type="pct"/>
            <w:vAlign w:val="center"/>
          </w:tcPr>
          <w:p w14:paraId="1871F2EC" w14:textId="4885FABF" w:rsidR="00CD3DFE" w:rsidRPr="00FD1689" w:rsidRDefault="00B463EE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12,692</w:t>
            </w:r>
          </w:p>
        </w:tc>
        <w:tc>
          <w:tcPr>
            <w:tcW w:w="752" w:type="pct"/>
            <w:vAlign w:val="center"/>
          </w:tcPr>
          <w:p w14:paraId="6680FC42" w14:textId="02B17946" w:rsidR="00CD3DFE" w:rsidRPr="003C0C45" w:rsidRDefault="0064184A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12,692</w:t>
            </w:r>
          </w:p>
        </w:tc>
        <w:tc>
          <w:tcPr>
            <w:tcW w:w="652" w:type="pct"/>
            <w:vAlign w:val="center"/>
          </w:tcPr>
          <w:p w14:paraId="7D5A567A" w14:textId="4DA4F6F4" w:rsidR="00CD3DFE" w:rsidRPr="006D2E6F" w:rsidRDefault="003A2CB2" w:rsidP="00CD3DF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0.003%</w:t>
            </w:r>
          </w:p>
        </w:tc>
        <w:tc>
          <w:tcPr>
            <w:tcW w:w="851" w:type="pct"/>
            <w:vAlign w:val="center"/>
          </w:tcPr>
          <w:p w14:paraId="0DB472BF" w14:textId="77777777" w:rsidR="00CD3DFE" w:rsidRPr="003A2CB2" w:rsidRDefault="0023599D" w:rsidP="00CD3DFE">
            <w:pPr>
              <w:jc w:val="center"/>
              <w:rPr>
                <w:rFonts w:cs="Arial"/>
              </w:rPr>
            </w:pPr>
            <w:r w:rsidRPr="003A2CB2">
              <w:rPr>
                <w:rFonts w:cs="Arial"/>
              </w:rPr>
              <w:t>588,749</w:t>
            </w:r>
          </w:p>
        </w:tc>
        <w:tc>
          <w:tcPr>
            <w:tcW w:w="852" w:type="pct"/>
            <w:vAlign w:val="center"/>
          </w:tcPr>
          <w:p w14:paraId="5EA2B691" w14:textId="77777777" w:rsidR="00CD3DFE" w:rsidRPr="003A2CB2" w:rsidRDefault="0023599D" w:rsidP="00CD3DFE">
            <w:pPr>
              <w:jc w:val="center"/>
              <w:rPr>
                <w:rFonts w:cs="Arial"/>
              </w:rPr>
            </w:pPr>
            <w:r w:rsidRPr="003A2CB2">
              <w:rPr>
                <w:rFonts w:cs="Arial"/>
              </w:rPr>
              <w:t>42,889</w:t>
            </w:r>
          </w:p>
        </w:tc>
      </w:tr>
      <w:tr w:rsidR="00CD3DFE" w:rsidRPr="003C0C45" w14:paraId="0BA47054" w14:textId="77777777" w:rsidTr="00911CDB">
        <w:trPr>
          <w:trHeight w:val="419"/>
        </w:trPr>
        <w:tc>
          <w:tcPr>
            <w:tcW w:w="1141" w:type="pct"/>
            <w:vAlign w:val="center"/>
          </w:tcPr>
          <w:p w14:paraId="53D24094" w14:textId="77777777" w:rsidR="00CD3DFE" w:rsidRPr="003C0C45" w:rsidRDefault="00CD3DFE" w:rsidP="00CD3DFE">
            <w:pPr>
              <w:rPr>
                <w:rFonts w:cs="Arial"/>
                <w:lang w:val="en-US"/>
              </w:rPr>
            </w:pPr>
            <w:r w:rsidRPr="003C0C45">
              <w:rPr>
                <w:rFonts w:cs="Arial"/>
                <w:lang w:val="en-US"/>
              </w:rPr>
              <w:t>Douglas Taylor</w:t>
            </w:r>
          </w:p>
        </w:tc>
        <w:tc>
          <w:tcPr>
            <w:tcW w:w="752" w:type="pct"/>
            <w:vAlign w:val="center"/>
          </w:tcPr>
          <w:p w14:paraId="440442E2" w14:textId="5E86DF45" w:rsidR="00CD3DFE" w:rsidRPr="00FD1689" w:rsidRDefault="0064184A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203,739</w:t>
            </w:r>
          </w:p>
        </w:tc>
        <w:tc>
          <w:tcPr>
            <w:tcW w:w="752" w:type="pct"/>
            <w:vAlign w:val="center"/>
          </w:tcPr>
          <w:p w14:paraId="7286BF20" w14:textId="05993177" w:rsidR="00CD3DFE" w:rsidRPr="003C0C45" w:rsidRDefault="003A2CB2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207,960</w:t>
            </w:r>
          </w:p>
        </w:tc>
        <w:tc>
          <w:tcPr>
            <w:tcW w:w="652" w:type="pct"/>
            <w:vAlign w:val="center"/>
          </w:tcPr>
          <w:p w14:paraId="365F2576" w14:textId="1EFFC52E" w:rsidR="00CD3DFE" w:rsidRPr="006D2E6F" w:rsidRDefault="003A2CB2" w:rsidP="00CD3DF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0.042%</w:t>
            </w:r>
          </w:p>
        </w:tc>
        <w:tc>
          <w:tcPr>
            <w:tcW w:w="851" w:type="pct"/>
            <w:vAlign w:val="center"/>
          </w:tcPr>
          <w:p w14:paraId="7B2CFD00" w14:textId="77777777" w:rsidR="00CD3DFE" w:rsidRPr="003A2CB2" w:rsidRDefault="0023599D" w:rsidP="00CD3DFE">
            <w:pPr>
              <w:jc w:val="center"/>
              <w:rPr>
                <w:rFonts w:cs="Arial"/>
              </w:rPr>
            </w:pPr>
            <w:r w:rsidRPr="003A2CB2">
              <w:rPr>
                <w:rFonts w:cs="Arial"/>
              </w:rPr>
              <w:t>508,067</w:t>
            </w:r>
          </w:p>
        </w:tc>
        <w:tc>
          <w:tcPr>
            <w:tcW w:w="852" w:type="pct"/>
            <w:vAlign w:val="center"/>
          </w:tcPr>
          <w:p w14:paraId="07F2E0BD" w14:textId="77777777" w:rsidR="00CD3DFE" w:rsidRPr="003A2CB2" w:rsidRDefault="0023599D" w:rsidP="00CD3DFE">
            <w:pPr>
              <w:jc w:val="center"/>
              <w:rPr>
                <w:rFonts w:cs="Arial"/>
              </w:rPr>
            </w:pPr>
            <w:r w:rsidRPr="003A2CB2">
              <w:rPr>
                <w:rFonts w:cs="Arial"/>
              </w:rPr>
              <w:t>36,232</w:t>
            </w:r>
          </w:p>
        </w:tc>
      </w:tr>
      <w:tr w:rsidR="00CD3DFE" w:rsidRPr="003C0C45" w14:paraId="16C538D2" w14:textId="77777777" w:rsidTr="00911CDB">
        <w:trPr>
          <w:trHeight w:val="419"/>
        </w:trPr>
        <w:tc>
          <w:tcPr>
            <w:tcW w:w="1141" w:type="pct"/>
            <w:vAlign w:val="center"/>
          </w:tcPr>
          <w:p w14:paraId="3E760CCC" w14:textId="77777777" w:rsidR="00CD3DFE" w:rsidRPr="003C0C45" w:rsidRDefault="00CD3DFE" w:rsidP="00CD3DFE">
            <w:pPr>
              <w:rPr>
                <w:rFonts w:cs="Arial"/>
                <w:lang w:val="en-US"/>
              </w:rPr>
            </w:pPr>
            <w:r w:rsidRPr="003C0C45">
              <w:rPr>
                <w:rFonts w:cs="Arial"/>
                <w:lang w:val="en-US"/>
              </w:rPr>
              <w:t>David Nisbet</w:t>
            </w:r>
          </w:p>
        </w:tc>
        <w:tc>
          <w:tcPr>
            <w:tcW w:w="752" w:type="pct"/>
            <w:vAlign w:val="center"/>
          </w:tcPr>
          <w:p w14:paraId="51D5D67C" w14:textId="54E5D1ED" w:rsidR="00CD3DFE" w:rsidRPr="00FD1689" w:rsidRDefault="0064184A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95,295</w:t>
            </w:r>
          </w:p>
        </w:tc>
        <w:tc>
          <w:tcPr>
            <w:tcW w:w="752" w:type="pct"/>
            <w:vAlign w:val="center"/>
          </w:tcPr>
          <w:p w14:paraId="13922DDD" w14:textId="39A2BAAF" w:rsidR="00CD3DFE" w:rsidRPr="003C0C45" w:rsidRDefault="0064184A" w:rsidP="00CD3DF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95,295</w:t>
            </w:r>
          </w:p>
        </w:tc>
        <w:tc>
          <w:tcPr>
            <w:tcW w:w="652" w:type="pct"/>
            <w:vAlign w:val="center"/>
          </w:tcPr>
          <w:p w14:paraId="69F63074" w14:textId="5C8FB645" w:rsidR="00CD3DFE" w:rsidRPr="006D2E6F" w:rsidRDefault="003A2CB2" w:rsidP="00CD3DF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0.019%</w:t>
            </w:r>
          </w:p>
        </w:tc>
        <w:tc>
          <w:tcPr>
            <w:tcW w:w="851" w:type="pct"/>
            <w:vAlign w:val="center"/>
          </w:tcPr>
          <w:p w14:paraId="24ADC2AF" w14:textId="77777777" w:rsidR="00CD3DFE" w:rsidRPr="003A2CB2" w:rsidRDefault="0023599D" w:rsidP="00CD3DFE">
            <w:pPr>
              <w:jc w:val="center"/>
              <w:rPr>
                <w:rFonts w:cs="Arial"/>
              </w:rPr>
            </w:pPr>
            <w:r w:rsidRPr="003A2CB2">
              <w:rPr>
                <w:rFonts w:cs="Arial"/>
              </w:rPr>
              <w:t>651,118</w:t>
            </w:r>
          </w:p>
        </w:tc>
        <w:tc>
          <w:tcPr>
            <w:tcW w:w="852" w:type="pct"/>
            <w:vAlign w:val="center"/>
          </w:tcPr>
          <w:p w14:paraId="391286AC" w14:textId="77777777" w:rsidR="00CD3DFE" w:rsidRPr="003A2CB2" w:rsidRDefault="0023599D" w:rsidP="00CD3DFE">
            <w:pPr>
              <w:jc w:val="center"/>
              <w:rPr>
                <w:rFonts w:cs="Arial"/>
              </w:rPr>
            </w:pPr>
            <w:r w:rsidRPr="003A2CB2">
              <w:rPr>
                <w:rFonts w:cs="Arial"/>
              </w:rPr>
              <w:t>47,101</w:t>
            </w:r>
          </w:p>
        </w:tc>
      </w:tr>
    </w:tbl>
    <w:p w14:paraId="27219CF1" w14:textId="77777777" w:rsidR="003C0C45" w:rsidRPr="003C0C45" w:rsidRDefault="003C0C45" w:rsidP="003C0C45">
      <w:pPr>
        <w:jc w:val="both"/>
        <w:rPr>
          <w:rFonts w:cs="Arial"/>
          <w:sz w:val="16"/>
          <w:szCs w:val="16"/>
          <w:lang w:val="en-US"/>
        </w:rPr>
      </w:pPr>
    </w:p>
    <w:p w14:paraId="6760B12C" w14:textId="71C64800" w:rsidR="00A872B0" w:rsidRDefault="00A872B0" w:rsidP="003C0C45">
      <w:pPr>
        <w:jc w:val="both"/>
        <w:rPr>
          <w:rFonts w:cs="Arial"/>
          <w:sz w:val="16"/>
          <w:szCs w:val="16"/>
          <w:lang w:val="en-US"/>
        </w:rPr>
      </w:pPr>
      <w:r>
        <w:rPr>
          <w:rFonts w:cs="Arial"/>
          <w:sz w:val="16"/>
          <w:szCs w:val="16"/>
          <w:lang w:val="en-US"/>
        </w:rPr>
        <w:t xml:space="preserve">* This share number is the relevant holding </w:t>
      </w:r>
      <w:r w:rsidR="00453DD6">
        <w:rPr>
          <w:rFonts w:cs="Arial"/>
          <w:sz w:val="16"/>
          <w:szCs w:val="16"/>
          <w:lang w:val="en-US"/>
        </w:rPr>
        <w:t>following</w:t>
      </w:r>
      <w:r>
        <w:rPr>
          <w:rFonts w:cs="Arial"/>
          <w:sz w:val="16"/>
          <w:szCs w:val="16"/>
          <w:lang w:val="en-US"/>
        </w:rPr>
        <w:t xml:space="preserve"> the 11 for 13 ordinary share consolidation that took place on 11 January 2021.</w:t>
      </w:r>
      <w:r>
        <w:rPr>
          <w:rFonts w:cs="Arial"/>
          <w:sz w:val="16"/>
          <w:szCs w:val="16"/>
          <w:lang w:val="en-US"/>
        </w:rPr>
        <w:tab/>
      </w:r>
    </w:p>
    <w:p w14:paraId="4F8E9C6C" w14:textId="607443FA" w:rsidR="003C0C45" w:rsidRPr="003C0C45" w:rsidRDefault="003C0C45" w:rsidP="003C0C45">
      <w:pPr>
        <w:jc w:val="both"/>
        <w:rPr>
          <w:rFonts w:cs="Arial"/>
          <w:sz w:val="16"/>
          <w:szCs w:val="16"/>
          <w:lang w:val="en-US"/>
        </w:rPr>
      </w:pPr>
      <w:r w:rsidRPr="003C0C45">
        <w:rPr>
          <w:rFonts w:cs="Arial"/>
          <w:sz w:val="16"/>
          <w:szCs w:val="16"/>
          <w:lang w:val="en-US"/>
        </w:rPr>
        <w:t>*</w:t>
      </w:r>
      <w:r w:rsidR="00A872B0">
        <w:rPr>
          <w:rFonts w:cs="Arial"/>
          <w:sz w:val="16"/>
          <w:szCs w:val="16"/>
          <w:lang w:val="en-US"/>
        </w:rPr>
        <w:t>*</w:t>
      </w:r>
      <w:r w:rsidRPr="003C0C45">
        <w:rPr>
          <w:rFonts w:cs="Arial"/>
          <w:sz w:val="16"/>
          <w:szCs w:val="16"/>
          <w:lang w:val="en-US"/>
        </w:rPr>
        <w:t xml:space="preserve"> This c</w:t>
      </w:r>
      <w:r w:rsidR="0023599D">
        <w:rPr>
          <w:rFonts w:cs="Arial"/>
          <w:sz w:val="16"/>
          <w:szCs w:val="16"/>
          <w:lang w:val="en-US"/>
        </w:rPr>
        <w:t>olumn includes all outstanding a</w:t>
      </w:r>
      <w:r w:rsidRPr="003C0C45">
        <w:rPr>
          <w:rFonts w:cs="Arial"/>
          <w:sz w:val="16"/>
          <w:szCs w:val="16"/>
          <w:lang w:val="en-US"/>
        </w:rPr>
        <w:t xml:space="preserve">wards that have vested following the expiry of the applicable performance period, regardless of whether or not they are currently capable of being exercised under the rules of the </w:t>
      </w:r>
      <w:r w:rsidR="0023599D">
        <w:rPr>
          <w:rFonts w:cs="Arial"/>
          <w:sz w:val="16"/>
          <w:szCs w:val="16"/>
          <w:lang w:val="en-US"/>
        </w:rPr>
        <w:t xml:space="preserve">2017 </w:t>
      </w:r>
      <w:r w:rsidRPr="003C0C45">
        <w:rPr>
          <w:rFonts w:cs="Arial"/>
          <w:sz w:val="16"/>
          <w:szCs w:val="16"/>
          <w:lang w:val="en-US"/>
        </w:rPr>
        <w:t>LTIP.</w:t>
      </w:r>
    </w:p>
    <w:p w14:paraId="2D13B107" w14:textId="77777777" w:rsidR="003C0C45" w:rsidRPr="003C0C45" w:rsidRDefault="003C0C45" w:rsidP="003C0C45">
      <w:pPr>
        <w:jc w:val="both"/>
        <w:rPr>
          <w:rFonts w:cs="Arial"/>
          <w:sz w:val="16"/>
          <w:szCs w:val="16"/>
          <w:lang w:val="en-US"/>
        </w:rPr>
      </w:pPr>
    </w:p>
    <w:p w14:paraId="677B328E" w14:textId="77777777" w:rsidR="0067041C" w:rsidRPr="00E95233" w:rsidRDefault="0067041C" w:rsidP="0067041C">
      <w:r w:rsidRPr="00E95233">
        <w:t>The following notifications are intended to satisfy the Company’s obligations under Article 19(3) of EU Regulation No 596/2014 (the Market Abuse Regulation).</w:t>
      </w:r>
    </w:p>
    <w:p w14:paraId="7C4F69B1" w14:textId="77777777" w:rsidR="0067041C" w:rsidRPr="00E95233" w:rsidRDefault="0067041C" w:rsidP="0067041C">
      <w:pPr>
        <w:rPr>
          <w:rFonts w:cs="Arial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67041C" w:rsidRPr="00E95233" w14:paraId="31F22E64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6B206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385A6E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  <w:lang w:eastAsia="en-US"/>
              </w:rPr>
              <w:t>Details of the person discharging managerial responsibilities/person closely associated</w:t>
            </w:r>
          </w:p>
        </w:tc>
      </w:tr>
      <w:tr w:rsidR="0067041C" w:rsidRPr="00E95233" w14:paraId="35C16B18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A728B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0B85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7BE308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Simon Thomson</w:t>
            </w:r>
          </w:p>
        </w:tc>
      </w:tr>
      <w:tr w:rsidR="0067041C" w:rsidRPr="00E95233" w14:paraId="5F3BF39E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6529B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0BEAD0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  <w:lang w:eastAsia="en-US"/>
              </w:rPr>
              <w:t>Reason for the notification</w:t>
            </w:r>
          </w:p>
        </w:tc>
      </w:tr>
      <w:tr w:rsidR="0067041C" w:rsidRPr="00E95233" w14:paraId="79D2B15F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DEE3C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349C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542315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Chief Executive</w:t>
            </w:r>
          </w:p>
        </w:tc>
      </w:tr>
      <w:tr w:rsidR="0067041C" w:rsidRPr="00E95233" w14:paraId="41992D5B" w14:textId="77777777" w:rsidTr="00625DF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B7410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48AE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0FDE5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67041C" w:rsidRPr="00E95233" w14:paraId="61712E2E" w14:textId="77777777" w:rsidTr="00625DF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DDCF1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1DE13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  <w:lang w:eastAsia="en-US"/>
              </w:rPr>
              <w:t>Details of the issuer, emission allowance market participant, auction platform, auctioneer or auction monitor</w:t>
            </w:r>
          </w:p>
        </w:tc>
      </w:tr>
      <w:tr w:rsidR="0067041C" w:rsidRPr="00E95233" w14:paraId="5A745A39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58C27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8E28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07425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Cairn Energy PLC</w:t>
            </w:r>
          </w:p>
        </w:tc>
      </w:tr>
      <w:tr w:rsidR="0067041C" w:rsidRPr="00E95233" w14:paraId="272406C0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6320C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BB12" w14:textId="77777777" w:rsidR="0067041C" w:rsidRPr="002F13F1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2F13F1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76AAC" w14:textId="0581F983" w:rsidR="0067041C" w:rsidRPr="002F13F1" w:rsidRDefault="0067041C" w:rsidP="00625DFF">
            <w:pPr>
              <w:ind w:left="154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2F13F1">
              <w:rPr>
                <w:rFonts w:eastAsia="Arial Unicode MS" w:cs="Arial" w:hint="eastAsia"/>
                <w:lang w:val="en-US"/>
              </w:rPr>
              <w:t>213800ZJEUQ8ZOC9AL24</w:t>
            </w:r>
          </w:p>
        </w:tc>
      </w:tr>
      <w:tr w:rsidR="0067041C" w:rsidRPr="00E95233" w14:paraId="4568749A" w14:textId="77777777" w:rsidTr="00625DF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3CB6B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3F8F46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  <w:lang w:eastAsia="en-US"/>
              </w:rPr>
              <w:t>Details of the transaction(s): section to be repeated for (</w:t>
            </w:r>
            <w:proofErr w:type="spellStart"/>
            <w:r w:rsidRPr="00E95233">
              <w:rPr>
                <w:b/>
                <w:lang w:eastAsia="en-US"/>
              </w:rPr>
              <w:t>i</w:t>
            </w:r>
            <w:proofErr w:type="spellEnd"/>
            <w:r w:rsidRPr="00E95233">
              <w:rPr>
                <w:b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67041C" w:rsidRPr="00E95233" w14:paraId="44760796" w14:textId="77777777" w:rsidTr="00625DFF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34E21AB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E8245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5889982" w14:textId="77777777" w:rsidR="0067041C" w:rsidRPr="00E95233" w:rsidRDefault="0067041C" w:rsidP="00625DFF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 xml:space="preserve">Ordinary shares of </w:t>
            </w:r>
            <w:r w:rsidR="002D107A">
              <w:rPr>
                <w:rFonts w:eastAsiaTheme="minorEastAsia" w:cs="Arial"/>
              </w:rPr>
              <w:t>2</w:t>
            </w:r>
            <w:r>
              <w:rPr>
                <w:rFonts w:eastAsiaTheme="minorEastAsia" w:cs="Arial"/>
              </w:rPr>
              <w:t>1/</w:t>
            </w:r>
            <w:r w:rsidR="002D107A">
              <w:rPr>
                <w:rFonts w:eastAsiaTheme="minorEastAsia" w:cs="Arial"/>
              </w:rPr>
              <w:t>13</w:t>
            </w:r>
            <w:r>
              <w:rPr>
                <w:rFonts w:eastAsiaTheme="minorEastAsia" w:cs="Arial"/>
              </w:rPr>
              <w:t xml:space="preserve"> </w:t>
            </w:r>
            <w:r w:rsidRPr="00E95233">
              <w:rPr>
                <w:rFonts w:eastAsiaTheme="minorEastAsia" w:cs="Arial"/>
                <w:szCs w:val="24"/>
              </w:rPr>
              <w:t xml:space="preserve">pence each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67041C" w:rsidRPr="00E95233" w14:paraId="0BF394D6" w14:textId="77777777" w:rsidTr="00625DFF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DECE4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DA24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CE85E6" w14:textId="77777777" w:rsidR="0067041C" w:rsidRPr="00E95233" w:rsidRDefault="002D107A" w:rsidP="00625DFF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cs="Arial"/>
                <w:color w:val="16202C"/>
              </w:rPr>
              <w:t>GB00BN0SMB92</w:t>
            </w:r>
          </w:p>
        </w:tc>
      </w:tr>
      <w:tr w:rsidR="0067041C" w:rsidRPr="00E95233" w14:paraId="2FFA405E" w14:textId="77777777" w:rsidTr="00625DFF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185C6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C0F7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89AE0" w14:textId="77777777" w:rsidR="0067041C" w:rsidRPr="00E95233" w:rsidRDefault="002D107A" w:rsidP="00DE74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</w:t>
            </w:r>
            <w:r w:rsidR="0067041C">
              <w:rPr>
                <w:rFonts w:eastAsiaTheme="minorEastAsia" w:cs="Arial"/>
              </w:rPr>
              <w:t>hares purchased under the Company’s all-employee Share Incentive Plan (2010)</w:t>
            </w:r>
            <w:r>
              <w:rPr>
                <w:rFonts w:eastAsiaTheme="minorEastAsia" w:cs="Arial"/>
              </w:rPr>
              <w:t xml:space="preserve"> following </w:t>
            </w:r>
            <w:r w:rsidR="00DE741A">
              <w:rPr>
                <w:rFonts w:eastAsiaTheme="minorEastAsia" w:cs="Arial"/>
              </w:rPr>
              <w:t xml:space="preserve">an </w:t>
            </w:r>
            <w:r>
              <w:rPr>
                <w:rFonts w:eastAsiaTheme="minorEastAsia" w:cs="Arial"/>
              </w:rPr>
              <w:t xml:space="preserve">election to reinvest </w:t>
            </w:r>
            <w:r w:rsidR="00DE741A">
              <w:rPr>
                <w:rFonts w:eastAsiaTheme="minorEastAsia" w:cs="Arial"/>
              </w:rPr>
              <w:t xml:space="preserve">a special </w:t>
            </w:r>
            <w:r>
              <w:rPr>
                <w:rFonts w:eastAsiaTheme="minorEastAsia" w:cs="Arial"/>
              </w:rPr>
              <w:t>dividend</w:t>
            </w:r>
            <w:r w:rsidR="001A5EDF">
              <w:rPr>
                <w:rFonts w:eastAsiaTheme="minorEastAsia" w:cs="Arial"/>
              </w:rPr>
              <w:t>.</w:t>
            </w:r>
          </w:p>
        </w:tc>
      </w:tr>
      <w:tr w:rsidR="0067041C" w:rsidRPr="00E95233" w14:paraId="6CDEB766" w14:textId="77777777" w:rsidTr="00625DFF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42A72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1828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67041C" w:rsidRPr="00E95233" w14:paraId="153005F2" w14:textId="77777777" w:rsidTr="00625DFF">
              <w:tc>
                <w:tcPr>
                  <w:tcW w:w="3255" w:type="dxa"/>
                  <w:vAlign w:val="center"/>
                </w:tcPr>
                <w:p w14:paraId="5174679C" w14:textId="77777777" w:rsidR="0067041C" w:rsidRPr="00E95233" w:rsidRDefault="0067041C" w:rsidP="00625DF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79B7A489" w14:textId="77777777" w:rsidR="0067041C" w:rsidRPr="00E95233" w:rsidRDefault="0067041C" w:rsidP="00625DF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67041C" w:rsidRPr="00E95233" w14:paraId="34D59DBE" w14:textId="77777777" w:rsidTr="00625DFF">
              <w:tc>
                <w:tcPr>
                  <w:tcW w:w="3255" w:type="dxa"/>
                  <w:vAlign w:val="center"/>
                </w:tcPr>
                <w:p w14:paraId="6E60D739" w14:textId="17CE4EE3" w:rsidR="0067041C" w:rsidRPr="00E95233" w:rsidRDefault="009D01B4" w:rsidP="00A62EA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3A2CB2">
                    <w:rPr>
                      <w:rFonts w:eastAsiaTheme="minorEastAsia" w:cs="Arial"/>
                    </w:rPr>
                    <w:t>1.773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2D9C65" w14:textId="664DD4DA" w:rsidR="0067041C" w:rsidRPr="00E95233" w:rsidRDefault="003A2CB2" w:rsidP="00625DF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cs="Arial"/>
                    </w:rPr>
                    <w:t>6</w:t>
                  </w:r>
                  <w:r w:rsidR="00AC0A4E">
                    <w:rPr>
                      <w:rFonts w:cs="Arial"/>
                    </w:rPr>
                    <w:t>,</w:t>
                  </w:r>
                  <w:r>
                    <w:rPr>
                      <w:rFonts w:cs="Arial"/>
                    </w:rPr>
                    <w:t>233</w:t>
                  </w:r>
                </w:p>
              </w:tc>
            </w:tr>
          </w:tbl>
          <w:p w14:paraId="02114DB5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67041C" w:rsidRPr="00E95233" w14:paraId="2813A14F" w14:textId="77777777" w:rsidTr="00625DFF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EA910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8FAD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D4C908E" w14:textId="77777777" w:rsidR="0067041C" w:rsidRPr="00E95233" w:rsidRDefault="0067041C" w:rsidP="0067041C">
            <w:pPr>
              <w:widowControl w:val="0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4D524D9C" w14:textId="77777777" w:rsidR="0067041C" w:rsidRPr="00E95233" w:rsidRDefault="0067041C" w:rsidP="0067041C">
            <w:pPr>
              <w:widowControl w:val="0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83216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3265CB8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1BFD9CF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67041C" w:rsidRPr="00E95233" w14:paraId="4307FE9D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2015A4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E210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EF3D1B" w14:textId="150C085B" w:rsidR="0067041C" w:rsidRPr="00E95233" w:rsidRDefault="003A2CB2" w:rsidP="0026042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2 February 2021</w:t>
            </w:r>
          </w:p>
        </w:tc>
      </w:tr>
      <w:tr w:rsidR="0067041C" w:rsidRPr="00E95233" w14:paraId="45190542" w14:textId="77777777" w:rsidTr="00625DFF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FA3A7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69B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E2974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6BEB7EB4" w14:textId="77777777" w:rsidR="0067041C" w:rsidRPr="00E95233" w:rsidRDefault="0067041C" w:rsidP="0067041C"/>
    <w:p w14:paraId="4468B567" w14:textId="77777777" w:rsidR="0067041C" w:rsidRPr="00E95233" w:rsidRDefault="0067041C" w:rsidP="0067041C"/>
    <w:p w14:paraId="00040D8F" w14:textId="77777777" w:rsidR="0067041C" w:rsidRPr="00E95233" w:rsidRDefault="0067041C" w:rsidP="0067041C"/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67041C" w:rsidRPr="00E95233" w14:paraId="1BC8D5AD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8D1F5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EB87E3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  <w:lang w:eastAsia="en-US"/>
              </w:rPr>
              <w:t>Details of the person discharging managerial responsibilities/person closely associated</w:t>
            </w:r>
          </w:p>
        </w:tc>
      </w:tr>
      <w:tr w:rsidR="0067041C" w:rsidRPr="00E95233" w14:paraId="7D5CD5B3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A08E5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F1C3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EA500" w14:textId="77777777" w:rsidR="0067041C" w:rsidRPr="00E95233" w:rsidRDefault="003C0C45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Eric Hathon</w:t>
            </w:r>
          </w:p>
        </w:tc>
      </w:tr>
      <w:tr w:rsidR="0067041C" w:rsidRPr="00E95233" w14:paraId="68E67725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F3906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B84E7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  <w:lang w:eastAsia="en-US"/>
              </w:rPr>
              <w:t>Reason for the notification</w:t>
            </w:r>
          </w:p>
        </w:tc>
      </w:tr>
      <w:tr w:rsidR="0067041C" w:rsidRPr="00E95233" w14:paraId="7290161C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5AF7D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4192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28549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Director of Exploration</w:t>
            </w:r>
          </w:p>
        </w:tc>
      </w:tr>
      <w:tr w:rsidR="0067041C" w:rsidRPr="00E95233" w14:paraId="0C81C4FB" w14:textId="77777777" w:rsidTr="00625DF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D3326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FFC3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53B635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67041C" w:rsidRPr="00E95233" w14:paraId="1BEA8757" w14:textId="77777777" w:rsidTr="00625DF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E8DB9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3FE96B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  <w:lang w:eastAsia="en-US"/>
              </w:rPr>
              <w:t>Details of the issuer, emission allowance market participant, auction platform, auctioneer or auction monitor</w:t>
            </w:r>
          </w:p>
        </w:tc>
      </w:tr>
      <w:tr w:rsidR="0067041C" w:rsidRPr="00E95233" w14:paraId="08031F71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6C370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6753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4C8123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Cairn Energy PLC</w:t>
            </w:r>
          </w:p>
        </w:tc>
      </w:tr>
      <w:tr w:rsidR="0067041C" w:rsidRPr="00E95233" w14:paraId="241F910C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9F21C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27FE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4CECA6" w14:textId="4E7F9321" w:rsidR="0067041C" w:rsidRPr="00E95233" w:rsidRDefault="0067041C" w:rsidP="00625DFF">
            <w:pPr>
              <w:ind w:left="154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E95233">
              <w:rPr>
                <w:rFonts w:eastAsia="Arial Unicode MS" w:cs="Arial" w:hint="eastAsia"/>
                <w:lang w:val="en-US"/>
              </w:rPr>
              <w:t>213800ZJEUQ8ZOC9AL24</w:t>
            </w:r>
          </w:p>
        </w:tc>
      </w:tr>
      <w:tr w:rsidR="0067041C" w:rsidRPr="00E95233" w14:paraId="5B9AEB1D" w14:textId="77777777" w:rsidTr="00625DF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C2CAF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1B1FAC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  <w:lang w:eastAsia="en-US"/>
              </w:rPr>
              <w:t>Details of the transaction(s): section to be repeated for (</w:t>
            </w:r>
            <w:proofErr w:type="spellStart"/>
            <w:r w:rsidRPr="00E95233">
              <w:rPr>
                <w:b/>
                <w:lang w:eastAsia="en-US"/>
              </w:rPr>
              <w:t>i</w:t>
            </w:r>
            <w:proofErr w:type="spellEnd"/>
            <w:r w:rsidRPr="00E95233">
              <w:rPr>
                <w:b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2D107A" w:rsidRPr="00E95233" w14:paraId="4BC2190A" w14:textId="77777777" w:rsidTr="00625DFF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13AAB73" w14:textId="77777777" w:rsidR="002D107A" w:rsidRPr="00E95233" w:rsidRDefault="002D107A" w:rsidP="002D1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D0348B" w14:textId="77777777" w:rsidR="002D107A" w:rsidRPr="00E95233" w:rsidRDefault="002D107A" w:rsidP="002D1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87C8334" w14:textId="77777777" w:rsidR="002D107A" w:rsidRPr="00E95233" w:rsidRDefault="002D107A" w:rsidP="002D107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 xml:space="preserve">Ordinary shares of </w:t>
            </w:r>
            <w:r>
              <w:rPr>
                <w:rFonts w:eastAsiaTheme="minorEastAsia" w:cs="Arial"/>
              </w:rPr>
              <w:t xml:space="preserve">21/13 </w:t>
            </w:r>
            <w:r w:rsidRPr="00E95233">
              <w:rPr>
                <w:rFonts w:eastAsiaTheme="minorEastAsia" w:cs="Arial"/>
                <w:szCs w:val="24"/>
              </w:rPr>
              <w:t xml:space="preserve">pence each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2D107A" w:rsidRPr="00E95233" w14:paraId="7FEF8B55" w14:textId="77777777" w:rsidTr="00625DFF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7627B" w14:textId="77777777" w:rsidR="002D107A" w:rsidRPr="00E95233" w:rsidRDefault="002D107A" w:rsidP="002D1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FE51" w14:textId="77777777" w:rsidR="002D107A" w:rsidRPr="00E95233" w:rsidRDefault="002D107A" w:rsidP="002D1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E7086" w14:textId="77777777" w:rsidR="002D107A" w:rsidRPr="00E95233" w:rsidRDefault="002D107A" w:rsidP="002D107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cs="Arial"/>
                <w:color w:val="16202C"/>
              </w:rPr>
              <w:t>GB00BN0SMB92</w:t>
            </w:r>
          </w:p>
        </w:tc>
      </w:tr>
      <w:tr w:rsidR="0067041C" w:rsidRPr="00E95233" w14:paraId="4291B199" w14:textId="77777777" w:rsidTr="00625DFF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14719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071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7C808" w14:textId="77777777" w:rsidR="0067041C" w:rsidRPr="00E95233" w:rsidRDefault="00DE741A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Company’s all-employee Share Incentive Plan (2010) following an election to reinvest a special dividend.</w:t>
            </w:r>
          </w:p>
        </w:tc>
      </w:tr>
      <w:tr w:rsidR="0067041C" w:rsidRPr="00E95233" w14:paraId="5688B9E2" w14:textId="77777777" w:rsidTr="00625DFF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71A7D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1A6F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67041C" w:rsidRPr="00E95233" w14:paraId="770793C1" w14:textId="77777777" w:rsidTr="00625DFF">
              <w:tc>
                <w:tcPr>
                  <w:tcW w:w="3255" w:type="dxa"/>
                  <w:vAlign w:val="center"/>
                </w:tcPr>
                <w:p w14:paraId="5B22D2D0" w14:textId="77777777" w:rsidR="0067041C" w:rsidRPr="00E95233" w:rsidRDefault="0067041C" w:rsidP="00625DF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1FE6222" w14:textId="77777777" w:rsidR="0067041C" w:rsidRPr="00E95233" w:rsidRDefault="0067041C" w:rsidP="00625DF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67041C" w:rsidRPr="00E95233" w14:paraId="345AC4FC" w14:textId="77777777" w:rsidTr="00625DFF">
              <w:tc>
                <w:tcPr>
                  <w:tcW w:w="3255" w:type="dxa"/>
                  <w:vAlign w:val="center"/>
                </w:tcPr>
                <w:p w14:paraId="78BC5868" w14:textId="56F5E281" w:rsidR="0067041C" w:rsidRPr="00E95233" w:rsidRDefault="009D01B4" w:rsidP="003C0C4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3A2CB2">
                    <w:rPr>
                      <w:rFonts w:eastAsiaTheme="minorEastAsia" w:cs="Arial"/>
                    </w:rPr>
                    <w:t>1.773</w:t>
                  </w:r>
                </w:p>
              </w:tc>
              <w:tc>
                <w:tcPr>
                  <w:tcW w:w="3255" w:type="dxa"/>
                  <w:vAlign w:val="center"/>
                </w:tcPr>
                <w:p w14:paraId="6C989360" w14:textId="0F3C42B7" w:rsidR="0067041C" w:rsidRPr="00E95233" w:rsidRDefault="003A2CB2" w:rsidP="00567BB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cs="Arial"/>
                    </w:rPr>
                    <w:t>2</w:t>
                  </w:r>
                  <w:r w:rsidR="00AC0A4E">
                    <w:rPr>
                      <w:rFonts w:cs="Arial"/>
                    </w:rPr>
                    <w:t>,</w:t>
                  </w:r>
                  <w:r>
                    <w:rPr>
                      <w:rFonts w:cs="Arial"/>
                    </w:rPr>
                    <w:t>224</w:t>
                  </w:r>
                </w:p>
              </w:tc>
            </w:tr>
          </w:tbl>
          <w:p w14:paraId="1943BBCF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67041C" w:rsidRPr="00E95233" w14:paraId="05C9512D" w14:textId="77777777" w:rsidTr="00625DFF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FEA18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7023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3ADECB40" w14:textId="77777777" w:rsidR="0067041C" w:rsidRPr="00E95233" w:rsidRDefault="0067041C" w:rsidP="0067041C">
            <w:pPr>
              <w:widowControl w:val="0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10283C9B" w14:textId="77777777" w:rsidR="0067041C" w:rsidRPr="00E95233" w:rsidRDefault="0067041C" w:rsidP="0067041C">
            <w:pPr>
              <w:widowControl w:val="0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9BE6D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4FB5DAC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A4575E9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67041C" w:rsidRPr="00E95233" w14:paraId="6C1E2A7E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BE38C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2E2D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956A7" w14:textId="78813706" w:rsidR="0067041C" w:rsidRPr="00E95233" w:rsidRDefault="003A2CB2" w:rsidP="0026042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2 February 2021</w:t>
            </w:r>
          </w:p>
        </w:tc>
      </w:tr>
      <w:tr w:rsidR="0067041C" w:rsidRPr="00E95233" w14:paraId="4584F3A7" w14:textId="77777777" w:rsidTr="00625DFF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11E34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A99A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74453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18841CCC" w14:textId="77777777" w:rsidR="0067041C" w:rsidRPr="00E95233" w:rsidRDefault="0067041C" w:rsidP="0067041C"/>
    <w:p w14:paraId="1F516A65" w14:textId="77777777" w:rsidR="0067041C" w:rsidRPr="00E95233" w:rsidRDefault="0067041C" w:rsidP="0067041C"/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67041C" w:rsidRPr="00E95233" w14:paraId="7D859010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B6595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4C424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  <w:lang w:eastAsia="en-US"/>
              </w:rPr>
              <w:t>Details of the person discharging managerial responsibilities/person closely associated</w:t>
            </w:r>
          </w:p>
        </w:tc>
      </w:tr>
      <w:tr w:rsidR="0067041C" w:rsidRPr="00E95233" w14:paraId="271159FC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4A0BD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2DEE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9D0F0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Paul Mayland</w:t>
            </w:r>
          </w:p>
        </w:tc>
      </w:tr>
      <w:tr w:rsidR="0067041C" w:rsidRPr="00E95233" w14:paraId="441125AD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5E75F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A04A5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  <w:lang w:eastAsia="en-US"/>
              </w:rPr>
              <w:t>Reason for the notification</w:t>
            </w:r>
          </w:p>
        </w:tc>
      </w:tr>
      <w:tr w:rsidR="0067041C" w:rsidRPr="00E95233" w14:paraId="7E0CCD48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F41BA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5B47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FA368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Chief Operating Officer</w:t>
            </w:r>
          </w:p>
        </w:tc>
      </w:tr>
      <w:tr w:rsidR="0067041C" w:rsidRPr="00E95233" w14:paraId="63D13DB0" w14:textId="77777777" w:rsidTr="00625DF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C30B3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3272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D1D14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67041C" w:rsidRPr="00E95233" w14:paraId="3B49FBA9" w14:textId="77777777" w:rsidTr="00625DF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87655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207C36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  <w:lang w:eastAsia="en-US"/>
              </w:rPr>
              <w:t>Details of the issuer, emission allowance market participant, auction platform, auctioneer or auction monitor</w:t>
            </w:r>
          </w:p>
        </w:tc>
      </w:tr>
      <w:tr w:rsidR="0067041C" w:rsidRPr="00E95233" w14:paraId="0EC21D5D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84648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015D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A1204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Cairn Energy PLC</w:t>
            </w:r>
          </w:p>
        </w:tc>
      </w:tr>
      <w:tr w:rsidR="0067041C" w:rsidRPr="00E95233" w14:paraId="256557DC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D4091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D4F6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40DCD9" w14:textId="6A9F7400" w:rsidR="0067041C" w:rsidRPr="00E95233" w:rsidRDefault="00AC0A4E" w:rsidP="00AC0A4E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Arial Unicode MS" w:cs="Arial"/>
                <w:lang w:val="en-US"/>
              </w:rPr>
              <w:t xml:space="preserve"> </w:t>
            </w:r>
            <w:r w:rsidR="0067041C" w:rsidRPr="00E95233">
              <w:rPr>
                <w:rFonts w:eastAsia="Arial Unicode MS" w:cs="Arial" w:hint="eastAsia"/>
                <w:lang w:val="en-US"/>
              </w:rPr>
              <w:t>213800ZJEUQ8ZOC9AL24</w:t>
            </w:r>
          </w:p>
        </w:tc>
      </w:tr>
      <w:tr w:rsidR="0067041C" w:rsidRPr="00E95233" w14:paraId="01FF9E8B" w14:textId="77777777" w:rsidTr="00625DF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86378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CD68C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  <w:lang w:eastAsia="en-US"/>
              </w:rPr>
              <w:t>Details of the transaction(s): section to be repeated for (</w:t>
            </w:r>
            <w:proofErr w:type="spellStart"/>
            <w:r w:rsidRPr="00E95233">
              <w:rPr>
                <w:b/>
                <w:lang w:eastAsia="en-US"/>
              </w:rPr>
              <w:t>i</w:t>
            </w:r>
            <w:proofErr w:type="spellEnd"/>
            <w:r w:rsidRPr="00E95233">
              <w:rPr>
                <w:b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2D107A" w:rsidRPr="00E95233" w14:paraId="28987C6F" w14:textId="77777777" w:rsidTr="00625DFF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671DA44" w14:textId="77777777" w:rsidR="002D107A" w:rsidRPr="00E95233" w:rsidRDefault="002D107A" w:rsidP="002D1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CF3D26" w14:textId="77777777" w:rsidR="002D107A" w:rsidRPr="00E95233" w:rsidRDefault="002D107A" w:rsidP="002D1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1698822" w14:textId="77777777" w:rsidR="002D107A" w:rsidRPr="00E95233" w:rsidRDefault="002D107A" w:rsidP="002D107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 xml:space="preserve">Ordinary shares of </w:t>
            </w:r>
            <w:r>
              <w:rPr>
                <w:rFonts w:eastAsiaTheme="minorEastAsia" w:cs="Arial"/>
              </w:rPr>
              <w:t xml:space="preserve">21/13 </w:t>
            </w:r>
            <w:r w:rsidRPr="00E95233">
              <w:rPr>
                <w:rFonts w:eastAsiaTheme="minorEastAsia" w:cs="Arial"/>
                <w:szCs w:val="24"/>
              </w:rPr>
              <w:t xml:space="preserve">pence each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2D107A" w:rsidRPr="00E95233" w14:paraId="5CC5DF13" w14:textId="77777777" w:rsidTr="00625DFF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A805E" w14:textId="77777777" w:rsidR="002D107A" w:rsidRPr="00E95233" w:rsidRDefault="002D107A" w:rsidP="002D1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9261" w14:textId="77777777" w:rsidR="002D107A" w:rsidRPr="00E95233" w:rsidRDefault="002D107A" w:rsidP="002D1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3B735F" w14:textId="77777777" w:rsidR="002D107A" w:rsidRPr="00E95233" w:rsidRDefault="002D107A" w:rsidP="002D107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cs="Arial"/>
                <w:color w:val="16202C"/>
              </w:rPr>
              <w:t>GB00BN0SMB92</w:t>
            </w:r>
          </w:p>
        </w:tc>
      </w:tr>
      <w:tr w:rsidR="0067041C" w:rsidRPr="00E95233" w14:paraId="5AA094A9" w14:textId="77777777" w:rsidTr="00625DFF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BB465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4E07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021306" w14:textId="77777777" w:rsidR="0067041C" w:rsidRPr="00E95233" w:rsidRDefault="00DE741A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Company’s all-employee Share Incentive Plan (2010) following an election to reinvest a special dividend.</w:t>
            </w:r>
          </w:p>
        </w:tc>
      </w:tr>
      <w:tr w:rsidR="0067041C" w:rsidRPr="00E95233" w14:paraId="40E55C62" w14:textId="77777777" w:rsidTr="00625DFF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73FC2C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0996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67041C" w:rsidRPr="00E95233" w14:paraId="3F46388E" w14:textId="77777777" w:rsidTr="00625DFF">
              <w:tc>
                <w:tcPr>
                  <w:tcW w:w="3255" w:type="dxa"/>
                  <w:vAlign w:val="center"/>
                </w:tcPr>
                <w:p w14:paraId="5AE2A505" w14:textId="77777777" w:rsidR="0067041C" w:rsidRPr="00E95233" w:rsidRDefault="0067041C" w:rsidP="00625DF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43E18F60" w14:textId="77777777" w:rsidR="0067041C" w:rsidRPr="00E95233" w:rsidRDefault="0067041C" w:rsidP="00625DF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67041C" w:rsidRPr="00E95233" w14:paraId="54D51A1A" w14:textId="77777777" w:rsidTr="00625DFF">
              <w:tc>
                <w:tcPr>
                  <w:tcW w:w="3255" w:type="dxa"/>
                  <w:vAlign w:val="center"/>
                </w:tcPr>
                <w:p w14:paraId="03F481E5" w14:textId="7ED79314" w:rsidR="0067041C" w:rsidRPr="00E95233" w:rsidRDefault="0067041C" w:rsidP="003C0C4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 w:rsidRPr="00E95233">
                    <w:rPr>
                      <w:rFonts w:eastAsiaTheme="minorEastAsia" w:cs="Arial"/>
                    </w:rPr>
                    <w:t>£</w:t>
                  </w:r>
                  <w:r w:rsidR="003A2CB2">
                    <w:rPr>
                      <w:rFonts w:eastAsiaTheme="minorEastAsia" w:cs="Arial"/>
                    </w:rPr>
                    <w:t>1.773</w:t>
                  </w:r>
                </w:p>
              </w:tc>
              <w:tc>
                <w:tcPr>
                  <w:tcW w:w="3255" w:type="dxa"/>
                  <w:vAlign w:val="center"/>
                </w:tcPr>
                <w:p w14:paraId="5627EDA8" w14:textId="19CC070C" w:rsidR="0067041C" w:rsidRPr="00E95233" w:rsidRDefault="003A2CB2" w:rsidP="00625DF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6,177</w:t>
                  </w:r>
                </w:p>
              </w:tc>
            </w:tr>
          </w:tbl>
          <w:p w14:paraId="0E5729A5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67041C" w:rsidRPr="00E95233" w14:paraId="0A316C67" w14:textId="77777777" w:rsidTr="00625DFF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5F358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4557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BE21AA8" w14:textId="77777777" w:rsidR="0067041C" w:rsidRPr="00E95233" w:rsidRDefault="0067041C" w:rsidP="0067041C">
            <w:pPr>
              <w:widowControl w:val="0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C258934" w14:textId="77777777" w:rsidR="0067041C" w:rsidRPr="00E95233" w:rsidRDefault="0067041C" w:rsidP="0067041C">
            <w:pPr>
              <w:widowControl w:val="0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D7891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AD72300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A66860D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67041C" w:rsidRPr="00E95233" w14:paraId="104A4D86" w14:textId="77777777" w:rsidTr="00625DF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8706E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EA9A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DEA18" w14:textId="17BD07AC" w:rsidR="0067041C" w:rsidRPr="00E95233" w:rsidRDefault="003A2CB2" w:rsidP="0026042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2 February 2021</w:t>
            </w:r>
          </w:p>
        </w:tc>
      </w:tr>
      <w:tr w:rsidR="0067041C" w:rsidRPr="00E95233" w14:paraId="260CB146" w14:textId="77777777" w:rsidTr="00625DFF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CC701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231D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F00C0" w14:textId="77777777" w:rsidR="0067041C" w:rsidRPr="00E95233" w:rsidRDefault="0067041C" w:rsidP="0062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4FF99701" w14:textId="77777777" w:rsidR="0067041C" w:rsidRPr="00E95233" w:rsidRDefault="0067041C" w:rsidP="0067041C"/>
    <w:p w14:paraId="3522F3A1" w14:textId="77777777" w:rsidR="0067041C" w:rsidRDefault="0067041C" w:rsidP="0067041C">
      <w:pPr>
        <w:jc w:val="both"/>
        <w:rPr>
          <w:rFonts w:cs="Arial"/>
          <w:sz w:val="16"/>
          <w:szCs w:val="16"/>
          <w:lang w:val="en-US"/>
        </w:rPr>
      </w:pPr>
    </w:p>
    <w:p w14:paraId="18E94168" w14:textId="77777777" w:rsidR="0067041C" w:rsidRPr="00512BE1" w:rsidRDefault="0067041C" w:rsidP="0067041C">
      <w:pPr>
        <w:jc w:val="both"/>
        <w:rPr>
          <w:rFonts w:cs="Arial"/>
          <w:sz w:val="16"/>
          <w:szCs w:val="16"/>
          <w:lang w:val="en-US"/>
        </w:rPr>
      </w:pPr>
    </w:p>
    <w:p w14:paraId="477EE50F" w14:textId="77777777" w:rsidR="00C41D04" w:rsidRDefault="00C41D04">
      <w:pPr>
        <w:pStyle w:val="BodyText2"/>
        <w:rPr>
          <w:rFonts w:ascii="Arial" w:hAnsi="Arial" w:cs="Arial"/>
          <w:sz w:val="20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3C0C45" w:rsidRPr="00E95233" w14:paraId="0B2C47A6" w14:textId="77777777" w:rsidTr="00911CDB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645B7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D7271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  <w:lang w:eastAsia="en-US"/>
              </w:rPr>
              <w:t>Details of the person discharging managerial responsibilities/person closely associated</w:t>
            </w:r>
          </w:p>
        </w:tc>
      </w:tr>
      <w:tr w:rsidR="003C0C45" w:rsidRPr="00E95233" w14:paraId="626CA020" w14:textId="77777777" w:rsidTr="00911CDB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562AD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699A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B2238" w14:textId="77777777" w:rsidR="003C0C45" w:rsidRPr="00E95233" w:rsidRDefault="002D107A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Douglas Taylor</w:t>
            </w:r>
          </w:p>
        </w:tc>
      </w:tr>
      <w:tr w:rsidR="003C0C45" w:rsidRPr="00E95233" w14:paraId="19872217" w14:textId="77777777" w:rsidTr="00911CDB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7C709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AB952F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  <w:lang w:eastAsia="en-US"/>
              </w:rPr>
              <w:t>Reason for the notification</w:t>
            </w:r>
          </w:p>
        </w:tc>
      </w:tr>
      <w:tr w:rsidR="003C0C45" w:rsidRPr="00E95233" w14:paraId="29707B5B" w14:textId="77777777" w:rsidTr="00911CDB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33830D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7A7E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2F57D" w14:textId="77777777" w:rsidR="003C0C45" w:rsidRPr="00E95233" w:rsidRDefault="002D107A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Deputy Finance Director</w:t>
            </w:r>
          </w:p>
        </w:tc>
      </w:tr>
      <w:tr w:rsidR="003C0C45" w:rsidRPr="00E95233" w14:paraId="55C6E8DC" w14:textId="77777777" w:rsidTr="00911CDB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90C59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90AB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09BDE6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3C0C45" w:rsidRPr="00E95233" w14:paraId="102CB821" w14:textId="77777777" w:rsidTr="00911CDB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024A0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E9ECC3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  <w:lang w:eastAsia="en-US"/>
              </w:rPr>
              <w:t>Details of the issuer, emission allowance market participant, auction platform, auctioneer or auction monitor</w:t>
            </w:r>
          </w:p>
        </w:tc>
      </w:tr>
      <w:tr w:rsidR="003C0C45" w:rsidRPr="00E95233" w14:paraId="0DB3D2B0" w14:textId="77777777" w:rsidTr="00911CDB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081D0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C868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4E7F7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Cairn Energy PLC</w:t>
            </w:r>
          </w:p>
        </w:tc>
      </w:tr>
      <w:tr w:rsidR="003C0C45" w:rsidRPr="00E95233" w14:paraId="2FDF5EC9" w14:textId="77777777" w:rsidTr="00911CDB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66940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A8BE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F681D3" w14:textId="526BFFE5" w:rsidR="003C0C45" w:rsidRPr="00E95233" w:rsidRDefault="003C0C45" w:rsidP="00911CDB">
            <w:pPr>
              <w:ind w:left="154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E95233">
              <w:rPr>
                <w:rFonts w:eastAsia="Arial Unicode MS" w:cs="Arial" w:hint="eastAsia"/>
                <w:lang w:val="en-US"/>
              </w:rPr>
              <w:t>213800ZJEUQ8ZOC9AL24</w:t>
            </w:r>
          </w:p>
        </w:tc>
      </w:tr>
      <w:tr w:rsidR="003C0C45" w:rsidRPr="00E95233" w14:paraId="266B9A19" w14:textId="77777777" w:rsidTr="00911CDB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4047C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6CDD1D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  <w:lang w:eastAsia="en-US"/>
              </w:rPr>
              <w:t>Details of the transaction(s): section to be repeated for (</w:t>
            </w:r>
            <w:proofErr w:type="spellStart"/>
            <w:r w:rsidRPr="00E95233">
              <w:rPr>
                <w:b/>
                <w:lang w:eastAsia="en-US"/>
              </w:rPr>
              <w:t>i</w:t>
            </w:r>
            <w:proofErr w:type="spellEnd"/>
            <w:r w:rsidRPr="00E95233">
              <w:rPr>
                <w:b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2D107A" w:rsidRPr="00E95233" w14:paraId="799CE590" w14:textId="77777777" w:rsidTr="00911CDB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9036E9A" w14:textId="77777777" w:rsidR="002D107A" w:rsidRPr="00E95233" w:rsidRDefault="002D107A" w:rsidP="002D1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B6C24A" w14:textId="77777777" w:rsidR="002D107A" w:rsidRPr="00E95233" w:rsidRDefault="002D107A" w:rsidP="002D1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548817F" w14:textId="77777777" w:rsidR="002D107A" w:rsidRPr="00E95233" w:rsidRDefault="002D107A" w:rsidP="002D107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 xml:space="preserve">Ordinary shares of </w:t>
            </w:r>
            <w:r>
              <w:rPr>
                <w:rFonts w:eastAsiaTheme="minorEastAsia" w:cs="Arial"/>
              </w:rPr>
              <w:t xml:space="preserve">21/13 </w:t>
            </w:r>
            <w:r w:rsidRPr="00E95233">
              <w:rPr>
                <w:rFonts w:eastAsiaTheme="minorEastAsia" w:cs="Arial"/>
                <w:szCs w:val="24"/>
              </w:rPr>
              <w:t xml:space="preserve">pence each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2D107A" w:rsidRPr="00E95233" w14:paraId="10D31C22" w14:textId="77777777" w:rsidTr="00911CDB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FAC0B" w14:textId="77777777" w:rsidR="002D107A" w:rsidRPr="00E95233" w:rsidRDefault="002D107A" w:rsidP="002D1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D6AC" w14:textId="77777777" w:rsidR="002D107A" w:rsidRPr="00E95233" w:rsidRDefault="002D107A" w:rsidP="002D1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3528F" w14:textId="77777777" w:rsidR="002D107A" w:rsidRPr="00E95233" w:rsidRDefault="002D107A" w:rsidP="002D107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cs="Arial"/>
                <w:color w:val="16202C"/>
              </w:rPr>
              <w:t>GB00BN0SMB92</w:t>
            </w:r>
          </w:p>
        </w:tc>
      </w:tr>
      <w:tr w:rsidR="003C0C45" w:rsidRPr="00E95233" w14:paraId="69C23388" w14:textId="77777777" w:rsidTr="00911CDB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AF236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BB64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D3A086" w14:textId="77777777" w:rsidR="003C0C45" w:rsidRPr="00E95233" w:rsidRDefault="00DE741A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Company’s all-employee Share Incentive Plan (2010) following an election to reinvest a special dividend.</w:t>
            </w:r>
          </w:p>
        </w:tc>
      </w:tr>
      <w:tr w:rsidR="003C0C45" w:rsidRPr="00E95233" w14:paraId="620DC35A" w14:textId="77777777" w:rsidTr="00911CDB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FD62D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5A28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C0C45" w:rsidRPr="00E95233" w14:paraId="2809054A" w14:textId="77777777" w:rsidTr="00911CDB">
              <w:tc>
                <w:tcPr>
                  <w:tcW w:w="3255" w:type="dxa"/>
                  <w:vAlign w:val="center"/>
                </w:tcPr>
                <w:p w14:paraId="01779A42" w14:textId="77777777" w:rsidR="003C0C45" w:rsidRPr="00E95233" w:rsidRDefault="003C0C45" w:rsidP="00911CD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46594C4" w14:textId="77777777" w:rsidR="003C0C45" w:rsidRPr="00E95233" w:rsidRDefault="003C0C45" w:rsidP="00911CD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C0C45" w:rsidRPr="00E95233" w14:paraId="0AFB8465" w14:textId="77777777" w:rsidTr="00911CDB">
              <w:tc>
                <w:tcPr>
                  <w:tcW w:w="3255" w:type="dxa"/>
                  <w:vAlign w:val="center"/>
                </w:tcPr>
                <w:p w14:paraId="7D1C9DE7" w14:textId="5D4C2162" w:rsidR="003C0C45" w:rsidRPr="00E95233" w:rsidRDefault="003C0C45" w:rsidP="00A62EA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 w:rsidRPr="00E95233">
                    <w:rPr>
                      <w:rFonts w:eastAsiaTheme="minorEastAsia" w:cs="Arial"/>
                    </w:rPr>
                    <w:t>£</w:t>
                  </w:r>
                  <w:r w:rsidR="003A2CB2">
                    <w:rPr>
                      <w:rFonts w:eastAsiaTheme="minorEastAsia" w:cs="Arial"/>
                    </w:rPr>
                    <w:t>1.773</w:t>
                  </w:r>
                </w:p>
              </w:tc>
              <w:tc>
                <w:tcPr>
                  <w:tcW w:w="3255" w:type="dxa"/>
                  <w:vAlign w:val="center"/>
                </w:tcPr>
                <w:p w14:paraId="4DE2A5B2" w14:textId="1C9FA3D0" w:rsidR="003C0C45" w:rsidRPr="00E95233" w:rsidRDefault="003A2CB2" w:rsidP="00911CDB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4,221</w:t>
                  </w:r>
                </w:p>
              </w:tc>
            </w:tr>
          </w:tbl>
          <w:p w14:paraId="6E12CB4A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C0C45" w:rsidRPr="00E95233" w14:paraId="55FA2AC0" w14:textId="77777777" w:rsidTr="00911CDB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C3C12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595B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4195B13B" w14:textId="77777777" w:rsidR="003C0C45" w:rsidRPr="00E95233" w:rsidRDefault="003C0C45" w:rsidP="00911CDB">
            <w:pPr>
              <w:widowControl w:val="0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26BCEE9E" w14:textId="77777777" w:rsidR="003C0C45" w:rsidRPr="00E95233" w:rsidRDefault="003C0C45" w:rsidP="00911CDB">
            <w:pPr>
              <w:widowControl w:val="0"/>
              <w:numPr>
                <w:ilvl w:val="0"/>
                <w:numId w:val="2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ADB98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66738E6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0FEB1DC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C0C45" w:rsidRPr="00E95233" w14:paraId="1A515BCF" w14:textId="77777777" w:rsidTr="00911CDB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6DBD1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D97D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34DEC" w14:textId="6AF8FF07" w:rsidR="003C0C45" w:rsidRPr="00E95233" w:rsidRDefault="003A2CB2" w:rsidP="0026042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2 February 2021</w:t>
            </w:r>
          </w:p>
        </w:tc>
      </w:tr>
      <w:tr w:rsidR="003C0C45" w:rsidRPr="00E95233" w14:paraId="5B8D879E" w14:textId="77777777" w:rsidTr="00911CDB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BDE74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E235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FCB78" w14:textId="77777777" w:rsidR="003C0C45" w:rsidRPr="00E95233" w:rsidRDefault="003C0C45" w:rsidP="00911C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5F98AE1C" w14:textId="77777777" w:rsidR="008A649E" w:rsidRDefault="008A649E">
      <w:pPr>
        <w:pStyle w:val="BodyText2"/>
        <w:rPr>
          <w:rFonts w:ascii="Arial" w:hAnsi="Arial" w:cs="Arial"/>
          <w:sz w:val="20"/>
        </w:rPr>
      </w:pPr>
    </w:p>
    <w:p w14:paraId="7F5C4FB8" w14:textId="77777777" w:rsidR="00BD16A6" w:rsidRDefault="00BD16A6">
      <w:pPr>
        <w:rPr>
          <w:rFonts w:cs="Arial"/>
          <w:lang w:val="en-US"/>
        </w:rPr>
      </w:pPr>
    </w:p>
    <w:sectPr w:rsidR="00BD16A6" w:rsidSect="00773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0" w:right="1360" w:bottom="1500" w:left="1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45266" w14:textId="77777777" w:rsidR="00C10E6D" w:rsidRDefault="00C10E6D">
      <w:r>
        <w:separator/>
      </w:r>
    </w:p>
  </w:endnote>
  <w:endnote w:type="continuationSeparator" w:id="0">
    <w:p w14:paraId="41E59222" w14:textId="77777777" w:rsidR="00C10E6D" w:rsidRDefault="00C1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CD938" w14:textId="77777777" w:rsidR="00087252" w:rsidRDefault="000872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BF3">
      <w:rPr>
        <w:rStyle w:val="PageNumber"/>
        <w:noProof/>
      </w:rPr>
      <w:t>7</w:t>
    </w:r>
    <w:r>
      <w:rPr>
        <w:rStyle w:val="PageNumber"/>
      </w:rPr>
      <w:fldChar w:fldCharType="end"/>
    </w:r>
  </w:p>
  <w:p w14:paraId="1855E6C1" w14:textId="77777777" w:rsidR="00087252" w:rsidRDefault="000872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9069D" w14:textId="77777777" w:rsidR="00087252" w:rsidRDefault="00087252">
    <w:pPr>
      <w:pStyle w:val="Footer"/>
      <w:ind w:right="360"/>
      <w:rPr>
        <w:color w:val="C0C0C0"/>
        <w:sz w:val="16"/>
        <w:szCs w:val="16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0BBFC" w14:textId="77777777" w:rsidR="00087252" w:rsidRDefault="00087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B5234" w14:textId="77777777" w:rsidR="00C10E6D" w:rsidRDefault="00C10E6D">
      <w:r>
        <w:separator/>
      </w:r>
    </w:p>
  </w:footnote>
  <w:footnote w:type="continuationSeparator" w:id="0">
    <w:p w14:paraId="7979533C" w14:textId="77777777" w:rsidR="00C10E6D" w:rsidRDefault="00C1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F35BC" w14:textId="77777777" w:rsidR="00087252" w:rsidRDefault="000872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92D4C" w14:textId="77777777" w:rsidR="00087252" w:rsidRDefault="00087252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5EBA372" wp14:editId="4BEA1F49">
          <wp:simplePos x="0" y="0"/>
          <wp:positionH relativeFrom="column">
            <wp:posOffset>5238750</wp:posOffset>
          </wp:positionH>
          <wp:positionV relativeFrom="paragraph">
            <wp:posOffset>38100</wp:posOffset>
          </wp:positionV>
          <wp:extent cx="812800" cy="431800"/>
          <wp:effectExtent l="0" t="0" r="0" b="0"/>
          <wp:wrapNone/>
          <wp:docPr id="4" name="Picture 4" descr="CairnPLC 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irnPLC logo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EFF42" w14:textId="77777777" w:rsidR="00087252" w:rsidRDefault="00087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004C16B9"/>
    <w:multiLevelType w:val="hybridMultilevel"/>
    <w:tmpl w:val="4F7CBB1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C0F5E"/>
    <w:multiLevelType w:val="hybridMultilevel"/>
    <w:tmpl w:val="6F5478B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BD8"/>
    <w:multiLevelType w:val="hybridMultilevel"/>
    <w:tmpl w:val="E632D3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F7424"/>
    <w:multiLevelType w:val="hybridMultilevel"/>
    <w:tmpl w:val="5CBCF1C8"/>
    <w:lvl w:ilvl="0" w:tplc="6A662548">
      <w:start w:val="37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eastAsia="Wingdings" w:hAnsi="Wingdings" w:cs="Arial" w:hint="default"/>
        <w:i w:val="0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15212"/>
    <w:multiLevelType w:val="hybridMultilevel"/>
    <w:tmpl w:val="897E4C0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511F"/>
    <w:multiLevelType w:val="hybridMultilevel"/>
    <w:tmpl w:val="8EE09686"/>
    <w:lvl w:ilvl="0" w:tplc="0228F6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20F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CF2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0EF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CC8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49F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836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32C8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2AD8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000C0"/>
    <w:multiLevelType w:val="hybridMultilevel"/>
    <w:tmpl w:val="477E12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C0A9A"/>
    <w:multiLevelType w:val="hybridMultilevel"/>
    <w:tmpl w:val="B824E75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5234E"/>
    <w:multiLevelType w:val="hybridMultilevel"/>
    <w:tmpl w:val="2A80BEF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63754"/>
    <w:multiLevelType w:val="hybridMultilevel"/>
    <w:tmpl w:val="EB00DC8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3189B"/>
    <w:multiLevelType w:val="hybridMultilevel"/>
    <w:tmpl w:val="41CC9342"/>
    <w:lvl w:ilvl="0" w:tplc="BC6865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E046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21B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8B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DEF6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40CC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43E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B4B8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A6C1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A37CD"/>
    <w:multiLevelType w:val="hybridMultilevel"/>
    <w:tmpl w:val="3B660EF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AD54766"/>
    <w:multiLevelType w:val="hybridMultilevel"/>
    <w:tmpl w:val="D3F27E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87544"/>
    <w:multiLevelType w:val="hybridMultilevel"/>
    <w:tmpl w:val="6CC6588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72839"/>
    <w:multiLevelType w:val="hybridMultilevel"/>
    <w:tmpl w:val="74FA015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343"/>
    <w:multiLevelType w:val="hybridMultilevel"/>
    <w:tmpl w:val="4502B7B0"/>
    <w:lvl w:ilvl="0" w:tplc="6A662548">
      <w:start w:val="37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eastAsia="Wingdings" w:hAnsi="Wingdings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D236C74"/>
    <w:multiLevelType w:val="hybridMultilevel"/>
    <w:tmpl w:val="BDDEA90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422AB"/>
    <w:multiLevelType w:val="hybridMultilevel"/>
    <w:tmpl w:val="290050F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558FE"/>
    <w:multiLevelType w:val="hybridMultilevel"/>
    <w:tmpl w:val="BB52CDCE"/>
    <w:lvl w:ilvl="0" w:tplc="1166CB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CDC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00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6C8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0862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CCD1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B2C9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ACA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1C32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24246"/>
    <w:multiLevelType w:val="hybridMultilevel"/>
    <w:tmpl w:val="B71642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56579"/>
    <w:multiLevelType w:val="hybridMultilevel"/>
    <w:tmpl w:val="5CC0C64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9"/>
  </w:num>
  <w:num w:numId="5">
    <w:abstractNumId w:val="11"/>
  </w:num>
  <w:num w:numId="6">
    <w:abstractNumId w:val="6"/>
  </w:num>
  <w:num w:numId="7">
    <w:abstractNumId w:val="16"/>
  </w:num>
  <w:num w:numId="8">
    <w:abstractNumId w:val="4"/>
  </w:num>
  <w:num w:numId="9">
    <w:abstractNumId w:val="2"/>
  </w:num>
  <w:num w:numId="10">
    <w:abstractNumId w:val="9"/>
  </w:num>
  <w:num w:numId="11">
    <w:abstractNumId w:val="18"/>
  </w:num>
  <w:num w:numId="12">
    <w:abstractNumId w:val="8"/>
  </w:num>
  <w:num w:numId="13">
    <w:abstractNumId w:val="5"/>
  </w:num>
  <w:num w:numId="14">
    <w:abstractNumId w:val="20"/>
  </w:num>
  <w:num w:numId="15">
    <w:abstractNumId w:val="12"/>
  </w:num>
  <w:num w:numId="16">
    <w:abstractNumId w:val="7"/>
  </w:num>
  <w:num w:numId="17">
    <w:abstractNumId w:val="21"/>
  </w:num>
  <w:num w:numId="18">
    <w:abstractNumId w:val="1"/>
  </w:num>
  <w:num w:numId="19">
    <w:abstractNumId w:val="13"/>
  </w:num>
  <w:num w:numId="20">
    <w:abstractNumId w:val="10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80"/>
    <w:rsid w:val="00015235"/>
    <w:rsid w:val="00056EAE"/>
    <w:rsid w:val="0007316B"/>
    <w:rsid w:val="0007486A"/>
    <w:rsid w:val="0007508C"/>
    <w:rsid w:val="00082EC8"/>
    <w:rsid w:val="00084E71"/>
    <w:rsid w:val="00087252"/>
    <w:rsid w:val="00097026"/>
    <w:rsid w:val="000A0513"/>
    <w:rsid w:val="000A2A07"/>
    <w:rsid w:val="000B33C4"/>
    <w:rsid w:val="000C2BBB"/>
    <w:rsid w:val="0011285B"/>
    <w:rsid w:val="00122F00"/>
    <w:rsid w:val="00156D0D"/>
    <w:rsid w:val="00177C1E"/>
    <w:rsid w:val="001970E6"/>
    <w:rsid w:val="001A5EDF"/>
    <w:rsid w:val="00204610"/>
    <w:rsid w:val="00225FC2"/>
    <w:rsid w:val="0023599D"/>
    <w:rsid w:val="00256FD0"/>
    <w:rsid w:val="0026042B"/>
    <w:rsid w:val="00273034"/>
    <w:rsid w:val="00277EEC"/>
    <w:rsid w:val="0028669E"/>
    <w:rsid w:val="002C7DFE"/>
    <w:rsid w:val="002D053C"/>
    <w:rsid w:val="002D107A"/>
    <w:rsid w:val="002F13F1"/>
    <w:rsid w:val="00317C60"/>
    <w:rsid w:val="00323E4B"/>
    <w:rsid w:val="00341197"/>
    <w:rsid w:val="003862BC"/>
    <w:rsid w:val="00392738"/>
    <w:rsid w:val="00396CF8"/>
    <w:rsid w:val="003A2CB2"/>
    <w:rsid w:val="003C0C45"/>
    <w:rsid w:val="003C38A9"/>
    <w:rsid w:val="003C7827"/>
    <w:rsid w:val="003E28EC"/>
    <w:rsid w:val="0040084B"/>
    <w:rsid w:val="00403991"/>
    <w:rsid w:val="00413BE5"/>
    <w:rsid w:val="00442BEF"/>
    <w:rsid w:val="00453DD6"/>
    <w:rsid w:val="00457655"/>
    <w:rsid w:val="004618D3"/>
    <w:rsid w:val="00462705"/>
    <w:rsid w:val="00464E47"/>
    <w:rsid w:val="00474DEA"/>
    <w:rsid w:val="00481A7E"/>
    <w:rsid w:val="00487FD3"/>
    <w:rsid w:val="00495B73"/>
    <w:rsid w:val="004A680B"/>
    <w:rsid w:val="004B541F"/>
    <w:rsid w:val="005265E5"/>
    <w:rsid w:val="00567BB7"/>
    <w:rsid w:val="00570E86"/>
    <w:rsid w:val="005C5848"/>
    <w:rsid w:val="005E27F9"/>
    <w:rsid w:val="005E45EE"/>
    <w:rsid w:val="005F62F1"/>
    <w:rsid w:val="00600396"/>
    <w:rsid w:val="00612280"/>
    <w:rsid w:val="00625DFF"/>
    <w:rsid w:val="00632753"/>
    <w:rsid w:val="0064184A"/>
    <w:rsid w:val="00645CC4"/>
    <w:rsid w:val="006470F4"/>
    <w:rsid w:val="0065302C"/>
    <w:rsid w:val="00661560"/>
    <w:rsid w:val="00665EB1"/>
    <w:rsid w:val="0067041C"/>
    <w:rsid w:val="00682289"/>
    <w:rsid w:val="00684C75"/>
    <w:rsid w:val="006A1B8A"/>
    <w:rsid w:val="006A1C9E"/>
    <w:rsid w:val="006B2C82"/>
    <w:rsid w:val="006C6362"/>
    <w:rsid w:val="006C74B7"/>
    <w:rsid w:val="006D1358"/>
    <w:rsid w:val="006E11D6"/>
    <w:rsid w:val="00707F61"/>
    <w:rsid w:val="00723A6B"/>
    <w:rsid w:val="0073308C"/>
    <w:rsid w:val="00736C4C"/>
    <w:rsid w:val="00763883"/>
    <w:rsid w:val="00773E6E"/>
    <w:rsid w:val="00784E8D"/>
    <w:rsid w:val="00785115"/>
    <w:rsid w:val="00787ADB"/>
    <w:rsid w:val="007C18B5"/>
    <w:rsid w:val="007C3002"/>
    <w:rsid w:val="007C43E3"/>
    <w:rsid w:val="007D7203"/>
    <w:rsid w:val="007D7B93"/>
    <w:rsid w:val="007E1BFA"/>
    <w:rsid w:val="0081314D"/>
    <w:rsid w:val="00851B5E"/>
    <w:rsid w:val="00854BF3"/>
    <w:rsid w:val="0086552A"/>
    <w:rsid w:val="008761BA"/>
    <w:rsid w:val="008A649E"/>
    <w:rsid w:val="008B0BE3"/>
    <w:rsid w:val="008C07D6"/>
    <w:rsid w:val="008C3D5B"/>
    <w:rsid w:val="008C69DE"/>
    <w:rsid w:val="008D10F7"/>
    <w:rsid w:val="008E05C4"/>
    <w:rsid w:val="008F16E3"/>
    <w:rsid w:val="00911CDB"/>
    <w:rsid w:val="009123D8"/>
    <w:rsid w:val="00912D16"/>
    <w:rsid w:val="009226D7"/>
    <w:rsid w:val="00934D3B"/>
    <w:rsid w:val="00945DB0"/>
    <w:rsid w:val="00962A7D"/>
    <w:rsid w:val="0097088F"/>
    <w:rsid w:val="00971E6B"/>
    <w:rsid w:val="00973C73"/>
    <w:rsid w:val="00980BFC"/>
    <w:rsid w:val="00982B74"/>
    <w:rsid w:val="009844AE"/>
    <w:rsid w:val="009A0249"/>
    <w:rsid w:val="009C13AE"/>
    <w:rsid w:val="009C2329"/>
    <w:rsid w:val="009C2DEF"/>
    <w:rsid w:val="009C528B"/>
    <w:rsid w:val="009D01B4"/>
    <w:rsid w:val="00A01114"/>
    <w:rsid w:val="00A05071"/>
    <w:rsid w:val="00A1320E"/>
    <w:rsid w:val="00A412DB"/>
    <w:rsid w:val="00A57E8E"/>
    <w:rsid w:val="00A62EAF"/>
    <w:rsid w:val="00A74CE9"/>
    <w:rsid w:val="00A872B0"/>
    <w:rsid w:val="00A87B25"/>
    <w:rsid w:val="00A9292C"/>
    <w:rsid w:val="00AA42F5"/>
    <w:rsid w:val="00AC0A4E"/>
    <w:rsid w:val="00AC60FA"/>
    <w:rsid w:val="00AE7C3D"/>
    <w:rsid w:val="00AF2756"/>
    <w:rsid w:val="00AF3366"/>
    <w:rsid w:val="00B05B66"/>
    <w:rsid w:val="00B23B58"/>
    <w:rsid w:val="00B27462"/>
    <w:rsid w:val="00B463EE"/>
    <w:rsid w:val="00BB423D"/>
    <w:rsid w:val="00BD16A6"/>
    <w:rsid w:val="00BE4814"/>
    <w:rsid w:val="00C011AD"/>
    <w:rsid w:val="00C028E7"/>
    <w:rsid w:val="00C10E6D"/>
    <w:rsid w:val="00C41D04"/>
    <w:rsid w:val="00C45448"/>
    <w:rsid w:val="00C5771A"/>
    <w:rsid w:val="00C664DD"/>
    <w:rsid w:val="00C72416"/>
    <w:rsid w:val="00C87209"/>
    <w:rsid w:val="00CA7B77"/>
    <w:rsid w:val="00CB1F4A"/>
    <w:rsid w:val="00CC22C9"/>
    <w:rsid w:val="00CD3DFE"/>
    <w:rsid w:val="00CE05C1"/>
    <w:rsid w:val="00CE1212"/>
    <w:rsid w:val="00D06505"/>
    <w:rsid w:val="00D17921"/>
    <w:rsid w:val="00D348E4"/>
    <w:rsid w:val="00D52BBD"/>
    <w:rsid w:val="00D63C55"/>
    <w:rsid w:val="00D72E45"/>
    <w:rsid w:val="00D84C2C"/>
    <w:rsid w:val="00D92BAB"/>
    <w:rsid w:val="00DA234D"/>
    <w:rsid w:val="00DB67C8"/>
    <w:rsid w:val="00DC3970"/>
    <w:rsid w:val="00DD2D4F"/>
    <w:rsid w:val="00DD60E9"/>
    <w:rsid w:val="00DE1A57"/>
    <w:rsid w:val="00DE741A"/>
    <w:rsid w:val="00DF333B"/>
    <w:rsid w:val="00E01009"/>
    <w:rsid w:val="00E020CA"/>
    <w:rsid w:val="00E06FB2"/>
    <w:rsid w:val="00E273C7"/>
    <w:rsid w:val="00E61F89"/>
    <w:rsid w:val="00E71997"/>
    <w:rsid w:val="00E80867"/>
    <w:rsid w:val="00E86509"/>
    <w:rsid w:val="00F03ABA"/>
    <w:rsid w:val="00F6204E"/>
    <w:rsid w:val="00F64F47"/>
    <w:rsid w:val="00F754B2"/>
    <w:rsid w:val="00F76FF0"/>
    <w:rsid w:val="00F87C28"/>
    <w:rsid w:val="00FC4700"/>
    <w:rsid w:val="00F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ED51B15"/>
  <w15:docId w15:val="{ACFFA50A-9D1B-40B8-8F40-8A0BD587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pPr>
      <w:spacing w:after="160" w:line="240" w:lineRule="exac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PlainText">
    <w:name w:val="Plain Text"/>
    <w:basedOn w:val="Normal"/>
    <w:semiHidden/>
    <w:unhideWhenUsed/>
    <w:rPr>
      <w:rFonts w:ascii="Bookman Old Style" w:eastAsia="Calibri" w:hAnsi="Bookman Old Style"/>
      <w:sz w:val="22"/>
      <w:szCs w:val="22"/>
    </w:rPr>
  </w:style>
  <w:style w:type="character" w:customStyle="1" w:styleId="CharChar">
    <w:name w:val="Char Char"/>
    <w:basedOn w:val="DefaultParagraphFont"/>
    <w:rPr>
      <w:rFonts w:ascii="Bookman Old Style" w:eastAsia="Calibri" w:hAnsi="Bookman Old Style"/>
      <w:sz w:val="22"/>
      <w:szCs w:val="22"/>
      <w:lang w:val="en-GB" w:eastAsia="en-GB" w:bidi="ar-SA"/>
    </w:rPr>
  </w:style>
  <w:style w:type="paragraph" w:styleId="ListParagraph">
    <w:name w:val="List Paragraph"/>
    <w:basedOn w:val="Normal"/>
    <w:qFormat/>
    <w:pPr>
      <w:ind w:left="720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semiHidden/>
    <w:rPr>
      <w:rFonts w:ascii="Arial" w:hAnsi="Arial"/>
      <w:b/>
      <w:bCs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Times New Roman" w:hAnsi="Times New Roman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D63C55"/>
    <w:rPr>
      <w:color w:val="808080"/>
    </w:rPr>
  </w:style>
  <w:style w:type="table" w:styleId="TableGrid">
    <w:name w:val="Table Grid"/>
    <w:basedOn w:val="TableNormal"/>
    <w:rsid w:val="0063275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uiPriority w:val="99"/>
    <w:rsid w:val="00A1320E"/>
    <w:rPr>
      <w:sz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7041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1126</Words>
  <Characters>6423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                                                                   13 May 2008</vt:lpstr>
    </vt:vector>
  </TitlesOfParts>
  <Company>Cairn Energy India Ltd</Company>
  <LinksUpToDate>false</LinksUpToDate>
  <CharactersWithSpaces>7534</CharactersWithSpaces>
  <SharedDoc>false</SharedDoc>
  <HLinks>
    <vt:vector size="6" baseType="variant">
      <vt:variant>
        <vt:i4>3211359</vt:i4>
      </vt:variant>
      <vt:variant>
        <vt:i4>-1</vt:i4>
      </vt:variant>
      <vt:variant>
        <vt:i4>2051</vt:i4>
      </vt:variant>
      <vt:variant>
        <vt:i4>1</vt:i4>
      </vt:variant>
      <vt:variant>
        <vt:lpwstr>CairnPLC logo_WEB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                                                                   13 May 2008</dc:title>
  <dc:creator>David</dc:creator>
  <cp:lastModifiedBy>Maryth Guild</cp:lastModifiedBy>
  <cp:revision>2</cp:revision>
  <cp:lastPrinted>2018-05-04T14:14:00Z</cp:lastPrinted>
  <dcterms:created xsi:type="dcterms:W3CDTF">2021-02-03T16:45:00Z</dcterms:created>
  <dcterms:modified xsi:type="dcterms:W3CDTF">2021-02-03T16:45:00Z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C0210.329 71323064 1 ROC </vt:lpwstr>
  </property>
  <property fmtid="{D5CDD505-2E9C-101B-9397-08002B2CF9AE}" pid="3" name="AuthorJobDescription">
    <vt:lpwstr>Assistant (ROC)</vt:lpwstr>
  </property>
  <property fmtid="{D5CDD505-2E9C-101B-9397-08002B2CF9AE}" pid="4" name="AuthorDepartment">
    <vt:lpwstr>Corporate</vt:lpwstr>
  </property>
  <property fmtid="{D5CDD505-2E9C-101B-9397-08002B2CF9AE}" pid="5" name="AuthorEmail">
    <vt:lpwstr>gavin.charlton@shepwedd.co.uk</vt:lpwstr>
  </property>
  <property fmtid="{D5CDD505-2E9C-101B-9397-08002B2CF9AE}" pid="6" name="AuthorPhoneNumber">
    <vt:lpwstr>0141 566 7250</vt:lpwstr>
  </property>
  <property fmtid="{D5CDD505-2E9C-101B-9397-08002B2CF9AE}" pid="7" name="AuthorFaxNumber">
    <vt:lpwstr/>
  </property>
  <property fmtid="{D5CDD505-2E9C-101B-9397-08002B2CF9AE}" pid="8" name="AuthorFullName">
    <vt:lpwstr>Gavin Charlton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14205283 2   </vt:lpwstr>
  </property>
  <property fmtid="{D5CDD505-2E9C-101B-9397-08002B2CF9AE}" pid="12" name="DocRef">
    <vt:lpwstr>C0210.262-04 14205283_2 Stock exchange announcement re directors' and PDMRs' interests</vt:lpwstr>
  </property>
  <property fmtid="{D5CDD505-2E9C-101B-9397-08002B2CF9AE}" pid="13" name="OurRef">
    <vt:lpwstr>C0210.262-04/GVC/ROC</vt:lpwstr>
  </property>
</Properties>
</file>