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60F16" w14:textId="77777777" w:rsidR="003359E3" w:rsidRDefault="003359E3">
      <w:pPr>
        <w:tabs>
          <w:tab w:val="right" w:pos="9540"/>
        </w:tabs>
        <w:rPr>
          <w:rFonts w:cs="Arial"/>
          <w:b/>
        </w:rPr>
      </w:pPr>
      <w:bookmarkStart w:id="0" w:name="_GoBack"/>
      <w:bookmarkEnd w:id="0"/>
    </w:p>
    <w:p w14:paraId="382DA08D" w14:textId="164589AF" w:rsidR="00F6141E" w:rsidRDefault="00F03EF3">
      <w:pPr>
        <w:tabs>
          <w:tab w:val="right" w:pos="9540"/>
        </w:tabs>
        <w:rPr>
          <w:rFonts w:cs="Arial"/>
        </w:rPr>
      </w:pPr>
      <w:r>
        <w:rPr>
          <w:rFonts w:cs="Arial"/>
          <w:b/>
        </w:rPr>
        <w:t>FOR IMMEDIATE RELEASE</w:t>
      </w:r>
      <w:r w:rsidR="00F6141E">
        <w:rPr>
          <w:rFonts w:cs="Arial"/>
          <w:b/>
        </w:rPr>
        <w:tab/>
      </w:r>
      <w:r w:rsidR="00C1584C">
        <w:rPr>
          <w:rFonts w:cs="Arial"/>
          <w:b/>
        </w:rPr>
        <w:t>1</w:t>
      </w:r>
      <w:r w:rsidR="00637C20">
        <w:rPr>
          <w:rFonts w:cs="Arial"/>
          <w:b/>
        </w:rPr>
        <w:t>7</w:t>
      </w:r>
      <w:r w:rsidR="00F633F2">
        <w:rPr>
          <w:rFonts w:cs="Arial"/>
          <w:b/>
        </w:rPr>
        <w:t xml:space="preserve"> Ma</w:t>
      </w:r>
      <w:r w:rsidR="00637C20">
        <w:rPr>
          <w:rFonts w:cs="Arial"/>
          <w:b/>
        </w:rPr>
        <w:t>rch</w:t>
      </w:r>
      <w:r w:rsidR="005A5D40">
        <w:rPr>
          <w:rFonts w:cs="Arial"/>
          <w:b/>
        </w:rPr>
        <w:t xml:space="preserve"> </w:t>
      </w:r>
      <w:r w:rsidR="00F6141E">
        <w:rPr>
          <w:rFonts w:cs="Arial"/>
          <w:b/>
        </w:rPr>
        <w:t>20</w:t>
      </w:r>
      <w:r w:rsidR="00716550">
        <w:rPr>
          <w:rFonts w:cs="Arial"/>
          <w:b/>
        </w:rPr>
        <w:t>2</w:t>
      </w:r>
      <w:r w:rsidR="00637C20">
        <w:rPr>
          <w:rFonts w:cs="Arial"/>
          <w:b/>
        </w:rPr>
        <w:t>1</w:t>
      </w:r>
    </w:p>
    <w:p w14:paraId="497507BB" w14:textId="77777777" w:rsidR="008A76EB" w:rsidRDefault="008A76EB">
      <w:pPr>
        <w:jc w:val="center"/>
        <w:rPr>
          <w:rFonts w:cs="Arial"/>
          <w:b/>
          <w:bCs/>
        </w:rPr>
      </w:pPr>
    </w:p>
    <w:p w14:paraId="29B667DA" w14:textId="77777777" w:rsidR="003359E3" w:rsidRDefault="003359E3">
      <w:pPr>
        <w:jc w:val="center"/>
        <w:rPr>
          <w:rFonts w:cs="Arial"/>
          <w:b/>
          <w:bCs/>
        </w:rPr>
      </w:pPr>
    </w:p>
    <w:p w14:paraId="55BAE4A5" w14:textId="77777777" w:rsidR="003359E3" w:rsidRDefault="003359E3">
      <w:pPr>
        <w:jc w:val="center"/>
        <w:rPr>
          <w:rFonts w:cs="Arial"/>
          <w:b/>
          <w:bCs/>
        </w:rPr>
      </w:pPr>
    </w:p>
    <w:p w14:paraId="7DE26E98" w14:textId="77777777" w:rsidR="00F6141E" w:rsidRDefault="00F6141E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CAIRN ENERGY PLC (</w:t>
      </w:r>
      <w:r w:rsidR="00224720">
        <w:rPr>
          <w:rFonts w:cs="Arial"/>
          <w:b/>
          <w:bCs/>
        </w:rPr>
        <w:t>“</w:t>
      </w:r>
      <w:r>
        <w:rPr>
          <w:rFonts w:cs="Arial"/>
          <w:b/>
          <w:bCs/>
        </w:rPr>
        <w:t>Cairn</w:t>
      </w:r>
      <w:r w:rsidR="00224720">
        <w:rPr>
          <w:rFonts w:cs="Arial"/>
          <w:b/>
          <w:bCs/>
        </w:rPr>
        <w:t>”</w:t>
      </w:r>
      <w:r>
        <w:rPr>
          <w:rFonts w:cs="Arial"/>
          <w:b/>
          <w:bCs/>
        </w:rPr>
        <w:t xml:space="preserve"> or the </w:t>
      </w:r>
      <w:r w:rsidR="00224720">
        <w:rPr>
          <w:rFonts w:cs="Arial"/>
          <w:b/>
          <w:bCs/>
        </w:rPr>
        <w:t>“</w:t>
      </w:r>
      <w:r>
        <w:rPr>
          <w:rFonts w:cs="Arial"/>
          <w:b/>
          <w:bCs/>
        </w:rPr>
        <w:t>Company</w:t>
      </w:r>
      <w:r w:rsidR="00224720">
        <w:rPr>
          <w:rFonts w:cs="Arial"/>
          <w:b/>
          <w:bCs/>
        </w:rPr>
        <w:t>”</w:t>
      </w:r>
      <w:r>
        <w:rPr>
          <w:rFonts w:cs="Arial"/>
          <w:b/>
          <w:bCs/>
        </w:rPr>
        <w:t>)</w:t>
      </w:r>
    </w:p>
    <w:p w14:paraId="72B9C98F" w14:textId="77777777" w:rsidR="00F6141E" w:rsidRDefault="00F6141E">
      <w:pPr>
        <w:jc w:val="center"/>
        <w:rPr>
          <w:rFonts w:cs="Arial"/>
          <w:b/>
          <w:bCs/>
          <w:lang w:eastAsia="en-US"/>
        </w:rPr>
      </w:pPr>
    </w:p>
    <w:p w14:paraId="5C765507" w14:textId="77777777" w:rsidR="00F6141E" w:rsidRDefault="00CE51FC">
      <w:pPr>
        <w:jc w:val="center"/>
        <w:rPr>
          <w:rFonts w:cs="Arial"/>
          <w:b/>
        </w:rPr>
      </w:pPr>
      <w:r>
        <w:rPr>
          <w:rFonts w:cs="Arial"/>
          <w:b/>
        </w:rPr>
        <w:t xml:space="preserve">Interests of </w:t>
      </w:r>
      <w:r w:rsidR="00F6141E">
        <w:rPr>
          <w:rFonts w:cs="Arial"/>
          <w:b/>
        </w:rPr>
        <w:t>Directors / Persons Discharging Managerial Responsibility (</w:t>
      </w:r>
      <w:r w:rsidR="00224720">
        <w:rPr>
          <w:rFonts w:cs="Arial"/>
          <w:b/>
        </w:rPr>
        <w:t>“</w:t>
      </w:r>
      <w:r w:rsidR="00F6141E">
        <w:rPr>
          <w:rFonts w:cs="Arial"/>
          <w:b/>
        </w:rPr>
        <w:t>PDMRs</w:t>
      </w:r>
      <w:r w:rsidR="00224720">
        <w:rPr>
          <w:rFonts w:cs="Arial"/>
          <w:b/>
        </w:rPr>
        <w:t>”</w:t>
      </w:r>
      <w:r w:rsidR="00F6141E">
        <w:rPr>
          <w:rFonts w:cs="Arial"/>
          <w:b/>
        </w:rPr>
        <w:t xml:space="preserve">) </w:t>
      </w:r>
    </w:p>
    <w:p w14:paraId="42A8E4E7" w14:textId="77777777" w:rsidR="00F6141E" w:rsidRDefault="00F6141E">
      <w:pPr>
        <w:jc w:val="center"/>
        <w:rPr>
          <w:rFonts w:cs="Arial"/>
          <w:b/>
        </w:rPr>
      </w:pPr>
      <w:r>
        <w:rPr>
          <w:rFonts w:cs="Arial"/>
          <w:b/>
        </w:rPr>
        <w:t>in the Company</w:t>
      </w:r>
      <w:r w:rsidR="00224720">
        <w:rPr>
          <w:rFonts w:cs="Arial"/>
          <w:b/>
        </w:rPr>
        <w:t>’</w:t>
      </w:r>
      <w:r>
        <w:rPr>
          <w:rFonts w:cs="Arial"/>
          <w:b/>
        </w:rPr>
        <w:t>s Shares</w:t>
      </w:r>
    </w:p>
    <w:p w14:paraId="64625951" w14:textId="77777777" w:rsidR="00F6141E" w:rsidRDefault="00F6141E">
      <w:pPr>
        <w:pStyle w:val="BodyText2"/>
        <w:rPr>
          <w:rFonts w:ascii="Arial" w:hAnsi="Arial" w:cs="Arial"/>
          <w:sz w:val="20"/>
          <w:lang w:val="en-GB"/>
        </w:rPr>
      </w:pPr>
    </w:p>
    <w:p w14:paraId="2C096BBE" w14:textId="249B15C9" w:rsidR="00FD628E" w:rsidRDefault="002C261F" w:rsidP="00FD628E">
      <w:pPr>
        <w:pStyle w:val="BodyText2"/>
        <w:ind w:left="709" w:hanging="709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1. </w:t>
      </w:r>
      <w:r>
        <w:rPr>
          <w:rFonts w:ascii="Arial" w:hAnsi="Arial" w:cs="Arial"/>
          <w:b/>
          <w:bCs/>
          <w:sz w:val="20"/>
        </w:rPr>
        <w:tab/>
      </w:r>
      <w:r w:rsidR="00D42515">
        <w:rPr>
          <w:rFonts w:ascii="Arial" w:hAnsi="Arial" w:cs="Arial"/>
          <w:b/>
          <w:bCs/>
          <w:sz w:val="20"/>
        </w:rPr>
        <w:t>Grant of 20</w:t>
      </w:r>
      <w:r w:rsidR="00716550">
        <w:rPr>
          <w:rFonts w:ascii="Arial" w:hAnsi="Arial" w:cs="Arial"/>
          <w:b/>
          <w:bCs/>
          <w:sz w:val="20"/>
        </w:rPr>
        <w:t>2</w:t>
      </w:r>
      <w:r w:rsidR="00637C20">
        <w:rPr>
          <w:rFonts w:ascii="Arial" w:hAnsi="Arial" w:cs="Arial"/>
          <w:b/>
          <w:bCs/>
          <w:sz w:val="20"/>
        </w:rPr>
        <w:t>1</w:t>
      </w:r>
      <w:r w:rsidR="00D42515">
        <w:rPr>
          <w:rFonts w:ascii="Arial" w:hAnsi="Arial" w:cs="Arial"/>
          <w:b/>
          <w:bCs/>
          <w:sz w:val="20"/>
        </w:rPr>
        <w:t xml:space="preserve"> </w:t>
      </w:r>
      <w:r w:rsidR="00FD628E">
        <w:rPr>
          <w:rFonts w:ascii="Arial" w:hAnsi="Arial" w:cs="Arial"/>
          <w:b/>
          <w:bCs/>
          <w:sz w:val="20"/>
        </w:rPr>
        <w:t>Awards under the Company</w:t>
      </w:r>
      <w:r w:rsidR="00224720">
        <w:rPr>
          <w:rFonts w:ascii="Arial" w:hAnsi="Arial" w:cs="Arial"/>
          <w:b/>
          <w:bCs/>
          <w:sz w:val="20"/>
        </w:rPr>
        <w:t>’</w:t>
      </w:r>
      <w:r w:rsidR="00FD628E">
        <w:rPr>
          <w:rFonts w:ascii="Arial" w:hAnsi="Arial" w:cs="Arial"/>
          <w:b/>
          <w:bCs/>
          <w:sz w:val="20"/>
        </w:rPr>
        <w:t xml:space="preserve">s </w:t>
      </w:r>
      <w:proofErr w:type="gramStart"/>
      <w:r w:rsidR="00FD628E">
        <w:rPr>
          <w:rFonts w:ascii="Arial" w:hAnsi="Arial" w:cs="Arial"/>
          <w:b/>
          <w:bCs/>
          <w:sz w:val="20"/>
        </w:rPr>
        <w:t>Long Term</w:t>
      </w:r>
      <w:proofErr w:type="gramEnd"/>
      <w:r w:rsidR="00FD628E">
        <w:rPr>
          <w:rFonts w:ascii="Arial" w:hAnsi="Arial" w:cs="Arial"/>
          <w:b/>
          <w:bCs/>
          <w:sz w:val="20"/>
        </w:rPr>
        <w:t xml:space="preserve"> Incentive Plan </w:t>
      </w:r>
      <w:r w:rsidR="00D42515">
        <w:rPr>
          <w:rFonts w:ascii="Arial" w:hAnsi="Arial" w:cs="Arial"/>
          <w:b/>
          <w:bCs/>
          <w:sz w:val="20"/>
        </w:rPr>
        <w:t xml:space="preserve">(2017) </w:t>
      </w:r>
    </w:p>
    <w:p w14:paraId="00772069" w14:textId="77777777" w:rsidR="00FD628E" w:rsidRDefault="00FD628E" w:rsidP="00FD628E">
      <w:pPr>
        <w:pStyle w:val="BodyText2"/>
        <w:rPr>
          <w:rFonts w:ascii="Arial" w:hAnsi="Arial" w:cs="Arial"/>
          <w:sz w:val="20"/>
        </w:rPr>
      </w:pPr>
    </w:p>
    <w:p w14:paraId="7522FB16" w14:textId="47EDBC1A" w:rsidR="004C30C7" w:rsidRDefault="00C825C6" w:rsidP="00FD628E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Cairn announces that, on </w:t>
      </w:r>
      <w:r w:rsidR="00F633F2">
        <w:rPr>
          <w:rFonts w:ascii="Arial" w:hAnsi="Arial" w:cs="Arial"/>
          <w:sz w:val="20"/>
        </w:rPr>
        <w:t>1</w:t>
      </w:r>
      <w:r w:rsidR="00637C20">
        <w:rPr>
          <w:rFonts w:ascii="Arial" w:hAnsi="Arial" w:cs="Arial"/>
          <w:sz w:val="20"/>
        </w:rPr>
        <w:t>7</w:t>
      </w:r>
      <w:r w:rsidR="00F633F2">
        <w:rPr>
          <w:rFonts w:ascii="Arial" w:hAnsi="Arial" w:cs="Arial"/>
          <w:sz w:val="20"/>
        </w:rPr>
        <w:t xml:space="preserve"> Ma</w:t>
      </w:r>
      <w:r w:rsidR="00637C20">
        <w:rPr>
          <w:rFonts w:ascii="Arial" w:hAnsi="Arial" w:cs="Arial"/>
          <w:sz w:val="20"/>
        </w:rPr>
        <w:t>rch</w:t>
      </w:r>
      <w:r w:rsidR="00E369EB">
        <w:rPr>
          <w:rFonts w:ascii="Arial" w:hAnsi="Arial" w:cs="Arial"/>
          <w:sz w:val="20"/>
        </w:rPr>
        <w:t xml:space="preserve"> </w:t>
      </w:r>
      <w:r w:rsidR="00FD628E">
        <w:rPr>
          <w:rFonts w:ascii="Arial" w:hAnsi="Arial" w:cs="Arial"/>
          <w:sz w:val="20"/>
        </w:rPr>
        <w:t>20</w:t>
      </w:r>
      <w:r w:rsidR="00716550">
        <w:rPr>
          <w:rFonts w:ascii="Arial" w:hAnsi="Arial" w:cs="Arial"/>
          <w:sz w:val="20"/>
        </w:rPr>
        <w:t>2</w:t>
      </w:r>
      <w:r w:rsidR="00637C20">
        <w:rPr>
          <w:rFonts w:ascii="Arial" w:hAnsi="Arial" w:cs="Arial"/>
          <w:sz w:val="20"/>
        </w:rPr>
        <w:t>1</w:t>
      </w:r>
      <w:r w:rsidR="00FD628E">
        <w:rPr>
          <w:rFonts w:ascii="Arial" w:hAnsi="Arial" w:cs="Arial"/>
          <w:sz w:val="20"/>
        </w:rPr>
        <w:t xml:space="preserve">, </w:t>
      </w:r>
      <w:r w:rsidR="004C30C7" w:rsidRPr="004C30C7">
        <w:rPr>
          <w:rFonts w:ascii="Arial" w:hAnsi="Arial" w:cs="Arial"/>
          <w:sz w:val="20"/>
        </w:rPr>
        <w:t xml:space="preserve">the following Awards (in the form of </w:t>
      </w:r>
      <w:r w:rsidR="00224720">
        <w:rPr>
          <w:rFonts w:ascii="Arial" w:hAnsi="Arial" w:cs="Arial"/>
          <w:sz w:val="20"/>
        </w:rPr>
        <w:t>“</w:t>
      </w:r>
      <w:r w:rsidR="004C30C7" w:rsidRPr="004C30C7">
        <w:rPr>
          <w:rFonts w:ascii="Arial" w:hAnsi="Arial" w:cs="Arial"/>
          <w:sz w:val="20"/>
        </w:rPr>
        <w:t>nil-cost</w:t>
      </w:r>
      <w:r w:rsidR="00224720">
        <w:rPr>
          <w:rFonts w:ascii="Arial" w:hAnsi="Arial" w:cs="Arial"/>
          <w:sz w:val="20"/>
        </w:rPr>
        <w:t>”</w:t>
      </w:r>
      <w:r w:rsidR="004C30C7" w:rsidRPr="004C30C7">
        <w:rPr>
          <w:rFonts w:ascii="Arial" w:hAnsi="Arial" w:cs="Arial"/>
          <w:sz w:val="20"/>
        </w:rPr>
        <w:t xml:space="preserve"> options) </w:t>
      </w:r>
      <w:r w:rsidR="004C30C7">
        <w:rPr>
          <w:rFonts w:ascii="Arial" w:hAnsi="Arial" w:cs="Arial"/>
          <w:sz w:val="20"/>
        </w:rPr>
        <w:t>over its ordinary s</w:t>
      </w:r>
      <w:r w:rsidR="004C30C7" w:rsidRPr="002135D3">
        <w:rPr>
          <w:rFonts w:ascii="Arial" w:hAnsi="Arial" w:cs="Arial"/>
          <w:sz w:val="20"/>
        </w:rPr>
        <w:t xml:space="preserve">hares of </w:t>
      </w:r>
      <w:r w:rsidR="00637C20" w:rsidRPr="00637C20">
        <w:rPr>
          <w:rFonts w:ascii="Arial" w:hAnsi="Arial" w:cs="Arial"/>
          <w:sz w:val="20"/>
          <w:vertAlign w:val="superscript"/>
        </w:rPr>
        <w:t>21</w:t>
      </w:r>
      <w:r w:rsidR="00637C20">
        <w:rPr>
          <w:rFonts w:ascii="Arial" w:hAnsi="Arial" w:cs="Arial"/>
          <w:sz w:val="20"/>
        </w:rPr>
        <w:t>/</w:t>
      </w:r>
      <w:r w:rsidR="00637C20" w:rsidRPr="00637C20">
        <w:rPr>
          <w:rFonts w:ascii="Arial" w:hAnsi="Arial" w:cs="Arial"/>
          <w:sz w:val="20"/>
          <w:vertAlign w:val="subscript"/>
        </w:rPr>
        <w:t>13</w:t>
      </w:r>
      <w:r w:rsidR="004C30C7">
        <w:rPr>
          <w:rFonts w:ascii="Arial" w:hAnsi="Arial" w:cs="Arial"/>
          <w:sz w:val="20"/>
        </w:rPr>
        <w:t xml:space="preserve"> </w:t>
      </w:r>
      <w:r w:rsidR="004C30C7" w:rsidRPr="002135D3">
        <w:rPr>
          <w:rFonts w:ascii="Arial" w:hAnsi="Arial" w:cs="Arial"/>
          <w:sz w:val="20"/>
        </w:rPr>
        <w:t xml:space="preserve">pence each </w:t>
      </w:r>
      <w:r w:rsidR="004C30C7">
        <w:rPr>
          <w:rFonts w:ascii="Arial" w:hAnsi="Arial" w:cs="Arial"/>
          <w:sz w:val="20"/>
        </w:rPr>
        <w:t>(</w:t>
      </w:r>
      <w:r w:rsidR="00224720">
        <w:rPr>
          <w:rFonts w:ascii="Arial" w:hAnsi="Arial" w:cs="Arial"/>
          <w:sz w:val="20"/>
        </w:rPr>
        <w:t>“</w:t>
      </w:r>
      <w:r w:rsidR="004C30C7" w:rsidRPr="00C73BDB">
        <w:rPr>
          <w:rFonts w:ascii="Arial" w:hAnsi="Arial" w:cs="Arial"/>
          <w:b/>
          <w:sz w:val="20"/>
        </w:rPr>
        <w:t>Shares</w:t>
      </w:r>
      <w:r w:rsidR="00224720">
        <w:rPr>
          <w:rFonts w:ascii="Arial" w:hAnsi="Arial" w:cs="Arial"/>
          <w:sz w:val="20"/>
        </w:rPr>
        <w:t>”</w:t>
      </w:r>
      <w:r w:rsidR="004C30C7">
        <w:rPr>
          <w:rFonts w:ascii="Arial" w:hAnsi="Arial" w:cs="Arial"/>
          <w:sz w:val="20"/>
        </w:rPr>
        <w:t>)</w:t>
      </w:r>
      <w:r w:rsidR="00C73BDB">
        <w:rPr>
          <w:rFonts w:ascii="Arial" w:hAnsi="Arial" w:cs="Arial"/>
          <w:sz w:val="20"/>
        </w:rPr>
        <w:t xml:space="preserve"> </w:t>
      </w:r>
      <w:r w:rsidR="004C30C7" w:rsidRPr="004C30C7">
        <w:rPr>
          <w:rFonts w:ascii="Arial" w:hAnsi="Arial" w:cs="Arial"/>
          <w:sz w:val="20"/>
        </w:rPr>
        <w:fldChar w:fldCharType="begin"/>
      </w:r>
      <w:r w:rsidR="004C30C7" w:rsidRPr="004C30C7">
        <w:rPr>
          <w:rFonts w:ascii="Arial" w:hAnsi="Arial" w:cs="Arial"/>
          <w:sz w:val="20"/>
        </w:rPr>
        <w:instrText xml:space="preserve"> QUOTE </w:instrText>
      </w:r>
      <m:oMath>
        <m:f>
          <m:fPr>
            <m:type m:val="skw"/>
            <m:ctrlPr>
              <w:rPr>
                <w:rFonts w:ascii="Cambria Math" w:hAnsi="Cambria Math" w:cs="Arial"/>
                <w:sz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0"/>
              </w:rPr>
              <m:t>231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0"/>
              </w:rPr>
              <m:t>169</m:t>
            </m:r>
          </m:den>
        </m:f>
        <m:r>
          <m:rPr>
            <m:sty m:val="p"/>
          </m:rPr>
          <w:rPr>
            <w:rFonts w:ascii="Cambria Math" w:hAnsi="Cambria Math" w:cs="Arial"/>
            <w:sz w:val="20"/>
          </w:rPr>
          <m:t xml:space="preserve">  </m:t>
        </m:r>
      </m:oMath>
      <w:r w:rsidR="004C30C7" w:rsidRPr="004C30C7">
        <w:rPr>
          <w:rFonts w:ascii="Arial" w:hAnsi="Arial" w:cs="Arial"/>
          <w:sz w:val="20"/>
        </w:rPr>
        <w:instrText xml:space="preserve"> </w:instrText>
      </w:r>
      <w:r w:rsidR="004C30C7" w:rsidRPr="004C30C7">
        <w:rPr>
          <w:rFonts w:ascii="Arial" w:hAnsi="Arial" w:cs="Arial"/>
          <w:sz w:val="20"/>
        </w:rPr>
        <w:fldChar w:fldCharType="end"/>
      </w:r>
      <w:r w:rsidR="004C30C7" w:rsidRPr="004C30C7">
        <w:rPr>
          <w:rFonts w:ascii="Arial" w:hAnsi="Arial" w:cs="Arial"/>
          <w:sz w:val="20"/>
        </w:rPr>
        <w:t xml:space="preserve">were made </w:t>
      </w:r>
      <w:r w:rsidR="00D4594E">
        <w:rPr>
          <w:rFonts w:ascii="Arial" w:hAnsi="Arial" w:cs="Arial"/>
          <w:sz w:val="20"/>
        </w:rPr>
        <w:t>under the Long Term In</w:t>
      </w:r>
      <w:r w:rsidR="006F298E">
        <w:rPr>
          <w:rFonts w:ascii="Arial" w:hAnsi="Arial" w:cs="Arial"/>
          <w:sz w:val="20"/>
        </w:rPr>
        <w:t>centive Plan approved by shareholder</w:t>
      </w:r>
      <w:r w:rsidR="000A37BD">
        <w:rPr>
          <w:rFonts w:ascii="Arial" w:hAnsi="Arial" w:cs="Arial"/>
          <w:sz w:val="20"/>
        </w:rPr>
        <w:t>s</w:t>
      </w:r>
      <w:r w:rsidR="006F298E">
        <w:rPr>
          <w:rFonts w:ascii="Arial" w:hAnsi="Arial" w:cs="Arial"/>
          <w:sz w:val="20"/>
        </w:rPr>
        <w:t xml:space="preserve"> in </w:t>
      </w:r>
      <w:r w:rsidR="006F298E" w:rsidRPr="006F298E">
        <w:rPr>
          <w:rFonts w:ascii="Arial" w:hAnsi="Arial" w:cs="Arial"/>
          <w:sz w:val="20"/>
        </w:rPr>
        <w:t xml:space="preserve">2017 </w:t>
      </w:r>
      <w:r w:rsidR="006F298E" w:rsidRPr="006F298E">
        <w:rPr>
          <w:rFonts w:ascii="Arial" w:hAnsi="Arial" w:cs="Arial"/>
          <w:bCs/>
          <w:sz w:val="20"/>
        </w:rPr>
        <w:t>(the “</w:t>
      </w:r>
      <w:r w:rsidR="006F298E" w:rsidRPr="00B400D9">
        <w:rPr>
          <w:rFonts w:ascii="Arial" w:hAnsi="Arial" w:cs="Arial"/>
          <w:b/>
          <w:bCs/>
          <w:sz w:val="20"/>
        </w:rPr>
        <w:t>2017 LTIP</w:t>
      </w:r>
      <w:r w:rsidR="006F298E" w:rsidRPr="006F298E">
        <w:rPr>
          <w:rFonts w:ascii="Arial" w:hAnsi="Arial" w:cs="Arial"/>
          <w:bCs/>
          <w:sz w:val="20"/>
        </w:rPr>
        <w:t xml:space="preserve">”) </w:t>
      </w:r>
      <w:r w:rsidR="004C30C7" w:rsidRPr="006F298E">
        <w:rPr>
          <w:rFonts w:ascii="Arial" w:hAnsi="Arial" w:cs="Arial"/>
          <w:sz w:val="20"/>
        </w:rPr>
        <w:t>to the undernoted Executive</w:t>
      </w:r>
      <w:r w:rsidR="004C30C7" w:rsidRPr="004C30C7">
        <w:rPr>
          <w:rFonts w:ascii="Arial" w:hAnsi="Arial" w:cs="Arial"/>
          <w:sz w:val="20"/>
        </w:rPr>
        <w:t xml:space="preserve"> Directors and PDMRs of the Company:</w:t>
      </w:r>
    </w:p>
    <w:p w14:paraId="5A077BDE" w14:textId="77777777" w:rsidR="004C30C7" w:rsidRPr="005B6D89" w:rsidRDefault="004C30C7" w:rsidP="004C30C7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1"/>
        <w:gridCol w:w="3539"/>
      </w:tblGrid>
      <w:tr w:rsidR="004C30C7" w:rsidRPr="005B6D89" w14:paraId="46D23890" w14:textId="77777777" w:rsidTr="004C30C7">
        <w:tc>
          <w:tcPr>
            <w:tcW w:w="5971" w:type="dxa"/>
          </w:tcPr>
          <w:p w14:paraId="6C27E935" w14:textId="77777777" w:rsidR="004C30C7" w:rsidRPr="005B6D89" w:rsidRDefault="004C30C7" w:rsidP="00224720">
            <w:pPr>
              <w:spacing w:before="120" w:after="120"/>
              <w:jc w:val="center"/>
              <w:rPr>
                <w:rFonts w:cs="Arial"/>
                <w:b/>
                <w:lang w:eastAsia="en-US"/>
              </w:rPr>
            </w:pPr>
            <w:r w:rsidRPr="005B6D89">
              <w:rPr>
                <w:rFonts w:cs="Arial"/>
                <w:b/>
                <w:lang w:eastAsia="en-US"/>
              </w:rPr>
              <w:t>Executive Director / PDMR</w:t>
            </w:r>
          </w:p>
        </w:tc>
        <w:tc>
          <w:tcPr>
            <w:tcW w:w="3539" w:type="dxa"/>
          </w:tcPr>
          <w:p w14:paraId="522A963B" w14:textId="77777777" w:rsidR="004C30C7" w:rsidRPr="005B6D89" w:rsidRDefault="004C30C7" w:rsidP="00224720">
            <w:pPr>
              <w:spacing w:before="120" w:after="120"/>
              <w:jc w:val="center"/>
              <w:rPr>
                <w:rFonts w:cs="Arial"/>
                <w:b/>
                <w:lang w:eastAsia="en-US"/>
              </w:rPr>
            </w:pPr>
            <w:r w:rsidRPr="005B6D89">
              <w:rPr>
                <w:rFonts w:cs="Arial"/>
                <w:b/>
                <w:lang w:eastAsia="en-US"/>
              </w:rPr>
              <w:t>Number of Shares</w:t>
            </w:r>
          </w:p>
        </w:tc>
      </w:tr>
      <w:tr w:rsidR="007A4D06" w:rsidRPr="005B6D89" w14:paraId="44DFB11C" w14:textId="77777777" w:rsidTr="00B27AC1">
        <w:tc>
          <w:tcPr>
            <w:tcW w:w="5971" w:type="dxa"/>
            <w:vAlign w:val="center"/>
          </w:tcPr>
          <w:p w14:paraId="09D0D212" w14:textId="77777777" w:rsidR="007A4D06" w:rsidRPr="005B6D89" w:rsidRDefault="007A4D06" w:rsidP="007A4D06">
            <w:pPr>
              <w:spacing w:before="120" w:after="120"/>
              <w:rPr>
                <w:rFonts w:cs="Arial"/>
                <w:lang w:eastAsia="en-US"/>
              </w:rPr>
            </w:pPr>
            <w:r w:rsidRPr="005B6D89">
              <w:rPr>
                <w:rFonts w:cs="Arial"/>
                <w:lang w:eastAsia="en-US"/>
              </w:rPr>
              <w:t>Simon Thomson, Chief Executive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2B17A347" w14:textId="065619AD" w:rsidR="007A4D06" w:rsidRPr="00A90E1D" w:rsidRDefault="007050DE" w:rsidP="00A90E1D">
            <w:pPr>
              <w:jc w:val="center"/>
              <w:rPr>
                <w:rFonts w:cs="Arial"/>
              </w:rPr>
            </w:pPr>
            <w:r w:rsidRPr="00B27AC1">
              <w:rPr>
                <w:rFonts w:cs="Arial"/>
              </w:rPr>
              <w:t>822,482</w:t>
            </w:r>
          </w:p>
        </w:tc>
      </w:tr>
      <w:tr w:rsidR="007A4D06" w:rsidRPr="005B6D89" w14:paraId="522D993C" w14:textId="77777777" w:rsidTr="00B27AC1">
        <w:tc>
          <w:tcPr>
            <w:tcW w:w="5971" w:type="dxa"/>
            <w:vAlign w:val="center"/>
          </w:tcPr>
          <w:p w14:paraId="549A629A" w14:textId="77777777" w:rsidR="007A4D06" w:rsidRPr="005B6D89" w:rsidRDefault="007A4D06" w:rsidP="007A4D06">
            <w:pPr>
              <w:spacing w:before="120" w:after="120"/>
              <w:rPr>
                <w:rFonts w:cs="Arial"/>
                <w:lang w:eastAsia="en-US"/>
              </w:rPr>
            </w:pPr>
            <w:r w:rsidRPr="005B6D89">
              <w:rPr>
                <w:rFonts w:cs="Arial"/>
                <w:lang w:eastAsia="en-US"/>
              </w:rPr>
              <w:t>James Smith, Chief Financial Officer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41C58935" w14:textId="3023A85D" w:rsidR="007A4D06" w:rsidRPr="00A90E1D" w:rsidRDefault="007050DE" w:rsidP="00A90E1D">
            <w:pPr>
              <w:jc w:val="center"/>
              <w:rPr>
                <w:rFonts w:cs="Arial"/>
              </w:rPr>
            </w:pPr>
            <w:r w:rsidRPr="00B27AC1">
              <w:rPr>
                <w:rFonts w:cs="Arial"/>
              </w:rPr>
              <w:t>534,947</w:t>
            </w:r>
          </w:p>
        </w:tc>
      </w:tr>
      <w:tr w:rsidR="007A4D06" w:rsidRPr="005B6D89" w14:paraId="7FCA04CE" w14:textId="77777777" w:rsidTr="00B27AC1">
        <w:trPr>
          <w:trHeight w:val="203"/>
        </w:trPr>
        <w:tc>
          <w:tcPr>
            <w:tcW w:w="5971" w:type="dxa"/>
            <w:vAlign w:val="center"/>
          </w:tcPr>
          <w:p w14:paraId="3A5C6A9D" w14:textId="77777777" w:rsidR="007A4D06" w:rsidRPr="005B6D89" w:rsidRDefault="007A4D06" w:rsidP="007A4D06">
            <w:pPr>
              <w:spacing w:before="120" w:after="12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Eric Hathon</w:t>
            </w:r>
            <w:r w:rsidRPr="005B6D89">
              <w:rPr>
                <w:rFonts w:cs="Arial"/>
                <w:lang w:eastAsia="en-US"/>
              </w:rPr>
              <w:t>, Director of Exploration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0672DE62" w14:textId="62FEB932" w:rsidR="007A4D06" w:rsidRPr="00A90E1D" w:rsidRDefault="007050DE" w:rsidP="00A90E1D">
            <w:pPr>
              <w:jc w:val="center"/>
              <w:rPr>
                <w:rFonts w:cs="Arial"/>
              </w:rPr>
            </w:pPr>
            <w:r w:rsidRPr="00B27AC1">
              <w:rPr>
                <w:rFonts w:cs="Arial"/>
              </w:rPr>
              <w:t>440,667</w:t>
            </w:r>
          </w:p>
        </w:tc>
      </w:tr>
      <w:tr w:rsidR="007A4D06" w:rsidRPr="005B6D89" w14:paraId="5BB80D4D" w14:textId="77777777" w:rsidTr="00B27AC1">
        <w:tc>
          <w:tcPr>
            <w:tcW w:w="5971" w:type="dxa"/>
            <w:vAlign w:val="center"/>
          </w:tcPr>
          <w:p w14:paraId="04273D50" w14:textId="77777777" w:rsidR="007A4D06" w:rsidRPr="005B6D89" w:rsidRDefault="007A4D06" w:rsidP="007A4D06">
            <w:pPr>
              <w:spacing w:before="120" w:after="120"/>
              <w:rPr>
                <w:rFonts w:cs="Arial"/>
                <w:lang w:eastAsia="en-US"/>
              </w:rPr>
            </w:pPr>
            <w:r w:rsidRPr="005B6D89">
              <w:rPr>
                <w:rFonts w:cs="Arial"/>
                <w:lang w:eastAsia="en-US"/>
              </w:rPr>
              <w:t>Paul Mayland, Chief Operating Officer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7067DDE2" w14:textId="6113A2F5" w:rsidR="007A4D06" w:rsidRPr="00A90E1D" w:rsidRDefault="007050DE" w:rsidP="00A90E1D">
            <w:pPr>
              <w:jc w:val="center"/>
              <w:rPr>
                <w:rFonts w:cs="Arial"/>
              </w:rPr>
            </w:pPr>
            <w:r w:rsidRPr="00B27AC1">
              <w:rPr>
                <w:rFonts w:cs="Arial"/>
              </w:rPr>
              <w:t>451,065</w:t>
            </w:r>
          </w:p>
        </w:tc>
      </w:tr>
    </w:tbl>
    <w:p w14:paraId="16783630" w14:textId="77777777" w:rsidR="004C30C7" w:rsidRPr="005B6D89" w:rsidRDefault="004C30C7" w:rsidP="004C30C7">
      <w:pPr>
        <w:jc w:val="both"/>
        <w:rPr>
          <w:rFonts w:cs="Arial"/>
        </w:rPr>
      </w:pPr>
    </w:p>
    <w:p w14:paraId="1CC3822B" w14:textId="6937FE6D" w:rsidR="00CC2F3B" w:rsidRDefault="00CC2F3B" w:rsidP="00CC2F3B">
      <w:pPr>
        <w:jc w:val="both"/>
        <w:rPr>
          <w:rFonts w:cs="Arial"/>
          <w:bCs/>
          <w:lang w:val="en-US"/>
        </w:rPr>
      </w:pPr>
      <w:r w:rsidRPr="005B6D89">
        <w:rPr>
          <w:rFonts w:cs="Arial"/>
          <w:bCs/>
          <w:lang w:val="en-US"/>
        </w:rPr>
        <w:t>All Shares were awarded at £</w:t>
      </w:r>
      <w:r w:rsidR="007050DE">
        <w:rPr>
          <w:rFonts w:cs="Arial"/>
          <w:bCs/>
          <w:lang w:val="en-US"/>
        </w:rPr>
        <w:t>1.801</w:t>
      </w:r>
      <w:r>
        <w:rPr>
          <w:rFonts w:cs="Arial"/>
          <w:bCs/>
          <w:lang w:val="en-US"/>
        </w:rPr>
        <w:t xml:space="preserve"> </w:t>
      </w:r>
      <w:r w:rsidRPr="005B6D89">
        <w:rPr>
          <w:rFonts w:cs="Arial"/>
          <w:bCs/>
          <w:lang w:val="en-US"/>
        </w:rPr>
        <w:t xml:space="preserve">per Share, being the mid-market closing price of a Share </w:t>
      </w:r>
      <w:r>
        <w:rPr>
          <w:rFonts w:cs="Arial"/>
          <w:bCs/>
          <w:lang w:val="en-US"/>
        </w:rPr>
        <w:t xml:space="preserve">on </w:t>
      </w:r>
      <w:r w:rsidR="00637C20">
        <w:rPr>
          <w:rFonts w:cs="Arial"/>
          <w:bCs/>
          <w:lang w:val="en-US"/>
        </w:rPr>
        <w:t>16</w:t>
      </w:r>
      <w:r w:rsidRPr="006F298E">
        <w:rPr>
          <w:rFonts w:cs="Arial"/>
          <w:bCs/>
          <w:lang w:val="en-US"/>
        </w:rPr>
        <w:t xml:space="preserve"> </w:t>
      </w:r>
      <w:r w:rsidR="00F633F2">
        <w:rPr>
          <w:rFonts w:cs="Arial"/>
          <w:bCs/>
          <w:lang w:val="en-US"/>
        </w:rPr>
        <w:t>Ma</w:t>
      </w:r>
      <w:r w:rsidR="00637C20">
        <w:rPr>
          <w:rFonts w:cs="Arial"/>
          <w:bCs/>
          <w:lang w:val="en-US"/>
        </w:rPr>
        <w:t>rch</w:t>
      </w:r>
      <w:r>
        <w:rPr>
          <w:rFonts w:cs="Arial"/>
          <w:bCs/>
          <w:lang w:val="en-US"/>
        </w:rPr>
        <w:t xml:space="preserve"> 20</w:t>
      </w:r>
      <w:r w:rsidR="00716550">
        <w:rPr>
          <w:rFonts w:cs="Arial"/>
          <w:bCs/>
          <w:lang w:val="en-US"/>
        </w:rPr>
        <w:t>2</w:t>
      </w:r>
      <w:r w:rsidR="0063780C">
        <w:rPr>
          <w:rFonts w:cs="Arial"/>
          <w:bCs/>
          <w:lang w:val="en-US"/>
        </w:rPr>
        <w:t>1</w:t>
      </w:r>
      <w:r>
        <w:rPr>
          <w:rFonts w:cs="Arial"/>
          <w:bCs/>
          <w:lang w:val="en-US"/>
        </w:rPr>
        <w:t>.</w:t>
      </w:r>
      <w:r w:rsidRPr="005B6D89">
        <w:rPr>
          <w:rFonts w:cs="Arial"/>
          <w:bCs/>
          <w:lang w:val="en-US"/>
        </w:rPr>
        <w:t xml:space="preserve"> The vesting of the </w:t>
      </w:r>
      <w:r>
        <w:rPr>
          <w:rFonts w:cs="Arial"/>
          <w:bCs/>
          <w:lang w:val="en-US"/>
        </w:rPr>
        <w:t>A</w:t>
      </w:r>
      <w:r w:rsidRPr="005B6D89">
        <w:rPr>
          <w:rFonts w:cs="Arial"/>
          <w:bCs/>
          <w:lang w:val="en-US"/>
        </w:rPr>
        <w:t>wards</w:t>
      </w:r>
      <w:r>
        <w:rPr>
          <w:rFonts w:cs="Arial"/>
          <w:bCs/>
          <w:lang w:val="en-US"/>
        </w:rPr>
        <w:t xml:space="preserve"> (which, in the case of the Executive Directors, have been granted in accordance with the Company</w:t>
      </w:r>
      <w:r w:rsidR="00224720">
        <w:rPr>
          <w:rFonts w:cs="Arial"/>
          <w:bCs/>
          <w:lang w:val="en-US"/>
        </w:rPr>
        <w:t>’</w:t>
      </w:r>
      <w:r>
        <w:rPr>
          <w:rFonts w:cs="Arial"/>
          <w:bCs/>
          <w:lang w:val="en-US"/>
        </w:rPr>
        <w:t>s directors</w:t>
      </w:r>
      <w:r w:rsidR="00224720">
        <w:rPr>
          <w:rFonts w:cs="Arial"/>
          <w:bCs/>
          <w:lang w:val="en-US"/>
        </w:rPr>
        <w:t>’</w:t>
      </w:r>
      <w:r>
        <w:rPr>
          <w:rFonts w:cs="Arial"/>
          <w:bCs/>
          <w:lang w:val="en-US"/>
        </w:rPr>
        <w:t xml:space="preserve"> remuneration policy that was approved at the 20</w:t>
      </w:r>
      <w:r w:rsidR="00F633F2">
        <w:rPr>
          <w:rFonts w:cs="Arial"/>
          <w:bCs/>
          <w:lang w:val="en-US"/>
        </w:rPr>
        <w:t>20</w:t>
      </w:r>
      <w:r>
        <w:rPr>
          <w:rFonts w:cs="Arial"/>
          <w:bCs/>
          <w:lang w:val="en-US"/>
        </w:rPr>
        <w:t xml:space="preserve"> AGM</w:t>
      </w:r>
      <w:r w:rsidR="0063780C">
        <w:rPr>
          <w:rFonts w:cs="Arial"/>
          <w:bCs/>
          <w:lang w:val="en-US"/>
        </w:rPr>
        <w:t xml:space="preserve"> (the “</w:t>
      </w:r>
      <w:r w:rsidR="0063780C">
        <w:rPr>
          <w:rFonts w:cs="Arial"/>
          <w:b/>
          <w:lang w:val="en-US"/>
        </w:rPr>
        <w:t>Remuneration Policy</w:t>
      </w:r>
      <w:r w:rsidR="0063780C">
        <w:rPr>
          <w:rFonts w:cs="Arial"/>
          <w:bCs/>
          <w:lang w:val="en-US"/>
        </w:rPr>
        <w:t>”</w:t>
      </w:r>
      <w:r>
        <w:rPr>
          <w:rFonts w:cs="Arial"/>
          <w:bCs/>
          <w:lang w:val="en-US"/>
        </w:rPr>
        <w:t>)</w:t>
      </w:r>
      <w:r w:rsidR="00EC6F9D">
        <w:rPr>
          <w:rFonts w:cs="Arial"/>
          <w:bCs/>
          <w:lang w:val="en-US"/>
        </w:rPr>
        <w:t>)</w:t>
      </w:r>
      <w:r w:rsidRPr="005B6D89">
        <w:rPr>
          <w:rFonts w:cs="Arial"/>
          <w:bCs/>
          <w:lang w:val="en-US"/>
        </w:rPr>
        <w:t xml:space="preserve"> depends upon the extent to which </w:t>
      </w:r>
      <w:r>
        <w:rPr>
          <w:rFonts w:cs="Arial"/>
          <w:bCs/>
          <w:lang w:val="en-US"/>
        </w:rPr>
        <w:t xml:space="preserve">specified </w:t>
      </w:r>
      <w:r w:rsidRPr="005B6D89">
        <w:rPr>
          <w:rFonts w:cs="Arial"/>
          <w:bCs/>
          <w:lang w:val="en-US"/>
        </w:rPr>
        <w:t>performance conditions are met over a three-year performance period.</w:t>
      </w:r>
      <w:r w:rsidR="0063780C">
        <w:rPr>
          <w:rFonts w:cs="Arial"/>
          <w:bCs/>
          <w:lang w:val="en-US"/>
        </w:rPr>
        <w:t xml:space="preserve"> Following any such vesting, Awards will be subject to a further “holding period” during which they cannot be exercised; in the case of the </w:t>
      </w:r>
      <w:r w:rsidR="008D3742">
        <w:rPr>
          <w:rFonts w:cs="Arial"/>
          <w:bCs/>
          <w:lang w:val="en-US"/>
        </w:rPr>
        <w:t>Awards</w:t>
      </w:r>
      <w:r w:rsidR="0063780C">
        <w:rPr>
          <w:rFonts w:cs="Arial"/>
          <w:bCs/>
          <w:lang w:val="en-US"/>
        </w:rPr>
        <w:t xml:space="preserve"> noted above, this period will not expire until the second anniversary of the vesting date.</w:t>
      </w:r>
    </w:p>
    <w:p w14:paraId="13655DFA" w14:textId="77777777" w:rsidR="00F633F2" w:rsidRDefault="00F633F2" w:rsidP="00CC2F3B">
      <w:pPr>
        <w:jc w:val="both"/>
        <w:rPr>
          <w:rFonts w:cs="Arial"/>
          <w:bCs/>
          <w:lang w:val="en-US"/>
        </w:rPr>
      </w:pPr>
    </w:p>
    <w:p w14:paraId="295584B4" w14:textId="77777777" w:rsidR="0063780C" w:rsidRDefault="0063780C" w:rsidP="0063780C">
      <w:pPr>
        <w:jc w:val="both"/>
        <w:rPr>
          <w:rFonts w:cs="Arial"/>
          <w:bCs/>
          <w:lang w:val="en-US"/>
        </w:rPr>
      </w:pPr>
    </w:p>
    <w:p w14:paraId="62287824" w14:textId="77777777" w:rsidR="00CC2F3B" w:rsidRDefault="00CC2F3B" w:rsidP="00AF4611">
      <w:pPr>
        <w:rPr>
          <w:rFonts w:cs="Arial"/>
          <w:b/>
          <w:bCs/>
        </w:rPr>
      </w:pPr>
    </w:p>
    <w:p w14:paraId="4595EC0C" w14:textId="77777777" w:rsidR="00F6141E" w:rsidRDefault="004C30C7" w:rsidP="00AF4611">
      <w:pPr>
        <w:rPr>
          <w:rFonts w:cs="Arial"/>
          <w:b/>
          <w:bCs/>
        </w:rPr>
      </w:pPr>
      <w:r>
        <w:rPr>
          <w:rFonts w:cs="Arial"/>
          <w:b/>
          <w:bCs/>
        </w:rPr>
        <w:t>2</w:t>
      </w:r>
      <w:r w:rsidR="00F6141E">
        <w:rPr>
          <w:rFonts w:cs="Arial"/>
          <w:b/>
          <w:bCs/>
        </w:rPr>
        <w:t>.</w:t>
      </w:r>
      <w:r w:rsidR="00F6141E">
        <w:rPr>
          <w:rFonts w:cs="Arial"/>
          <w:b/>
          <w:bCs/>
        </w:rPr>
        <w:tab/>
        <w:t xml:space="preserve">Summary of current holdings of </w:t>
      </w:r>
      <w:r w:rsidR="00E16E51">
        <w:rPr>
          <w:rFonts w:cs="Arial"/>
          <w:b/>
          <w:bCs/>
        </w:rPr>
        <w:t xml:space="preserve">Executive </w:t>
      </w:r>
      <w:r w:rsidR="00F6141E">
        <w:rPr>
          <w:rFonts w:cs="Arial"/>
          <w:b/>
          <w:bCs/>
        </w:rPr>
        <w:t>Directors / PDMR</w:t>
      </w:r>
      <w:r w:rsidR="00E16E51">
        <w:rPr>
          <w:rFonts w:cs="Arial"/>
          <w:b/>
          <w:bCs/>
        </w:rPr>
        <w:t>s</w:t>
      </w:r>
    </w:p>
    <w:p w14:paraId="238D6293" w14:textId="77777777" w:rsidR="00F6141E" w:rsidRDefault="00F6141E">
      <w:pPr>
        <w:pStyle w:val="BodyText2"/>
        <w:rPr>
          <w:rFonts w:ascii="Arial" w:hAnsi="Arial" w:cs="Arial"/>
          <w:sz w:val="20"/>
        </w:rPr>
      </w:pPr>
    </w:p>
    <w:p w14:paraId="020B6F8F" w14:textId="77777777" w:rsidR="004C30C7" w:rsidRDefault="00F6141E" w:rsidP="00D65FA2">
      <w:pPr>
        <w:pStyle w:val="BodyText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Following</w:t>
      </w:r>
      <w:r w:rsidR="007E3B9F">
        <w:rPr>
          <w:rFonts w:ascii="Arial" w:hAnsi="Arial" w:cs="Arial"/>
          <w:bCs/>
          <w:sz w:val="20"/>
        </w:rPr>
        <w:t xml:space="preserve"> the </w:t>
      </w:r>
      <w:r w:rsidR="00784957">
        <w:rPr>
          <w:rFonts w:ascii="Arial" w:hAnsi="Arial" w:cs="Arial"/>
          <w:bCs/>
          <w:sz w:val="20"/>
        </w:rPr>
        <w:t xml:space="preserve">grant of the </w:t>
      </w:r>
      <w:r w:rsidR="007E3B9F">
        <w:rPr>
          <w:rFonts w:ascii="Arial" w:hAnsi="Arial" w:cs="Arial"/>
          <w:bCs/>
          <w:sz w:val="20"/>
        </w:rPr>
        <w:t>above</w:t>
      </w:r>
      <w:r w:rsidR="00784957">
        <w:rPr>
          <w:rFonts w:ascii="Arial" w:hAnsi="Arial" w:cs="Arial"/>
          <w:bCs/>
          <w:sz w:val="20"/>
        </w:rPr>
        <w:t xml:space="preserve"> A</w:t>
      </w:r>
      <w:r w:rsidR="004C30C7">
        <w:rPr>
          <w:rFonts w:ascii="Arial" w:hAnsi="Arial" w:cs="Arial"/>
          <w:bCs/>
          <w:sz w:val="20"/>
        </w:rPr>
        <w:t>wards</w:t>
      </w:r>
      <w:r>
        <w:rPr>
          <w:rFonts w:ascii="Arial" w:hAnsi="Arial" w:cs="Arial"/>
          <w:bCs/>
          <w:sz w:val="20"/>
        </w:rPr>
        <w:t xml:space="preserve">, the </w:t>
      </w:r>
      <w:r w:rsidR="00E16E51">
        <w:rPr>
          <w:rFonts w:ascii="Arial" w:hAnsi="Arial" w:cs="Arial"/>
          <w:bCs/>
          <w:sz w:val="20"/>
        </w:rPr>
        <w:t>Executive Directors</w:t>
      </w:r>
      <w:r w:rsidR="00224720">
        <w:rPr>
          <w:rFonts w:ascii="Arial" w:hAnsi="Arial" w:cs="Arial"/>
          <w:bCs/>
          <w:sz w:val="20"/>
        </w:rPr>
        <w:t>’</w:t>
      </w:r>
      <w:r w:rsidR="00E16E51">
        <w:rPr>
          <w:rFonts w:ascii="Arial" w:hAnsi="Arial" w:cs="Arial"/>
          <w:bCs/>
          <w:sz w:val="20"/>
        </w:rPr>
        <w:t xml:space="preserve"> and</w:t>
      </w:r>
      <w:r>
        <w:rPr>
          <w:rFonts w:ascii="Arial" w:hAnsi="Arial" w:cs="Arial"/>
          <w:bCs/>
          <w:sz w:val="20"/>
        </w:rPr>
        <w:t xml:space="preserve"> PDMRs</w:t>
      </w:r>
      <w:r w:rsidR="00224720">
        <w:rPr>
          <w:rFonts w:ascii="Arial" w:hAnsi="Arial" w:cs="Arial"/>
          <w:bCs/>
          <w:sz w:val="20"/>
        </w:rPr>
        <w:t>’</w:t>
      </w:r>
      <w:r>
        <w:rPr>
          <w:rFonts w:ascii="Arial" w:hAnsi="Arial" w:cs="Arial"/>
          <w:bCs/>
          <w:sz w:val="20"/>
        </w:rPr>
        <w:t xml:space="preserve"> beneficial interests in the Shares</w:t>
      </w:r>
      <w:r w:rsidR="009F266D">
        <w:rPr>
          <w:rFonts w:ascii="Arial" w:hAnsi="Arial" w:cs="Arial"/>
          <w:bCs/>
          <w:sz w:val="20"/>
        </w:rPr>
        <w:t xml:space="preserve"> of the Company are as follows:</w:t>
      </w:r>
    </w:p>
    <w:p w14:paraId="0BC35F60" w14:textId="77777777" w:rsidR="004C30C7" w:rsidRDefault="004C30C7">
      <w:pPr>
        <w:rPr>
          <w:rFonts w:cs="Arial"/>
          <w:bCs/>
          <w:lang w:val="en-US"/>
        </w:rPr>
      </w:pPr>
      <w:r>
        <w:rPr>
          <w:rFonts w:cs="Arial"/>
          <w:bCs/>
        </w:rPr>
        <w:br w:type="page"/>
      </w:r>
    </w:p>
    <w:p w14:paraId="612E8F9C" w14:textId="77777777" w:rsidR="00EB2516" w:rsidRDefault="00EB2516" w:rsidP="00D65FA2">
      <w:pPr>
        <w:pStyle w:val="BodyText2"/>
        <w:rPr>
          <w:rFonts w:ascii="Arial" w:hAnsi="Arial" w:cs="Arial"/>
          <w:bCs/>
          <w:sz w:val="20"/>
        </w:rPr>
      </w:pPr>
    </w:p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1432"/>
        <w:gridCol w:w="1498"/>
        <w:gridCol w:w="2128"/>
        <w:gridCol w:w="2124"/>
      </w:tblGrid>
      <w:tr w:rsidR="00690712" w:rsidRPr="003C0C45" w14:paraId="511D247D" w14:textId="77777777" w:rsidTr="0097186F">
        <w:trPr>
          <w:trHeight w:val="255"/>
        </w:trPr>
        <w:tc>
          <w:tcPr>
            <w:tcW w:w="1159" w:type="pct"/>
            <w:vMerge w:val="restart"/>
            <w:vAlign w:val="center"/>
          </w:tcPr>
          <w:p w14:paraId="52484B2C" w14:textId="77777777" w:rsidR="00690712" w:rsidRPr="003C0C45" w:rsidRDefault="00690712" w:rsidP="00F633F2">
            <w:pPr>
              <w:jc w:val="center"/>
              <w:rPr>
                <w:rFonts w:cs="Arial"/>
                <w:lang w:val="en-US"/>
              </w:rPr>
            </w:pPr>
            <w:r w:rsidRPr="003C0C45">
              <w:rPr>
                <w:rFonts w:cs="Arial"/>
                <w:b/>
                <w:lang w:val="en-US"/>
              </w:rPr>
              <w:t>Executive Director / PDMR</w:t>
            </w:r>
          </w:p>
        </w:tc>
        <w:tc>
          <w:tcPr>
            <w:tcW w:w="765" w:type="pct"/>
            <w:vMerge w:val="restart"/>
            <w:vAlign w:val="center"/>
          </w:tcPr>
          <w:p w14:paraId="1C6595B9" w14:textId="77777777" w:rsidR="00690712" w:rsidRPr="003C0C45" w:rsidRDefault="00690712" w:rsidP="00F633F2">
            <w:pPr>
              <w:jc w:val="center"/>
              <w:rPr>
                <w:rFonts w:cs="Arial"/>
                <w:lang w:val="en-US"/>
              </w:rPr>
            </w:pPr>
            <w:r w:rsidRPr="003C0C45">
              <w:rPr>
                <w:rFonts w:cs="Arial"/>
                <w:b/>
                <w:lang w:val="en-US"/>
              </w:rPr>
              <w:t>Current Shares</w:t>
            </w:r>
          </w:p>
        </w:tc>
        <w:tc>
          <w:tcPr>
            <w:tcW w:w="801" w:type="pct"/>
            <w:vMerge w:val="restart"/>
            <w:vAlign w:val="center"/>
          </w:tcPr>
          <w:p w14:paraId="002D98C7" w14:textId="77777777" w:rsidR="00690712" w:rsidRPr="003C0C45" w:rsidRDefault="00690712" w:rsidP="00F633F2">
            <w:pPr>
              <w:jc w:val="center"/>
              <w:rPr>
                <w:rFonts w:cs="Arial"/>
                <w:lang w:val="en-US"/>
              </w:rPr>
            </w:pPr>
            <w:r w:rsidRPr="003C0C45">
              <w:rPr>
                <w:rFonts w:cs="Arial"/>
                <w:b/>
                <w:lang w:val="en-US"/>
              </w:rPr>
              <w:t>% Issued Share Capital</w:t>
            </w:r>
          </w:p>
        </w:tc>
        <w:tc>
          <w:tcPr>
            <w:tcW w:w="2274" w:type="pct"/>
            <w:gridSpan w:val="2"/>
            <w:vAlign w:val="center"/>
          </w:tcPr>
          <w:p w14:paraId="704AB11A" w14:textId="77777777" w:rsidR="00690712" w:rsidRPr="003C0C45" w:rsidRDefault="00690712" w:rsidP="00F633F2">
            <w:pPr>
              <w:jc w:val="center"/>
              <w:rPr>
                <w:rFonts w:cs="Arial"/>
                <w:b/>
                <w:lang w:val="en-US"/>
              </w:rPr>
            </w:pPr>
            <w:r w:rsidRPr="003C0C45">
              <w:rPr>
                <w:rFonts w:cs="Arial"/>
                <w:b/>
                <w:lang w:val="en-US"/>
              </w:rPr>
              <w:t xml:space="preserve">Outstanding entitlements under </w:t>
            </w:r>
            <w:r>
              <w:rPr>
                <w:rFonts w:cs="Arial"/>
                <w:b/>
                <w:lang w:val="en-US"/>
              </w:rPr>
              <w:t>2017 LTIP</w:t>
            </w:r>
          </w:p>
          <w:p w14:paraId="7C793618" w14:textId="77777777" w:rsidR="00690712" w:rsidRPr="003C0C45" w:rsidRDefault="00690712" w:rsidP="00F633F2">
            <w:pPr>
              <w:jc w:val="center"/>
              <w:rPr>
                <w:rFonts w:cs="Arial"/>
                <w:b/>
                <w:lang w:val="en-US"/>
              </w:rPr>
            </w:pPr>
          </w:p>
        </w:tc>
      </w:tr>
      <w:tr w:rsidR="00690712" w:rsidRPr="003C0C45" w14:paraId="6F5EC233" w14:textId="77777777" w:rsidTr="0097186F">
        <w:trPr>
          <w:trHeight w:val="255"/>
        </w:trPr>
        <w:tc>
          <w:tcPr>
            <w:tcW w:w="1159" w:type="pct"/>
            <w:vMerge/>
            <w:vAlign w:val="center"/>
          </w:tcPr>
          <w:p w14:paraId="660DAD4B" w14:textId="77777777" w:rsidR="00690712" w:rsidRPr="003C0C45" w:rsidRDefault="00690712" w:rsidP="00F633F2">
            <w:pPr>
              <w:rPr>
                <w:rFonts w:cs="Arial"/>
                <w:lang w:val="en-US"/>
              </w:rPr>
            </w:pPr>
          </w:p>
        </w:tc>
        <w:tc>
          <w:tcPr>
            <w:tcW w:w="765" w:type="pct"/>
            <w:vMerge/>
            <w:vAlign w:val="center"/>
          </w:tcPr>
          <w:p w14:paraId="561D0638" w14:textId="77777777" w:rsidR="00690712" w:rsidRPr="003C0C45" w:rsidRDefault="00690712" w:rsidP="00F633F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801" w:type="pct"/>
            <w:vMerge/>
            <w:vAlign w:val="bottom"/>
          </w:tcPr>
          <w:p w14:paraId="328474CD" w14:textId="77777777" w:rsidR="00690712" w:rsidRPr="003C0C45" w:rsidRDefault="00690712" w:rsidP="00F633F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8" w:type="pct"/>
            <w:vAlign w:val="bottom"/>
          </w:tcPr>
          <w:p w14:paraId="6753E58D" w14:textId="77777777" w:rsidR="00690712" w:rsidRPr="003C0C45" w:rsidRDefault="00690712" w:rsidP="00F633F2">
            <w:pPr>
              <w:jc w:val="center"/>
              <w:rPr>
                <w:rFonts w:cs="Arial"/>
                <w:i/>
              </w:rPr>
            </w:pPr>
            <w:r w:rsidRPr="003C0C45">
              <w:rPr>
                <w:rFonts w:cs="Arial"/>
                <w:i/>
              </w:rPr>
              <w:t>Unvested Awards still subject to performance conditions</w:t>
            </w:r>
          </w:p>
        </w:tc>
        <w:tc>
          <w:tcPr>
            <w:tcW w:w="1136" w:type="pct"/>
            <w:vAlign w:val="center"/>
          </w:tcPr>
          <w:p w14:paraId="1E81A9E0" w14:textId="28B49068" w:rsidR="00690712" w:rsidRPr="003C0C45" w:rsidRDefault="00690712" w:rsidP="008D3742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Vested but unexercised Awards*</w:t>
            </w:r>
          </w:p>
        </w:tc>
      </w:tr>
      <w:tr w:rsidR="00690712" w:rsidRPr="006D2E6F" w14:paraId="344D881A" w14:textId="77777777" w:rsidTr="0097186F">
        <w:trPr>
          <w:trHeight w:val="480"/>
        </w:trPr>
        <w:tc>
          <w:tcPr>
            <w:tcW w:w="1159" w:type="pct"/>
            <w:vAlign w:val="center"/>
          </w:tcPr>
          <w:p w14:paraId="214D17D7" w14:textId="77777777" w:rsidR="00690712" w:rsidRPr="003C0C45" w:rsidRDefault="00690712" w:rsidP="008D3742">
            <w:pPr>
              <w:rPr>
                <w:rFonts w:cs="Arial"/>
                <w:lang w:val="en-US"/>
              </w:rPr>
            </w:pPr>
            <w:r w:rsidRPr="003C0C45">
              <w:rPr>
                <w:rFonts w:cs="Arial"/>
                <w:lang w:val="en-US"/>
              </w:rPr>
              <w:t>Simon Thomson</w:t>
            </w:r>
          </w:p>
        </w:tc>
        <w:tc>
          <w:tcPr>
            <w:tcW w:w="765" w:type="pct"/>
            <w:vAlign w:val="center"/>
          </w:tcPr>
          <w:p w14:paraId="5E4B8EA0" w14:textId="1928EC3B" w:rsidR="00690712" w:rsidRPr="00E84498" w:rsidRDefault="00690712" w:rsidP="008D3742">
            <w:pPr>
              <w:jc w:val="center"/>
              <w:rPr>
                <w:rFonts w:cs="Arial"/>
                <w:lang w:val="en-US"/>
              </w:rPr>
            </w:pPr>
            <w:r w:rsidRPr="00E84498">
              <w:rPr>
                <w:rFonts w:cs="Arial"/>
                <w:lang w:val="en-US"/>
              </w:rPr>
              <w:t>1,145,089</w:t>
            </w:r>
          </w:p>
        </w:tc>
        <w:tc>
          <w:tcPr>
            <w:tcW w:w="801" w:type="pct"/>
            <w:vAlign w:val="center"/>
          </w:tcPr>
          <w:p w14:paraId="13AB847E" w14:textId="2190C1B4" w:rsidR="00690712" w:rsidRPr="00E84498" w:rsidRDefault="00690712" w:rsidP="008D3742">
            <w:pPr>
              <w:jc w:val="center"/>
              <w:rPr>
                <w:rFonts w:cs="Arial"/>
                <w:lang w:val="en-US"/>
              </w:rPr>
            </w:pPr>
            <w:r w:rsidRPr="00E84498">
              <w:rPr>
                <w:rFonts w:cs="Arial"/>
                <w:lang w:val="en-US"/>
              </w:rPr>
              <w:t>0.229</w:t>
            </w:r>
          </w:p>
        </w:tc>
        <w:tc>
          <w:tcPr>
            <w:tcW w:w="1138" w:type="pct"/>
            <w:vAlign w:val="center"/>
          </w:tcPr>
          <w:p w14:paraId="362F4737" w14:textId="7BFCA45E" w:rsidR="00690712" w:rsidRPr="00E84498" w:rsidRDefault="00690712" w:rsidP="008D374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3,239,324</w:t>
            </w:r>
          </w:p>
        </w:tc>
        <w:tc>
          <w:tcPr>
            <w:tcW w:w="1136" w:type="pct"/>
            <w:vAlign w:val="center"/>
          </w:tcPr>
          <w:p w14:paraId="36068C9F" w14:textId="61801623" w:rsidR="00690712" w:rsidRPr="00E84498" w:rsidRDefault="00690712" w:rsidP="008D3742">
            <w:pPr>
              <w:jc w:val="center"/>
              <w:rPr>
                <w:rFonts w:cs="Arial"/>
              </w:rPr>
            </w:pPr>
            <w:r w:rsidRPr="00E84498">
              <w:rPr>
                <w:rFonts w:cs="Arial"/>
              </w:rPr>
              <w:t>176,128</w:t>
            </w:r>
          </w:p>
        </w:tc>
      </w:tr>
      <w:tr w:rsidR="00690712" w:rsidRPr="006D2E6F" w14:paraId="5E959558" w14:textId="77777777" w:rsidTr="0097186F">
        <w:trPr>
          <w:trHeight w:val="401"/>
        </w:trPr>
        <w:tc>
          <w:tcPr>
            <w:tcW w:w="1159" w:type="pct"/>
            <w:vAlign w:val="center"/>
          </w:tcPr>
          <w:p w14:paraId="1D6B2D35" w14:textId="77777777" w:rsidR="00690712" w:rsidRPr="003C0C45" w:rsidRDefault="00690712" w:rsidP="008D3742">
            <w:pPr>
              <w:rPr>
                <w:rFonts w:cs="Arial"/>
                <w:lang w:val="en-US"/>
              </w:rPr>
            </w:pPr>
            <w:r w:rsidRPr="003C0C45">
              <w:rPr>
                <w:rFonts w:cs="Arial"/>
                <w:lang w:val="en-US"/>
              </w:rPr>
              <w:t>James Smith</w:t>
            </w:r>
          </w:p>
        </w:tc>
        <w:tc>
          <w:tcPr>
            <w:tcW w:w="765" w:type="pct"/>
            <w:vAlign w:val="center"/>
          </w:tcPr>
          <w:p w14:paraId="4F28F78D" w14:textId="51FB4782" w:rsidR="00690712" w:rsidRPr="00E84498" w:rsidRDefault="00690712" w:rsidP="008D3742">
            <w:pPr>
              <w:jc w:val="center"/>
              <w:rPr>
                <w:rFonts w:cs="Arial"/>
                <w:lang w:val="en-US"/>
              </w:rPr>
            </w:pPr>
            <w:r w:rsidRPr="00E84498">
              <w:rPr>
                <w:rFonts w:cs="Arial"/>
                <w:lang w:val="en-US"/>
              </w:rPr>
              <w:t>465,928</w:t>
            </w:r>
          </w:p>
        </w:tc>
        <w:tc>
          <w:tcPr>
            <w:tcW w:w="801" w:type="pct"/>
            <w:vAlign w:val="center"/>
          </w:tcPr>
          <w:p w14:paraId="71ADC80B" w14:textId="7A440F33" w:rsidR="00690712" w:rsidRPr="00E84498" w:rsidRDefault="00690712" w:rsidP="008D3742">
            <w:pPr>
              <w:jc w:val="center"/>
              <w:rPr>
                <w:rFonts w:cs="Arial"/>
                <w:lang w:val="en-US"/>
              </w:rPr>
            </w:pPr>
            <w:r w:rsidRPr="00E84498">
              <w:rPr>
                <w:rFonts w:cs="Arial"/>
                <w:lang w:val="en-US"/>
              </w:rPr>
              <w:t>0.093</w:t>
            </w:r>
          </w:p>
        </w:tc>
        <w:tc>
          <w:tcPr>
            <w:tcW w:w="1138" w:type="pct"/>
            <w:vAlign w:val="center"/>
          </w:tcPr>
          <w:p w14:paraId="07B49786" w14:textId="48F7EE8D" w:rsidR="00690712" w:rsidRPr="00E84498" w:rsidRDefault="00690712" w:rsidP="008D374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2,106,875</w:t>
            </w:r>
          </w:p>
        </w:tc>
        <w:tc>
          <w:tcPr>
            <w:tcW w:w="1136" w:type="pct"/>
            <w:vAlign w:val="center"/>
          </w:tcPr>
          <w:p w14:paraId="32E03673" w14:textId="66732BAA" w:rsidR="00690712" w:rsidRPr="00E84498" w:rsidRDefault="00690712" w:rsidP="008D3742">
            <w:pPr>
              <w:jc w:val="center"/>
              <w:rPr>
                <w:rFonts w:cs="Arial"/>
              </w:rPr>
            </w:pPr>
            <w:r w:rsidRPr="00E84498">
              <w:rPr>
                <w:rFonts w:cs="Arial"/>
              </w:rPr>
              <w:t>114,555</w:t>
            </w:r>
          </w:p>
        </w:tc>
      </w:tr>
      <w:tr w:rsidR="00690712" w:rsidRPr="006D2E6F" w14:paraId="06B8B447" w14:textId="77777777" w:rsidTr="0097186F">
        <w:trPr>
          <w:trHeight w:val="437"/>
        </w:trPr>
        <w:tc>
          <w:tcPr>
            <w:tcW w:w="1159" w:type="pct"/>
            <w:vAlign w:val="center"/>
          </w:tcPr>
          <w:p w14:paraId="2B8F3A52" w14:textId="77777777" w:rsidR="00690712" w:rsidRPr="003C0C45" w:rsidRDefault="00690712" w:rsidP="008D3742">
            <w:pPr>
              <w:rPr>
                <w:rFonts w:cs="Arial"/>
                <w:lang w:val="en-US"/>
              </w:rPr>
            </w:pPr>
            <w:r w:rsidRPr="003C0C45">
              <w:rPr>
                <w:rFonts w:cs="Arial"/>
                <w:lang w:val="en-US"/>
              </w:rPr>
              <w:t>Eric Hathon</w:t>
            </w:r>
          </w:p>
        </w:tc>
        <w:tc>
          <w:tcPr>
            <w:tcW w:w="765" w:type="pct"/>
            <w:vAlign w:val="center"/>
          </w:tcPr>
          <w:p w14:paraId="62389BC4" w14:textId="2FF32948" w:rsidR="00690712" w:rsidRPr="00E84498" w:rsidRDefault="00690712" w:rsidP="008D3742">
            <w:pPr>
              <w:jc w:val="center"/>
              <w:rPr>
                <w:rFonts w:cs="Arial"/>
                <w:lang w:val="en-US"/>
              </w:rPr>
            </w:pPr>
            <w:r w:rsidRPr="00E84498">
              <w:rPr>
                <w:rFonts w:cs="Arial"/>
                <w:lang w:val="en-US"/>
              </w:rPr>
              <w:t>42,266</w:t>
            </w:r>
          </w:p>
        </w:tc>
        <w:tc>
          <w:tcPr>
            <w:tcW w:w="801" w:type="pct"/>
            <w:vAlign w:val="center"/>
          </w:tcPr>
          <w:p w14:paraId="30BCA39E" w14:textId="1DB4B644" w:rsidR="00690712" w:rsidRPr="00E84498" w:rsidRDefault="00690712" w:rsidP="008D3742">
            <w:pPr>
              <w:jc w:val="center"/>
              <w:rPr>
                <w:rFonts w:cs="Arial"/>
                <w:lang w:val="en-US"/>
              </w:rPr>
            </w:pPr>
            <w:r w:rsidRPr="00E84498">
              <w:rPr>
                <w:rFonts w:cs="Arial"/>
                <w:lang w:val="en-US"/>
              </w:rPr>
              <w:t>0.008</w:t>
            </w:r>
          </w:p>
        </w:tc>
        <w:tc>
          <w:tcPr>
            <w:tcW w:w="1138" w:type="pct"/>
            <w:vAlign w:val="center"/>
          </w:tcPr>
          <w:p w14:paraId="0C8CC739" w14:textId="4DC834E9" w:rsidR="00690712" w:rsidRPr="00E84498" w:rsidRDefault="00690712" w:rsidP="008D374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1,735,554</w:t>
            </w:r>
          </w:p>
        </w:tc>
        <w:tc>
          <w:tcPr>
            <w:tcW w:w="1136" w:type="pct"/>
            <w:vAlign w:val="center"/>
          </w:tcPr>
          <w:p w14:paraId="4FDDB013" w14:textId="46496A34" w:rsidR="00690712" w:rsidRPr="00E84498" w:rsidRDefault="00690712" w:rsidP="008D3742">
            <w:pPr>
              <w:jc w:val="center"/>
              <w:rPr>
                <w:rFonts w:cs="Arial"/>
              </w:rPr>
            </w:pPr>
            <w:r w:rsidRPr="00E84498">
              <w:rPr>
                <w:rFonts w:cs="Arial"/>
              </w:rPr>
              <w:t>94,365</w:t>
            </w:r>
          </w:p>
        </w:tc>
      </w:tr>
      <w:tr w:rsidR="00690712" w:rsidRPr="006D2E6F" w14:paraId="510F4138" w14:textId="77777777" w:rsidTr="0097186F">
        <w:trPr>
          <w:trHeight w:val="401"/>
        </w:trPr>
        <w:tc>
          <w:tcPr>
            <w:tcW w:w="1159" w:type="pct"/>
            <w:vAlign w:val="center"/>
          </w:tcPr>
          <w:p w14:paraId="76E8C66E" w14:textId="77777777" w:rsidR="00690712" w:rsidRPr="003C0C45" w:rsidRDefault="00690712" w:rsidP="008D3742">
            <w:pPr>
              <w:rPr>
                <w:rFonts w:cs="Arial"/>
                <w:lang w:val="en-US"/>
              </w:rPr>
            </w:pPr>
            <w:r w:rsidRPr="003C0C45">
              <w:rPr>
                <w:rFonts w:cs="Arial"/>
                <w:lang w:val="en-US"/>
              </w:rPr>
              <w:t>Paul Mayland</w:t>
            </w:r>
          </w:p>
        </w:tc>
        <w:tc>
          <w:tcPr>
            <w:tcW w:w="765" w:type="pct"/>
            <w:vAlign w:val="center"/>
          </w:tcPr>
          <w:p w14:paraId="454828D5" w14:textId="1E838DF1" w:rsidR="00690712" w:rsidRPr="00E84498" w:rsidRDefault="00690712" w:rsidP="008D3742">
            <w:pPr>
              <w:jc w:val="center"/>
              <w:rPr>
                <w:rFonts w:cs="Arial"/>
                <w:lang w:val="en-US"/>
              </w:rPr>
            </w:pPr>
            <w:r w:rsidRPr="00E84498">
              <w:rPr>
                <w:rFonts w:cs="Arial"/>
                <w:lang w:val="en-US"/>
              </w:rPr>
              <w:t>546,234</w:t>
            </w:r>
          </w:p>
        </w:tc>
        <w:tc>
          <w:tcPr>
            <w:tcW w:w="801" w:type="pct"/>
            <w:vAlign w:val="center"/>
          </w:tcPr>
          <w:p w14:paraId="7C535A07" w14:textId="41D6BCE5" w:rsidR="00690712" w:rsidRPr="00E84498" w:rsidRDefault="00690712" w:rsidP="008D3742">
            <w:pPr>
              <w:jc w:val="center"/>
              <w:rPr>
                <w:rFonts w:cs="Arial"/>
              </w:rPr>
            </w:pPr>
            <w:r w:rsidRPr="00E84498">
              <w:rPr>
                <w:rFonts w:cs="Arial"/>
              </w:rPr>
              <w:t>0.109</w:t>
            </w:r>
          </w:p>
        </w:tc>
        <w:tc>
          <w:tcPr>
            <w:tcW w:w="1138" w:type="pct"/>
            <w:vAlign w:val="center"/>
          </w:tcPr>
          <w:p w14:paraId="779D9000" w14:textId="299ADA21" w:rsidR="00690712" w:rsidRPr="00E84498" w:rsidRDefault="00690712" w:rsidP="008D374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1,802,498</w:t>
            </w:r>
          </w:p>
        </w:tc>
        <w:tc>
          <w:tcPr>
            <w:tcW w:w="1136" w:type="pct"/>
            <w:vAlign w:val="center"/>
          </w:tcPr>
          <w:p w14:paraId="24B1B8E7" w14:textId="7D510833" w:rsidR="00690712" w:rsidRPr="00E84498" w:rsidRDefault="00690712" w:rsidP="008D3742">
            <w:pPr>
              <w:jc w:val="center"/>
              <w:rPr>
                <w:rFonts w:cs="Arial"/>
              </w:rPr>
            </w:pPr>
            <w:r w:rsidRPr="00E84498">
              <w:rPr>
                <w:rFonts w:cs="Arial"/>
              </w:rPr>
              <w:t>98,486</w:t>
            </w:r>
          </w:p>
        </w:tc>
      </w:tr>
    </w:tbl>
    <w:p w14:paraId="3E7956F2" w14:textId="77777777" w:rsidR="00D65FA2" w:rsidRDefault="00D65FA2" w:rsidP="00D65FA2">
      <w:pPr>
        <w:pStyle w:val="BodyText2"/>
      </w:pPr>
    </w:p>
    <w:p w14:paraId="3FA2D2B5" w14:textId="18B1D1F8" w:rsidR="008D3742" w:rsidRPr="008D3742" w:rsidRDefault="008D3742" w:rsidP="008D3742">
      <w:pPr>
        <w:shd w:val="clear" w:color="auto" w:fill="FFFFFF"/>
        <w:rPr>
          <w:rFonts w:cs="Arial"/>
          <w:color w:val="201F1E"/>
          <w:sz w:val="23"/>
          <w:szCs w:val="23"/>
        </w:rPr>
      </w:pPr>
      <w:r w:rsidRPr="008D3742">
        <w:rPr>
          <w:rFonts w:cs="Arial"/>
          <w:color w:val="16202C"/>
          <w:sz w:val="16"/>
          <w:szCs w:val="16"/>
        </w:rPr>
        <w:t>*</w:t>
      </w:r>
      <w:r>
        <w:rPr>
          <w:rFonts w:cs="Arial"/>
          <w:color w:val="16202C"/>
          <w:sz w:val="16"/>
          <w:szCs w:val="16"/>
        </w:rPr>
        <w:t xml:space="preserve"> </w:t>
      </w:r>
      <w:r w:rsidRPr="008D3742">
        <w:rPr>
          <w:rFonts w:cs="Arial"/>
          <w:color w:val="16202C"/>
          <w:sz w:val="16"/>
          <w:szCs w:val="16"/>
        </w:rPr>
        <w:t xml:space="preserve">This column includes all outstanding awards that have vested following the expiry of the applicable performance period, regardless of </w:t>
      </w:r>
      <w:proofErr w:type="gramStart"/>
      <w:r w:rsidRPr="008D3742">
        <w:rPr>
          <w:rFonts w:cs="Arial"/>
          <w:color w:val="16202C"/>
          <w:sz w:val="16"/>
          <w:szCs w:val="16"/>
        </w:rPr>
        <w:t>whether or not</w:t>
      </w:r>
      <w:proofErr w:type="gramEnd"/>
      <w:r w:rsidRPr="008D3742">
        <w:rPr>
          <w:rFonts w:cs="Arial"/>
          <w:color w:val="16202C"/>
          <w:sz w:val="16"/>
          <w:szCs w:val="16"/>
        </w:rPr>
        <w:t xml:space="preserve"> they are currently capable of being exercised under the rules of the 2017 LTIP.</w:t>
      </w:r>
    </w:p>
    <w:p w14:paraId="26F0054B" w14:textId="615D0890" w:rsidR="0095339E" w:rsidRDefault="0095339E"/>
    <w:p w14:paraId="6107C29F" w14:textId="77777777" w:rsidR="002C261F" w:rsidRDefault="002C261F" w:rsidP="002C261F">
      <w:r w:rsidRPr="005F7200">
        <w:t xml:space="preserve">The </w:t>
      </w:r>
      <w:r>
        <w:t>following</w:t>
      </w:r>
      <w:r w:rsidRPr="005F7200">
        <w:t xml:space="preserve"> notification</w:t>
      </w:r>
      <w:r>
        <w:t>s</w:t>
      </w:r>
      <w:r w:rsidRPr="005F7200">
        <w:t xml:space="preserve"> </w:t>
      </w:r>
      <w:r>
        <w:t>are</w:t>
      </w:r>
      <w:r w:rsidRPr="005F7200">
        <w:t xml:space="preserve"> intended to satisfy the Company</w:t>
      </w:r>
      <w:r w:rsidR="00224720">
        <w:t>’</w:t>
      </w:r>
      <w:r w:rsidRPr="005F7200">
        <w:t>s obligations under Article 19(3) of EU Regulation No 596/2014 (the Market Abuse Regulation).</w:t>
      </w:r>
      <w:r w:rsidR="00D77686">
        <w:t xml:space="preserve"> </w:t>
      </w:r>
    </w:p>
    <w:p w14:paraId="01C22655" w14:textId="77777777" w:rsidR="002C261F" w:rsidRPr="00413537" w:rsidRDefault="002C261F" w:rsidP="002C261F">
      <w:pPr>
        <w:rPr>
          <w:rFonts w:cs="Arial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2C261F" w:rsidRPr="00413537" w14:paraId="31C5152A" w14:textId="77777777" w:rsidTr="0093753D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532D2" w14:textId="77777777" w:rsidR="002C261F" w:rsidRPr="00413537" w:rsidRDefault="002C261F" w:rsidP="0093753D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BB4EA6" w14:textId="77777777" w:rsidR="002C261F" w:rsidRPr="00413537" w:rsidRDefault="002C261F" w:rsidP="0093753D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Details of the person discharging managerial responsibilities/person closely associated</w:t>
            </w:r>
          </w:p>
        </w:tc>
      </w:tr>
      <w:tr w:rsidR="002C261F" w:rsidRPr="00413537" w14:paraId="56EDBDA0" w14:textId="77777777" w:rsidTr="0093753D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9C472" w14:textId="77777777" w:rsidR="002C261F" w:rsidRPr="00413537" w:rsidRDefault="002C261F" w:rsidP="0093753D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419A" w14:textId="77777777" w:rsidR="002C261F" w:rsidRPr="00413537" w:rsidRDefault="002C261F" w:rsidP="0093753D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1B71E9" w14:textId="77777777" w:rsidR="002C261F" w:rsidRPr="00413537" w:rsidRDefault="003521FC" w:rsidP="003521FC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 Thomson</w:t>
            </w:r>
          </w:p>
        </w:tc>
      </w:tr>
      <w:tr w:rsidR="002C261F" w:rsidRPr="00413537" w14:paraId="63B02D49" w14:textId="77777777" w:rsidTr="0093753D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095FD" w14:textId="77777777" w:rsidR="002C261F" w:rsidRPr="00413537" w:rsidRDefault="002C261F" w:rsidP="0093753D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6F635" w14:textId="77777777" w:rsidR="002C261F" w:rsidRPr="00413537" w:rsidRDefault="002C261F" w:rsidP="0093753D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Reason for the notification</w:t>
            </w:r>
          </w:p>
        </w:tc>
      </w:tr>
      <w:tr w:rsidR="002C261F" w:rsidRPr="00413537" w14:paraId="45E07FD3" w14:textId="77777777" w:rsidTr="0093753D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64825" w14:textId="77777777" w:rsidR="002C261F" w:rsidRPr="00413537" w:rsidRDefault="002C261F" w:rsidP="0093753D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B298" w14:textId="77777777" w:rsidR="002C261F" w:rsidRPr="00413537" w:rsidRDefault="002C261F" w:rsidP="0093753D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325480" w14:textId="77777777" w:rsidR="002C261F" w:rsidRPr="00413537" w:rsidRDefault="003521FC" w:rsidP="003521FC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Executive</w:t>
            </w:r>
          </w:p>
        </w:tc>
      </w:tr>
      <w:tr w:rsidR="002C261F" w:rsidRPr="00413537" w14:paraId="1091642E" w14:textId="77777777" w:rsidTr="0093753D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4ACE0" w14:textId="77777777" w:rsidR="002C261F" w:rsidRPr="00413537" w:rsidRDefault="002C261F" w:rsidP="0093753D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8E470" w14:textId="77777777" w:rsidR="002C261F" w:rsidRPr="00413537" w:rsidRDefault="002C261F" w:rsidP="0093753D">
            <w:pPr>
              <w:pStyle w:val="TableParagraph"/>
              <w:kinsoku w:val="0"/>
              <w:overflowPunct w:val="0"/>
              <w:spacing w:before="60" w:after="60"/>
              <w:ind w:left="84" w:right="662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Initial</w:t>
            </w:r>
            <w:r w:rsidRPr="0041353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209F70" w14:textId="77777777" w:rsidR="002C261F" w:rsidRPr="00453FC9" w:rsidRDefault="002C261F" w:rsidP="0093753D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453FC9"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2C261F" w:rsidRPr="00413537" w14:paraId="073D0B97" w14:textId="77777777" w:rsidTr="0093753D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D000B" w14:textId="77777777" w:rsidR="002C261F" w:rsidRPr="00413537" w:rsidRDefault="002C261F" w:rsidP="0093753D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B77CD6" w14:textId="77777777" w:rsidR="002C261F" w:rsidRPr="00413537" w:rsidRDefault="002C261F" w:rsidP="0093753D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Details of the issuer, emission allowance market participant, auction platform, auctioneer or auction monitor</w:t>
            </w:r>
          </w:p>
        </w:tc>
      </w:tr>
      <w:tr w:rsidR="002C261F" w:rsidRPr="00413537" w14:paraId="2F9801DE" w14:textId="77777777" w:rsidTr="0093753D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25E45" w14:textId="77777777" w:rsidR="002C261F" w:rsidRPr="00413537" w:rsidRDefault="002C261F" w:rsidP="0093753D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62AC" w14:textId="77777777" w:rsidR="002C261F" w:rsidRPr="00413537" w:rsidRDefault="002C261F" w:rsidP="0093753D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311FA7" w14:textId="77777777" w:rsidR="002C261F" w:rsidRPr="00413537" w:rsidRDefault="002C261F" w:rsidP="002C261F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Cairn Energy PLC</w:t>
            </w:r>
          </w:p>
        </w:tc>
      </w:tr>
      <w:tr w:rsidR="002C261F" w:rsidRPr="00413537" w14:paraId="72F8DD26" w14:textId="77777777" w:rsidTr="0093753D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C5DF6" w14:textId="77777777" w:rsidR="002C261F" w:rsidRPr="00413537" w:rsidRDefault="002C261F" w:rsidP="0093753D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AF0A" w14:textId="77777777" w:rsidR="002C261F" w:rsidRPr="00413537" w:rsidRDefault="002C261F" w:rsidP="0093753D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09761E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30D219" w14:textId="77777777" w:rsidR="002C261F" w:rsidRPr="0071743A" w:rsidRDefault="0071743A" w:rsidP="0071743A">
            <w:pPr>
              <w:pStyle w:val="BodyText2"/>
              <w:ind w:left="154"/>
              <w:rPr>
                <w:rFonts w:ascii="Arial" w:hAnsi="Arial" w:cs="Arial"/>
                <w:sz w:val="16"/>
                <w:szCs w:val="16"/>
              </w:rPr>
            </w:pPr>
            <w:r w:rsidRPr="002C261F">
              <w:rPr>
                <w:rFonts w:ascii="Arial" w:eastAsia="Arial Unicode MS" w:hAnsi="Arial" w:cs="Arial" w:hint="eastAsia"/>
                <w:sz w:val="20"/>
              </w:rPr>
              <w:t>213800ZJEUQ8ZOC9AL24</w:t>
            </w:r>
          </w:p>
        </w:tc>
      </w:tr>
      <w:tr w:rsidR="00166AB9" w:rsidRPr="00413537" w14:paraId="20E4CA78" w14:textId="77777777" w:rsidTr="00166AB9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48F35D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AD1AAB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Details of the transaction(s): section to be repeated for (</w:t>
            </w:r>
            <w:proofErr w:type="spellStart"/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i</w:t>
            </w:r>
            <w:proofErr w:type="spellEnd"/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) each type of instrument; (ii) each type of transaction; (iii) each date; and (iv) each place where transactions have been conducted</w:t>
            </w:r>
          </w:p>
        </w:tc>
      </w:tr>
      <w:tr w:rsidR="00166AB9" w:rsidRPr="00413537" w14:paraId="0D10DEAC" w14:textId="77777777" w:rsidTr="00166AB9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43827DA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lastRenderedPageBreak/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5D89E5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47FFCC5" w14:textId="3C541FA5" w:rsidR="00166AB9" w:rsidRPr="00413537" w:rsidRDefault="00166AB9" w:rsidP="003B1070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Ordinary shares of </w:t>
            </w:r>
            <w:r w:rsidR="003B1070">
              <w:rPr>
                <w:rFonts w:ascii="Arial" w:hAnsi="Arial" w:cs="Arial"/>
                <w:sz w:val="20"/>
                <w:szCs w:val="20"/>
              </w:rPr>
              <w:t>21/</w:t>
            </w:r>
            <w:r w:rsidR="008D3742">
              <w:rPr>
                <w:rFonts w:ascii="Arial" w:hAnsi="Arial" w:cs="Arial"/>
                <w:sz w:val="20"/>
                <w:szCs w:val="20"/>
              </w:rPr>
              <w:t>13</w:t>
            </w:r>
            <w:r w:rsidR="003B10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35D3">
              <w:rPr>
                <w:rFonts w:ascii="Arial" w:hAnsi="Arial" w:cs="Arial"/>
                <w:sz w:val="20"/>
              </w:rPr>
              <w:t xml:space="preserve">pence each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224720">
              <w:rPr>
                <w:rFonts w:ascii="Arial" w:hAnsi="Arial" w:cs="Arial"/>
                <w:sz w:val="20"/>
                <w:szCs w:val="20"/>
              </w:rPr>
              <w:t>“</w:t>
            </w:r>
            <w:r w:rsidRPr="007F6012">
              <w:rPr>
                <w:rFonts w:ascii="Arial" w:hAnsi="Arial" w:cs="Arial"/>
                <w:b/>
                <w:sz w:val="20"/>
                <w:szCs w:val="20"/>
              </w:rPr>
              <w:t>Shares</w:t>
            </w:r>
            <w:r w:rsidR="00224720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66AB9" w14:paraId="140C51E1" w14:textId="77777777" w:rsidTr="00166AB9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B1C70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D81F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413537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75D22A" w14:textId="14969666" w:rsidR="00166AB9" w:rsidRDefault="008D3742" w:rsidP="00166AB9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6202C"/>
                <w:sz w:val="20"/>
                <w:szCs w:val="20"/>
              </w:rPr>
              <w:t>GB00BN0SMB92</w:t>
            </w:r>
          </w:p>
        </w:tc>
      </w:tr>
      <w:tr w:rsidR="00166AB9" w:rsidRPr="00413537" w14:paraId="2DC5F733" w14:textId="77777777" w:rsidTr="00166AB9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DD631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EEB25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Nature of the</w:t>
            </w:r>
            <w:r w:rsidRPr="00413537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8FC003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Award (in the form of a nil-cost option) of a right to acquire Shares in the Company pursuant to the 2017 LTIP</w:t>
            </w:r>
            <w:r w:rsidRPr="007F601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6AB9" w:rsidRPr="007E31CA" w14:paraId="0A017AE4" w14:textId="77777777" w:rsidTr="00166AB9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93DA4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7572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166AB9" w14:paraId="6320EA79" w14:textId="77777777" w:rsidTr="00166AB9">
              <w:tc>
                <w:tcPr>
                  <w:tcW w:w="3255" w:type="dxa"/>
                  <w:vAlign w:val="center"/>
                </w:tcPr>
                <w:p w14:paraId="08DC9173" w14:textId="77777777" w:rsidR="00166AB9" w:rsidRPr="007E31CA" w:rsidRDefault="00166AB9" w:rsidP="00166AB9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E31CA">
                    <w:rPr>
                      <w:rFonts w:ascii="Arial" w:hAnsi="Arial" w:cs="Arial"/>
                      <w:b/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0C4A5FF" w14:textId="77777777" w:rsidR="00166AB9" w:rsidRPr="007E31CA" w:rsidRDefault="00166AB9" w:rsidP="00166AB9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E31CA">
                    <w:rPr>
                      <w:rFonts w:ascii="Arial" w:hAnsi="Arial" w:cs="Arial"/>
                      <w:b/>
                      <w:sz w:val="20"/>
                      <w:szCs w:val="20"/>
                    </w:rPr>
                    <w:t>Volume(s)</w:t>
                  </w:r>
                </w:p>
              </w:tc>
            </w:tr>
            <w:tr w:rsidR="00166AB9" w14:paraId="0A0364BD" w14:textId="77777777" w:rsidTr="007A4D06">
              <w:tc>
                <w:tcPr>
                  <w:tcW w:w="3255" w:type="dxa"/>
                  <w:vAlign w:val="center"/>
                </w:tcPr>
                <w:p w14:paraId="00CFFEB3" w14:textId="77777777" w:rsidR="00166AB9" w:rsidRDefault="00166AB9" w:rsidP="00166AB9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575C">
                    <w:rPr>
                      <w:rFonts w:ascii="Arial" w:hAnsi="Arial" w:cs="Arial"/>
                      <w:sz w:val="20"/>
                      <w:szCs w:val="20"/>
                    </w:rPr>
                    <w:t>£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466ACB3B" w14:textId="0DD5AB98" w:rsidR="00166AB9" w:rsidRPr="0097186F" w:rsidRDefault="007050DE" w:rsidP="007050DE">
                  <w:pPr>
                    <w:jc w:val="center"/>
                    <w:rPr>
                      <w:rFonts w:cs="Arial"/>
                    </w:rPr>
                  </w:pPr>
                  <w:r w:rsidRPr="0097186F">
                    <w:rPr>
                      <w:rFonts w:cs="Arial"/>
                    </w:rPr>
                    <w:t xml:space="preserve">822,482 </w:t>
                  </w:r>
                </w:p>
              </w:tc>
            </w:tr>
          </w:tbl>
          <w:p w14:paraId="3F3C5E7B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AB9" w:rsidRPr="007E31CA" w14:paraId="5974F927" w14:textId="77777777" w:rsidTr="00166AB9">
        <w:trPr>
          <w:cantSplit/>
          <w:trHeight w:hRule="exact" w:val="1414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D42703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820B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information</w:t>
            </w:r>
          </w:p>
          <w:p w14:paraId="272EC5D3" w14:textId="77777777" w:rsidR="00166AB9" w:rsidRPr="007E31CA" w:rsidRDefault="00166AB9" w:rsidP="00166AB9">
            <w:pPr>
              <w:pStyle w:val="TableParagraph"/>
              <w:numPr>
                <w:ilvl w:val="0"/>
                <w:numId w:val="22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volume</w:t>
            </w:r>
          </w:p>
          <w:p w14:paraId="486803B9" w14:textId="77777777" w:rsidR="00166AB9" w:rsidRPr="007E31CA" w:rsidRDefault="00166AB9" w:rsidP="00166AB9">
            <w:pPr>
              <w:pStyle w:val="TableParagraph"/>
              <w:numPr>
                <w:ilvl w:val="0"/>
                <w:numId w:val="22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3A267" w14:textId="77777777" w:rsidR="00166AB9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14:paraId="5E5A2D39" w14:textId="77777777" w:rsidR="00166AB9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14:paraId="4485BB73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166AB9" w:rsidRPr="007E31CA" w14:paraId="7A57EE3B" w14:textId="77777777" w:rsidTr="00166AB9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726DB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89A9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AFD3AA" w14:textId="5C674C8C" w:rsidR="00166AB9" w:rsidRPr="007E31CA" w:rsidRDefault="008D3742" w:rsidP="006F298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March 2021</w:t>
            </w:r>
          </w:p>
        </w:tc>
      </w:tr>
      <w:tr w:rsidR="00166AB9" w:rsidRPr="007E31CA" w14:paraId="08370E9E" w14:textId="77777777" w:rsidTr="00166AB9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5B4698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0041E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AD702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 Stock Exchange</w:t>
            </w:r>
          </w:p>
        </w:tc>
      </w:tr>
    </w:tbl>
    <w:p w14:paraId="4338814A" w14:textId="77777777" w:rsidR="0093753D" w:rsidRDefault="0093753D"/>
    <w:p w14:paraId="69C4CF11" w14:textId="77777777" w:rsidR="00166AB9" w:rsidRDefault="00166AB9"/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672EB2" w:rsidRPr="00413537" w14:paraId="1E966BDE" w14:textId="77777777" w:rsidTr="00166AB9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8C18D" w14:textId="77777777" w:rsidR="00672EB2" w:rsidRPr="00413537" w:rsidRDefault="00672EB2" w:rsidP="00166AB9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361A2A" w14:textId="77777777" w:rsidR="00672EB2" w:rsidRPr="00413537" w:rsidRDefault="00672EB2" w:rsidP="00166AB9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Details of the person discharging managerial responsibilities/person closely associated</w:t>
            </w:r>
          </w:p>
        </w:tc>
      </w:tr>
      <w:tr w:rsidR="00672EB2" w:rsidRPr="00413537" w14:paraId="072B4D34" w14:textId="77777777" w:rsidTr="00166AB9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B4D661" w14:textId="77777777" w:rsidR="00672EB2" w:rsidRPr="00413537" w:rsidRDefault="00672EB2" w:rsidP="00166AB9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F997" w14:textId="77777777" w:rsidR="00672EB2" w:rsidRPr="00413537" w:rsidRDefault="00672EB2" w:rsidP="00166AB9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C3F217" w14:textId="77777777" w:rsidR="00672EB2" w:rsidRPr="00413537" w:rsidRDefault="00672EB2" w:rsidP="00166AB9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James Smith</w:t>
            </w:r>
          </w:p>
        </w:tc>
      </w:tr>
      <w:tr w:rsidR="00672EB2" w:rsidRPr="00413537" w14:paraId="341688D4" w14:textId="77777777" w:rsidTr="00166AB9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D6623" w14:textId="77777777" w:rsidR="00672EB2" w:rsidRPr="00413537" w:rsidRDefault="00672EB2" w:rsidP="00166AB9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840092" w14:textId="77777777" w:rsidR="00672EB2" w:rsidRPr="00413537" w:rsidRDefault="00672EB2" w:rsidP="00166AB9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Reason for the notification</w:t>
            </w:r>
          </w:p>
        </w:tc>
      </w:tr>
      <w:tr w:rsidR="00672EB2" w:rsidRPr="00413537" w14:paraId="65016CE6" w14:textId="77777777" w:rsidTr="00166AB9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BF1CC" w14:textId="77777777" w:rsidR="00672EB2" w:rsidRPr="00413537" w:rsidRDefault="00672EB2" w:rsidP="00166AB9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1593" w14:textId="77777777" w:rsidR="00672EB2" w:rsidRPr="00413537" w:rsidRDefault="00672EB2" w:rsidP="00166AB9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F0628D" w14:textId="77777777" w:rsidR="00672EB2" w:rsidRPr="00413537" w:rsidRDefault="00672EB2" w:rsidP="00672EB2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Financial Officer</w:t>
            </w:r>
          </w:p>
        </w:tc>
      </w:tr>
      <w:tr w:rsidR="00672EB2" w:rsidRPr="00453FC9" w14:paraId="02D59A10" w14:textId="77777777" w:rsidTr="00166AB9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B9DCF" w14:textId="77777777" w:rsidR="00672EB2" w:rsidRPr="00413537" w:rsidRDefault="00672EB2" w:rsidP="00166AB9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B10A" w14:textId="77777777" w:rsidR="00672EB2" w:rsidRPr="00413537" w:rsidRDefault="00672EB2" w:rsidP="00166AB9">
            <w:pPr>
              <w:pStyle w:val="TableParagraph"/>
              <w:kinsoku w:val="0"/>
              <w:overflowPunct w:val="0"/>
              <w:spacing w:before="60" w:after="60"/>
              <w:ind w:left="84" w:right="662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Initial</w:t>
            </w:r>
            <w:r w:rsidRPr="0041353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11B83C" w14:textId="77777777" w:rsidR="00672EB2" w:rsidRPr="00453FC9" w:rsidRDefault="00672EB2" w:rsidP="00166AB9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453FC9"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672EB2" w:rsidRPr="00413537" w14:paraId="070FDE65" w14:textId="77777777" w:rsidTr="00166AB9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3F722" w14:textId="77777777" w:rsidR="00672EB2" w:rsidRPr="00413537" w:rsidRDefault="00672EB2" w:rsidP="00166AB9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CAA58" w14:textId="77777777" w:rsidR="00672EB2" w:rsidRPr="00413537" w:rsidRDefault="00672EB2" w:rsidP="00166AB9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Details of the issuer, emission allowance market participant, auction platform, auctioneer or auction monitor</w:t>
            </w:r>
          </w:p>
        </w:tc>
      </w:tr>
      <w:tr w:rsidR="00672EB2" w:rsidRPr="00413537" w14:paraId="77B6EF7B" w14:textId="77777777" w:rsidTr="00166AB9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375E1" w14:textId="77777777" w:rsidR="00672EB2" w:rsidRPr="00413537" w:rsidRDefault="00672EB2" w:rsidP="00166AB9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lastRenderedPageBreak/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DA27" w14:textId="77777777" w:rsidR="00672EB2" w:rsidRPr="00413537" w:rsidRDefault="00672EB2" w:rsidP="00166AB9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870AD2" w14:textId="77777777" w:rsidR="00672EB2" w:rsidRPr="00413537" w:rsidRDefault="00672EB2" w:rsidP="00166AB9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Cairn Energy PLC</w:t>
            </w:r>
          </w:p>
        </w:tc>
      </w:tr>
      <w:tr w:rsidR="00672EB2" w:rsidRPr="0071743A" w14:paraId="0A96BBEA" w14:textId="77777777" w:rsidTr="00166AB9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0E2FAE" w14:textId="77777777" w:rsidR="00672EB2" w:rsidRPr="00413537" w:rsidRDefault="00672EB2" w:rsidP="00166AB9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F28F" w14:textId="77777777" w:rsidR="00672EB2" w:rsidRPr="00413537" w:rsidRDefault="00672EB2" w:rsidP="00166AB9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09761E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15BAD" w14:textId="77777777" w:rsidR="00672EB2" w:rsidRPr="0071743A" w:rsidRDefault="00672EB2" w:rsidP="00166AB9">
            <w:pPr>
              <w:pStyle w:val="BodyText2"/>
              <w:ind w:left="154"/>
              <w:rPr>
                <w:rFonts w:ascii="Arial" w:hAnsi="Arial" w:cs="Arial"/>
                <w:sz w:val="16"/>
                <w:szCs w:val="16"/>
              </w:rPr>
            </w:pPr>
            <w:r w:rsidRPr="002C261F">
              <w:rPr>
                <w:rFonts w:ascii="Arial" w:eastAsia="Arial Unicode MS" w:hAnsi="Arial" w:cs="Arial" w:hint="eastAsia"/>
                <w:sz w:val="20"/>
              </w:rPr>
              <w:t>213800ZJEUQ8ZOC9AL24</w:t>
            </w:r>
          </w:p>
        </w:tc>
      </w:tr>
      <w:tr w:rsidR="00166AB9" w:rsidRPr="00413537" w14:paraId="53952249" w14:textId="77777777" w:rsidTr="00166AB9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3BF19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6F9AD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Details of the transaction(s): section to be repeated for (</w:t>
            </w:r>
            <w:proofErr w:type="spellStart"/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i</w:t>
            </w:r>
            <w:proofErr w:type="spellEnd"/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) each type of instrument; (ii) each type of transaction; (iii) each date; and (iv) each place where transactions have been conducted</w:t>
            </w:r>
          </w:p>
        </w:tc>
      </w:tr>
      <w:tr w:rsidR="00166AB9" w:rsidRPr="00413537" w14:paraId="6F30A74B" w14:textId="77777777" w:rsidTr="00166AB9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B512C74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232121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2BAB14D" w14:textId="11C4C4F0" w:rsidR="00166AB9" w:rsidRPr="00413537" w:rsidRDefault="00166AB9" w:rsidP="003B1070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Ordinary shares of </w:t>
            </w:r>
            <w:r w:rsidR="003B1070">
              <w:rPr>
                <w:rFonts w:ascii="Arial" w:hAnsi="Arial" w:cs="Arial"/>
                <w:sz w:val="20"/>
                <w:szCs w:val="20"/>
              </w:rPr>
              <w:t>21/1</w:t>
            </w:r>
            <w:r w:rsidR="00720B12">
              <w:rPr>
                <w:rFonts w:ascii="Arial" w:hAnsi="Arial" w:cs="Arial"/>
                <w:sz w:val="20"/>
                <w:szCs w:val="20"/>
              </w:rPr>
              <w:t>3</w:t>
            </w:r>
            <w:r w:rsidR="003B10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35D3">
              <w:rPr>
                <w:rFonts w:ascii="Arial" w:hAnsi="Arial" w:cs="Arial"/>
                <w:sz w:val="20"/>
              </w:rPr>
              <w:t xml:space="preserve">pence each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224720">
              <w:rPr>
                <w:rFonts w:ascii="Arial" w:hAnsi="Arial" w:cs="Arial"/>
                <w:sz w:val="20"/>
                <w:szCs w:val="20"/>
              </w:rPr>
              <w:t>“</w:t>
            </w:r>
            <w:r w:rsidRPr="007F6012">
              <w:rPr>
                <w:rFonts w:ascii="Arial" w:hAnsi="Arial" w:cs="Arial"/>
                <w:b/>
                <w:sz w:val="20"/>
                <w:szCs w:val="20"/>
              </w:rPr>
              <w:t>Shares</w:t>
            </w:r>
            <w:r w:rsidR="00224720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66AB9" w14:paraId="24B3EA8A" w14:textId="77777777" w:rsidTr="00166AB9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8EDDA9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6825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413537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A45C8" w14:textId="5A3B175C" w:rsidR="00166AB9" w:rsidRDefault="00720B12" w:rsidP="00166AB9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6202C"/>
                <w:sz w:val="20"/>
                <w:szCs w:val="20"/>
              </w:rPr>
              <w:t>GB00BN0SMB92</w:t>
            </w:r>
          </w:p>
        </w:tc>
      </w:tr>
      <w:tr w:rsidR="00166AB9" w:rsidRPr="00413537" w14:paraId="7E283710" w14:textId="77777777" w:rsidTr="00166AB9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984A7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2D050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Nature of the</w:t>
            </w:r>
            <w:r w:rsidRPr="00413537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1E5824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Award (in the form of a nil-cost option) of a right to acquire Shares in the Company pursuant to the 2017 LTIP</w:t>
            </w:r>
            <w:r w:rsidRPr="007F601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6AB9" w:rsidRPr="007E31CA" w14:paraId="350E917F" w14:textId="77777777" w:rsidTr="00166AB9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566C8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FE2C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166AB9" w14:paraId="4071F1E0" w14:textId="77777777" w:rsidTr="00166AB9">
              <w:tc>
                <w:tcPr>
                  <w:tcW w:w="3255" w:type="dxa"/>
                  <w:vAlign w:val="center"/>
                </w:tcPr>
                <w:p w14:paraId="06278699" w14:textId="77777777" w:rsidR="00166AB9" w:rsidRPr="007E31CA" w:rsidRDefault="00166AB9" w:rsidP="00166AB9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E31CA">
                    <w:rPr>
                      <w:rFonts w:ascii="Arial" w:hAnsi="Arial" w:cs="Arial"/>
                      <w:b/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3563604B" w14:textId="77777777" w:rsidR="00166AB9" w:rsidRPr="007E31CA" w:rsidRDefault="00166AB9" w:rsidP="00166AB9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E31CA">
                    <w:rPr>
                      <w:rFonts w:ascii="Arial" w:hAnsi="Arial" w:cs="Arial"/>
                      <w:b/>
                      <w:sz w:val="20"/>
                      <w:szCs w:val="20"/>
                    </w:rPr>
                    <w:t>Volume(s)</w:t>
                  </w:r>
                </w:p>
              </w:tc>
            </w:tr>
            <w:tr w:rsidR="00166AB9" w14:paraId="659BB504" w14:textId="77777777" w:rsidTr="007A4D06">
              <w:tc>
                <w:tcPr>
                  <w:tcW w:w="3255" w:type="dxa"/>
                  <w:vAlign w:val="center"/>
                </w:tcPr>
                <w:p w14:paraId="6E58E3AE" w14:textId="77777777" w:rsidR="00166AB9" w:rsidRDefault="00166AB9" w:rsidP="00166AB9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575C">
                    <w:rPr>
                      <w:rFonts w:ascii="Arial" w:hAnsi="Arial" w:cs="Arial"/>
                      <w:sz w:val="20"/>
                      <w:szCs w:val="20"/>
                    </w:rPr>
                    <w:t>£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63238B16" w14:textId="77E67A2A" w:rsidR="00166AB9" w:rsidRPr="0097186F" w:rsidRDefault="007050DE" w:rsidP="0042698C">
                  <w:pPr>
                    <w:jc w:val="center"/>
                    <w:rPr>
                      <w:rFonts w:cs="Arial"/>
                    </w:rPr>
                  </w:pPr>
                  <w:r w:rsidRPr="0097186F">
                    <w:rPr>
                      <w:rFonts w:cs="Arial"/>
                    </w:rPr>
                    <w:t>534,947</w:t>
                  </w:r>
                </w:p>
              </w:tc>
            </w:tr>
          </w:tbl>
          <w:p w14:paraId="217C351E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AB9" w:rsidRPr="007E31CA" w14:paraId="7F077EBA" w14:textId="77777777" w:rsidTr="00166AB9">
        <w:trPr>
          <w:cantSplit/>
          <w:trHeight w:hRule="exact" w:val="1414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08790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D4B4C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information</w:t>
            </w:r>
          </w:p>
          <w:p w14:paraId="6F8E6DFC" w14:textId="77777777" w:rsidR="00166AB9" w:rsidRPr="007E31CA" w:rsidRDefault="00166AB9" w:rsidP="00166AB9">
            <w:pPr>
              <w:pStyle w:val="TableParagraph"/>
              <w:numPr>
                <w:ilvl w:val="0"/>
                <w:numId w:val="22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volume</w:t>
            </w:r>
          </w:p>
          <w:p w14:paraId="461E5269" w14:textId="77777777" w:rsidR="00166AB9" w:rsidRPr="007E31CA" w:rsidRDefault="00166AB9" w:rsidP="00166AB9">
            <w:pPr>
              <w:pStyle w:val="TableParagraph"/>
              <w:numPr>
                <w:ilvl w:val="0"/>
                <w:numId w:val="22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C5559" w14:textId="77777777" w:rsidR="00166AB9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14:paraId="4F72EA95" w14:textId="77777777" w:rsidR="00166AB9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14:paraId="069E3943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166AB9" w:rsidRPr="007E31CA" w14:paraId="3B674FE3" w14:textId="77777777" w:rsidTr="00166AB9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59909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C4A9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B171CC" w14:textId="6B46CCEF" w:rsidR="00166AB9" w:rsidRPr="007E31CA" w:rsidRDefault="00720B12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March 2021</w:t>
            </w:r>
          </w:p>
        </w:tc>
      </w:tr>
      <w:tr w:rsidR="00166AB9" w:rsidRPr="007E31CA" w14:paraId="710ACBDF" w14:textId="77777777" w:rsidTr="00166AB9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09AD3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3E95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DC13B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 Stock Exchange</w:t>
            </w:r>
          </w:p>
        </w:tc>
      </w:tr>
    </w:tbl>
    <w:p w14:paraId="463C293D" w14:textId="77777777" w:rsidR="0093753D" w:rsidRDefault="0093753D" w:rsidP="002C261F"/>
    <w:p w14:paraId="0D06F37D" w14:textId="77777777" w:rsidR="009B0FFC" w:rsidRDefault="009B0FFC" w:rsidP="002C261F"/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9B0FFC" w:rsidRPr="00413537" w14:paraId="673C9735" w14:textId="77777777" w:rsidTr="00F633F2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7AC38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6C7D2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Details of the person discharging managerial responsibilities/person closely associated</w:t>
            </w:r>
          </w:p>
        </w:tc>
      </w:tr>
      <w:tr w:rsidR="009B0FFC" w:rsidRPr="00413537" w14:paraId="0D066791" w14:textId="77777777" w:rsidTr="00F633F2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1B6E1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9B6B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C4553A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 Hathon</w:t>
            </w:r>
          </w:p>
        </w:tc>
      </w:tr>
      <w:tr w:rsidR="009B0FFC" w:rsidRPr="00413537" w14:paraId="395C3364" w14:textId="77777777" w:rsidTr="00F633F2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FE2D1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6D4E28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Reason for the notification</w:t>
            </w:r>
          </w:p>
        </w:tc>
      </w:tr>
      <w:tr w:rsidR="009B0FFC" w:rsidRPr="00413537" w14:paraId="2AB6C0FB" w14:textId="77777777" w:rsidTr="00F633F2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C5B85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CF23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A590C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Exploration</w:t>
            </w:r>
          </w:p>
        </w:tc>
      </w:tr>
      <w:tr w:rsidR="009B0FFC" w:rsidRPr="00453FC9" w14:paraId="06EC3710" w14:textId="77777777" w:rsidTr="00F633F2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1629B0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A20E0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4" w:right="662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Initial</w:t>
            </w:r>
            <w:r w:rsidRPr="0041353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DC0659" w14:textId="77777777" w:rsidR="009B0FFC" w:rsidRPr="00453FC9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453FC9"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9B0FFC" w:rsidRPr="00413537" w14:paraId="1705E89E" w14:textId="77777777" w:rsidTr="00F633F2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09132A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310E80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Details of the issuer, emission allowance market participant, auction platform, auctioneer or auction monitor</w:t>
            </w:r>
          </w:p>
        </w:tc>
      </w:tr>
      <w:tr w:rsidR="009B0FFC" w:rsidRPr="00413537" w14:paraId="706CE127" w14:textId="77777777" w:rsidTr="00F633F2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B9BE01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B0693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F829EA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Cairn Energy PLC</w:t>
            </w:r>
          </w:p>
        </w:tc>
      </w:tr>
      <w:tr w:rsidR="009B0FFC" w:rsidRPr="0071743A" w14:paraId="59D30DFC" w14:textId="77777777" w:rsidTr="00F633F2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68BA2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8012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09761E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69118D" w14:textId="77777777" w:rsidR="009B0FFC" w:rsidRPr="0071743A" w:rsidRDefault="009B0FFC" w:rsidP="00F633F2">
            <w:pPr>
              <w:pStyle w:val="BodyText2"/>
              <w:ind w:left="154"/>
              <w:rPr>
                <w:rFonts w:ascii="Arial" w:hAnsi="Arial" w:cs="Arial"/>
                <w:sz w:val="16"/>
                <w:szCs w:val="16"/>
              </w:rPr>
            </w:pPr>
            <w:r w:rsidRPr="002C261F">
              <w:rPr>
                <w:rFonts w:ascii="Arial" w:eastAsia="Arial Unicode MS" w:hAnsi="Arial" w:cs="Arial" w:hint="eastAsia"/>
                <w:sz w:val="20"/>
              </w:rPr>
              <w:t>213800ZJEUQ8ZOC9AL24</w:t>
            </w:r>
          </w:p>
        </w:tc>
      </w:tr>
      <w:tr w:rsidR="009B0FFC" w:rsidRPr="00413537" w14:paraId="5A346485" w14:textId="77777777" w:rsidTr="00F633F2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C6C7F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6AEDE0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Details of the transaction(s): section to be repeated for (</w:t>
            </w:r>
            <w:proofErr w:type="spellStart"/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i</w:t>
            </w:r>
            <w:proofErr w:type="spellEnd"/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) each type of instrument; (ii) each type of transaction; (iii) each date; and (iv) each place where transactions have been conducted</w:t>
            </w:r>
          </w:p>
        </w:tc>
      </w:tr>
      <w:tr w:rsidR="009B0FFC" w:rsidRPr="00413537" w14:paraId="3D028397" w14:textId="77777777" w:rsidTr="00F633F2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7011A5C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5CFF4E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ABB42E8" w14:textId="77777777" w:rsidR="009B0FFC" w:rsidRPr="00413537" w:rsidRDefault="009B0FFC" w:rsidP="00F633F2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Ordinary shares of 231/169 </w:t>
            </w:r>
            <w:r w:rsidRPr="002135D3">
              <w:rPr>
                <w:rFonts w:ascii="Arial" w:hAnsi="Arial" w:cs="Arial"/>
                <w:sz w:val="20"/>
              </w:rPr>
              <w:t xml:space="preserve">pence each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224720">
              <w:rPr>
                <w:rFonts w:ascii="Arial" w:hAnsi="Arial" w:cs="Arial"/>
                <w:sz w:val="20"/>
                <w:szCs w:val="20"/>
              </w:rPr>
              <w:t>“</w:t>
            </w:r>
            <w:r w:rsidRPr="007F6012">
              <w:rPr>
                <w:rFonts w:ascii="Arial" w:hAnsi="Arial" w:cs="Arial"/>
                <w:b/>
                <w:sz w:val="20"/>
                <w:szCs w:val="20"/>
              </w:rPr>
              <w:t>Shares</w:t>
            </w:r>
            <w:r w:rsidR="00224720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0FFC" w14:paraId="5DE075E6" w14:textId="77777777" w:rsidTr="00F633F2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7F125F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8A2C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413537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F194A5" w14:textId="2EACF0BE" w:rsidR="009B0FFC" w:rsidRDefault="00720B12" w:rsidP="00F633F2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6202C"/>
                <w:sz w:val="20"/>
                <w:szCs w:val="20"/>
              </w:rPr>
              <w:t>GB00BN0SMB92</w:t>
            </w:r>
          </w:p>
        </w:tc>
      </w:tr>
      <w:tr w:rsidR="009B0FFC" w:rsidRPr="00413537" w14:paraId="0D5FA352" w14:textId="77777777" w:rsidTr="00F633F2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17F158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68F4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Nature of the</w:t>
            </w:r>
            <w:r w:rsidRPr="00413537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D12404" w14:textId="77777777" w:rsidR="009B0FFC" w:rsidRPr="00413537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Award (in the form of a nil-cost option) of a right to acquire Shares in the Company pursuant to the 2017 LTIP</w:t>
            </w:r>
            <w:r w:rsidRPr="007F60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B0FFC" w:rsidRPr="007E31CA" w14:paraId="1956D5AE" w14:textId="77777777" w:rsidTr="00F633F2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9298D" w14:textId="77777777" w:rsidR="009B0FFC" w:rsidRPr="007E31CA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D8DE" w14:textId="77777777" w:rsidR="009B0FFC" w:rsidRPr="007E31CA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B0FFC" w14:paraId="2B870873" w14:textId="77777777" w:rsidTr="00F633F2">
              <w:tc>
                <w:tcPr>
                  <w:tcW w:w="3255" w:type="dxa"/>
                  <w:vAlign w:val="center"/>
                </w:tcPr>
                <w:p w14:paraId="130BA3E7" w14:textId="77777777" w:rsidR="009B0FFC" w:rsidRPr="007E31CA" w:rsidRDefault="009B0FFC" w:rsidP="00F633F2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E31CA">
                    <w:rPr>
                      <w:rFonts w:ascii="Arial" w:hAnsi="Arial" w:cs="Arial"/>
                      <w:b/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409B93EF" w14:textId="77777777" w:rsidR="009B0FFC" w:rsidRPr="007E31CA" w:rsidRDefault="009B0FFC" w:rsidP="00F633F2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E31CA">
                    <w:rPr>
                      <w:rFonts w:ascii="Arial" w:hAnsi="Arial" w:cs="Arial"/>
                      <w:b/>
                      <w:sz w:val="20"/>
                      <w:szCs w:val="20"/>
                    </w:rPr>
                    <w:t>Volume(s)</w:t>
                  </w:r>
                </w:p>
              </w:tc>
            </w:tr>
            <w:tr w:rsidR="009B0FFC" w14:paraId="2710DB22" w14:textId="77777777" w:rsidTr="007A4D06">
              <w:tc>
                <w:tcPr>
                  <w:tcW w:w="3255" w:type="dxa"/>
                  <w:vAlign w:val="center"/>
                </w:tcPr>
                <w:p w14:paraId="765BE855" w14:textId="77777777" w:rsidR="009B0FFC" w:rsidRDefault="009B0FFC" w:rsidP="00F633F2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575C">
                    <w:rPr>
                      <w:rFonts w:ascii="Arial" w:hAnsi="Arial" w:cs="Arial"/>
                      <w:sz w:val="20"/>
                      <w:szCs w:val="20"/>
                    </w:rPr>
                    <w:t>£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3EED0CCD" w14:textId="66038F68" w:rsidR="009B0FFC" w:rsidRPr="0097186F" w:rsidRDefault="0042698C" w:rsidP="0042698C">
                  <w:pPr>
                    <w:jc w:val="center"/>
                    <w:rPr>
                      <w:rFonts w:cs="Arial"/>
                    </w:rPr>
                  </w:pPr>
                  <w:r w:rsidRPr="0097186F">
                    <w:rPr>
                      <w:rFonts w:cs="Arial"/>
                    </w:rPr>
                    <w:t>440,667</w:t>
                  </w:r>
                </w:p>
              </w:tc>
            </w:tr>
          </w:tbl>
          <w:p w14:paraId="4CB365D7" w14:textId="77777777" w:rsidR="009B0FFC" w:rsidRPr="007E31CA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FC" w:rsidRPr="007E31CA" w14:paraId="70F1F839" w14:textId="77777777" w:rsidTr="00F633F2">
        <w:trPr>
          <w:cantSplit/>
          <w:trHeight w:hRule="exact" w:val="1414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02F41" w14:textId="77777777" w:rsidR="009B0FFC" w:rsidRPr="007E31CA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AF8D" w14:textId="77777777" w:rsidR="009B0FFC" w:rsidRPr="007E31CA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information</w:t>
            </w:r>
          </w:p>
          <w:p w14:paraId="5B286D04" w14:textId="77777777" w:rsidR="009B0FFC" w:rsidRPr="007E31CA" w:rsidRDefault="009B0FFC" w:rsidP="00F633F2">
            <w:pPr>
              <w:pStyle w:val="TableParagraph"/>
              <w:numPr>
                <w:ilvl w:val="0"/>
                <w:numId w:val="22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volume</w:t>
            </w:r>
          </w:p>
          <w:p w14:paraId="38EB2685" w14:textId="77777777" w:rsidR="009B0FFC" w:rsidRPr="007E31CA" w:rsidRDefault="009B0FFC" w:rsidP="00F633F2">
            <w:pPr>
              <w:pStyle w:val="TableParagraph"/>
              <w:numPr>
                <w:ilvl w:val="0"/>
                <w:numId w:val="22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17DA8" w14:textId="77777777" w:rsidR="009B0FFC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14:paraId="75AE587D" w14:textId="77777777" w:rsidR="009B0FFC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14:paraId="3C85B809" w14:textId="77777777" w:rsidR="009B0FFC" w:rsidRPr="007E31CA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9B0FFC" w:rsidRPr="007E31CA" w14:paraId="20207781" w14:textId="77777777" w:rsidTr="00F633F2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CA370" w14:textId="77777777" w:rsidR="009B0FFC" w:rsidRPr="007E31CA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B58F" w14:textId="77777777" w:rsidR="009B0FFC" w:rsidRPr="007E31CA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901FCA" w14:textId="04C59195" w:rsidR="009B0FFC" w:rsidRPr="007E31CA" w:rsidRDefault="00720B12" w:rsidP="00F633F2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March 2021</w:t>
            </w:r>
          </w:p>
        </w:tc>
      </w:tr>
      <w:tr w:rsidR="009B0FFC" w:rsidRPr="007E31CA" w14:paraId="78585B06" w14:textId="77777777" w:rsidTr="00F633F2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551A7" w14:textId="77777777" w:rsidR="009B0FFC" w:rsidRPr="007E31CA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3994" w14:textId="77777777" w:rsidR="009B0FFC" w:rsidRPr="007E31CA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FA84D" w14:textId="77777777" w:rsidR="009B0FFC" w:rsidRPr="007E31CA" w:rsidRDefault="009B0FFC" w:rsidP="00F633F2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 Stock Exchange</w:t>
            </w:r>
          </w:p>
        </w:tc>
      </w:tr>
    </w:tbl>
    <w:p w14:paraId="70A8F933" w14:textId="77777777" w:rsidR="009B0FFC" w:rsidRDefault="009B0FFC" w:rsidP="009B0FFC"/>
    <w:p w14:paraId="1D6D1BD5" w14:textId="77777777" w:rsidR="009B0FFC" w:rsidRDefault="009B0FFC" w:rsidP="009B0FFC"/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93753D" w:rsidRPr="00413537" w14:paraId="692903F8" w14:textId="77777777" w:rsidTr="0093753D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D1690E" w14:textId="77777777" w:rsidR="0093753D" w:rsidRPr="00413537" w:rsidRDefault="0093753D" w:rsidP="0093753D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B84481" w14:textId="77777777" w:rsidR="0093753D" w:rsidRPr="00413537" w:rsidRDefault="0093753D" w:rsidP="0093753D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Details of the person discharging managerial responsibilities/person closely associated</w:t>
            </w:r>
          </w:p>
        </w:tc>
      </w:tr>
      <w:tr w:rsidR="0093753D" w:rsidRPr="00413537" w14:paraId="7D61577C" w14:textId="77777777" w:rsidTr="0093753D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A2BA4" w14:textId="77777777" w:rsidR="0093753D" w:rsidRPr="00413537" w:rsidRDefault="0093753D" w:rsidP="0093753D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lastRenderedPageBreak/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17A9" w14:textId="77777777" w:rsidR="0093753D" w:rsidRPr="00413537" w:rsidRDefault="0093753D" w:rsidP="0093753D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CD6325" w14:textId="77777777" w:rsidR="0093753D" w:rsidRPr="00413537" w:rsidRDefault="003521FC" w:rsidP="0093753D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 Mayland</w:t>
            </w:r>
          </w:p>
        </w:tc>
      </w:tr>
      <w:tr w:rsidR="0093753D" w:rsidRPr="00413537" w14:paraId="5D88652C" w14:textId="77777777" w:rsidTr="0093753D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661B92" w14:textId="77777777" w:rsidR="0093753D" w:rsidRPr="00413537" w:rsidRDefault="0093753D" w:rsidP="0093753D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3C7CB0" w14:textId="77777777" w:rsidR="0093753D" w:rsidRPr="00413537" w:rsidRDefault="0093753D" w:rsidP="0093753D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Reason for the notification</w:t>
            </w:r>
          </w:p>
        </w:tc>
      </w:tr>
      <w:tr w:rsidR="0093753D" w:rsidRPr="00413537" w14:paraId="6E48D6C5" w14:textId="77777777" w:rsidTr="0093753D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E1EC7" w14:textId="77777777" w:rsidR="0093753D" w:rsidRPr="00413537" w:rsidRDefault="0093753D" w:rsidP="0093753D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914F" w14:textId="77777777" w:rsidR="0093753D" w:rsidRPr="00413537" w:rsidRDefault="0093753D" w:rsidP="0093753D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65572" w14:textId="77777777" w:rsidR="0093753D" w:rsidRPr="00413537" w:rsidRDefault="003521FC" w:rsidP="0093753D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Operating Officer</w:t>
            </w:r>
          </w:p>
        </w:tc>
      </w:tr>
      <w:tr w:rsidR="0093753D" w:rsidRPr="00413537" w14:paraId="6522F5A0" w14:textId="77777777" w:rsidTr="0093753D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43408" w14:textId="77777777" w:rsidR="0093753D" w:rsidRPr="00413537" w:rsidRDefault="0093753D" w:rsidP="0093753D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0979" w14:textId="77777777" w:rsidR="0093753D" w:rsidRPr="00413537" w:rsidRDefault="0093753D" w:rsidP="0093753D">
            <w:pPr>
              <w:pStyle w:val="TableParagraph"/>
              <w:kinsoku w:val="0"/>
              <w:overflowPunct w:val="0"/>
              <w:spacing w:before="60" w:after="60"/>
              <w:ind w:left="84" w:right="662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Initial</w:t>
            </w:r>
            <w:r w:rsidRPr="0041353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D13675" w14:textId="77777777" w:rsidR="0093753D" w:rsidRPr="00453FC9" w:rsidRDefault="0093753D" w:rsidP="0093753D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453FC9"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93753D" w:rsidRPr="00413537" w14:paraId="39083053" w14:textId="77777777" w:rsidTr="0093753D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35F423" w14:textId="77777777" w:rsidR="0093753D" w:rsidRPr="00413537" w:rsidRDefault="0093753D" w:rsidP="0093753D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E3A39A" w14:textId="77777777" w:rsidR="0093753D" w:rsidRPr="00413537" w:rsidRDefault="0093753D" w:rsidP="0093753D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Details of the issuer, emission allowance market participant, auction platform, auctioneer or auction monitor</w:t>
            </w:r>
          </w:p>
        </w:tc>
      </w:tr>
      <w:tr w:rsidR="0093753D" w:rsidRPr="00413537" w14:paraId="4C7514D3" w14:textId="77777777" w:rsidTr="0093753D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2B0DB" w14:textId="77777777" w:rsidR="0093753D" w:rsidRPr="00413537" w:rsidRDefault="0093753D" w:rsidP="0093753D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66B9" w14:textId="77777777" w:rsidR="0093753D" w:rsidRPr="00413537" w:rsidRDefault="0093753D" w:rsidP="0093753D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CA4A4" w14:textId="77777777" w:rsidR="0093753D" w:rsidRPr="00413537" w:rsidRDefault="0093753D" w:rsidP="0093753D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Cairn Energy PLC</w:t>
            </w:r>
          </w:p>
        </w:tc>
      </w:tr>
      <w:tr w:rsidR="0093753D" w:rsidRPr="00413537" w14:paraId="459F091B" w14:textId="77777777" w:rsidTr="0093753D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CB633" w14:textId="77777777" w:rsidR="0093753D" w:rsidRPr="00413537" w:rsidRDefault="0093753D" w:rsidP="0093753D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8A4E" w14:textId="77777777" w:rsidR="0093753D" w:rsidRPr="00413537" w:rsidRDefault="0093753D" w:rsidP="0093753D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09761E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84D2FD" w14:textId="77777777" w:rsidR="0093753D" w:rsidRPr="0071743A" w:rsidRDefault="0093753D" w:rsidP="0093753D">
            <w:pPr>
              <w:pStyle w:val="BodyText2"/>
              <w:ind w:left="154"/>
              <w:rPr>
                <w:rFonts w:ascii="Arial" w:hAnsi="Arial" w:cs="Arial"/>
                <w:sz w:val="16"/>
                <w:szCs w:val="16"/>
              </w:rPr>
            </w:pPr>
            <w:r w:rsidRPr="002C261F">
              <w:rPr>
                <w:rFonts w:ascii="Arial" w:eastAsia="Arial Unicode MS" w:hAnsi="Arial" w:cs="Arial" w:hint="eastAsia"/>
                <w:sz w:val="20"/>
              </w:rPr>
              <w:t>213800ZJEUQ8ZOC9AL24</w:t>
            </w:r>
          </w:p>
        </w:tc>
      </w:tr>
      <w:tr w:rsidR="00166AB9" w:rsidRPr="00413537" w14:paraId="7DCB13C7" w14:textId="77777777" w:rsidTr="00166AB9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D1872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0F7367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Details of the transaction(s): section to be repeated for (</w:t>
            </w:r>
            <w:proofErr w:type="spellStart"/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i</w:t>
            </w:r>
            <w:proofErr w:type="spellEnd"/>
            <w:r w:rsidRPr="00413537">
              <w:rPr>
                <w:rFonts w:ascii="Arial" w:eastAsia="Times New Roman" w:hAnsi="Arial"/>
                <w:b/>
                <w:sz w:val="20"/>
                <w:szCs w:val="20"/>
                <w:lang w:eastAsia="en-US"/>
              </w:rPr>
              <w:t>) each type of instrument; (ii) each type of transaction; (iii) each date; and (iv) each place where transactions have been conducted</w:t>
            </w:r>
          </w:p>
        </w:tc>
      </w:tr>
      <w:tr w:rsidR="00166AB9" w:rsidRPr="00413537" w14:paraId="6C9A4F99" w14:textId="77777777" w:rsidTr="00166AB9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2C2AB08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2847EB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15BDF81" w14:textId="77777777" w:rsidR="00166AB9" w:rsidRPr="00413537" w:rsidRDefault="00166AB9" w:rsidP="003B1070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Ordinary shares of </w:t>
            </w:r>
            <w:r w:rsidR="003B1070">
              <w:rPr>
                <w:rFonts w:ascii="Arial" w:hAnsi="Arial" w:cs="Arial"/>
                <w:sz w:val="20"/>
                <w:szCs w:val="20"/>
              </w:rPr>
              <w:t xml:space="preserve">231/169 </w:t>
            </w:r>
            <w:r w:rsidRPr="002135D3">
              <w:rPr>
                <w:rFonts w:ascii="Arial" w:hAnsi="Arial" w:cs="Arial"/>
                <w:sz w:val="20"/>
              </w:rPr>
              <w:t xml:space="preserve">pence each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224720">
              <w:rPr>
                <w:rFonts w:ascii="Arial" w:hAnsi="Arial" w:cs="Arial"/>
                <w:sz w:val="20"/>
                <w:szCs w:val="20"/>
              </w:rPr>
              <w:t>“</w:t>
            </w:r>
            <w:r w:rsidRPr="007F6012">
              <w:rPr>
                <w:rFonts w:ascii="Arial" w:hAnsi="Arial" w:cs="Arial"/>
                <w:b/>
                <w:sz w:val="20"/>
                <w:szCs w:val="20"/>
              </w:rPr>
              <w:t>Shares</w:t>
            </w:r>
            <w:r w:rsidR="00224720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66AB9" w14:paraId="0E47E50D" w14:textId="77777777" w:rsidTr="00166AB9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C849C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4164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413537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E188BF" w14:textId="569F665D" w:rsidR="00166AB9" w:rsidRDefault="00720B12" w:rsidP="00166AB9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6202C"/>
                <w:sz w:val="20"/>
                <w:szCs w:val="20"/>
              </w:rPr>
              <w:t>GB00BN0SMB92</w:t>
            </w:r>
          </w:p>
        </w:tc>
      </w:tr>
      <w:tr w:rsidR="00166AB9" w:rsidRPr="00413537" w14:paraId="3AEC6CDE" w14:textId="77777777" w:rsidTr="00166AB9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AD925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4DD6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Nature of the</w:t>
            </w:r>
            <w:r w:rsidRPr="00413537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BEC13" w14:textId="77777777" w:rsidR="00166AB9" w:rsidRPr="00413537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Award (in the form of a nil-cost option) of a right to acquire Shares in the Company pursuant to the 2017 LTIP</w:t>
            </w:r>
            <w:r w:rsidRPr="007F601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6AB9" w:rsidRPr="007E31CA" w14:paraId="21CDC981" w14:textId="77777777" w:rsidTr="00166AB9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963EE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6ECA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166AB9" w14:paraId="7CB97A3D" w14:textId="77777777" w:rsidTr="00166AB9">
              <w:tc>
                <w:tcPr>
                  <w:tcW w:w="3255" w:type="dxa"/>
                  <w:vAlign w:val="center"/>
                </w:tcPr>
                <w:p w14:paraId="0F76003F" w14:textId="77777777" w:rsidR="00166AB9" w:rsidRPr="007E31CA" w:rsidRDefault="00166AB9" w:rsidP="00166AB9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E31CA">
                    <w:rPr>
                      <w:rFonts w:ascii="Arial" w:hAnsi="Arial" w:cs="Arial"/>
                      <w:b/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3CF42197" w14:textId="77777777" w:rsidR="00166AB9" w:rsidRPr="007E31CA" w:rsidRDefault="00166AB9" w:rsidP="00166AB9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E31CA">
                    <w:rPr>
                      <w:rFonts w:ascii="Arial" w:hAnsi="Arial" w:cs="Arial"/>
                      <w:b/>
                      <w:sz w:val="20"/>
                      <w:szCs w:val="20"/>
                    </w:rPr>
                    <w:t>Volume(s)</w:t>
                  </w:r>
                </w:p>
              </w:tc>
            </w:tr>
            <w:tr w:rsidR="00166AB9" w14:paraId="1B28490C" w14:textId="77777777" w:rsidTr="007A4D06">
              <w:tc>
                <w:tcPr>
                  <w:tcW w:w="3255" w:type="dxa"/>
                  <w:vAlign w:val="center"/>
                </w:tcPr>
                <w:p w14:paraId="729374F0" w14:textId="77777777" w:rsidR="00166AB9" w:rsidRDefault="00166AB9" w:rsidP="00166AB9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575C">
                    <w:rPr>
                      <w:rFonts w:ascii="Arial" w:hAnsi="Arial" w:cs="Arial"/>
                      <w:sz w:val="20"/>
                      <w:szCs w:val="20"/>
                    </w:rPr>
                    <w:t>£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1DFA01EB" w14:textId="08A0D8B9" w:rsidR="00166AB9" w:rsidRPr="0097186F" w:rsidRDefault="0042698C" w:rsidP="0042698C">
                  <w:pPr>
                    <w:jc w:val="center"/>
                    <w:rPr>
                      <w:rFonts w:cs="Arial"/>
                    </w:rPr>
                  </w:pPr>
                  <w:r w:rsidRPr="0097186F">
                    <w:rPr>
                      <w:rFonts w:cs="Arial"/>
                    </w:rPr>
                    <w:t>451,065</w:t>
                  </w:r>
                </w:p>
              </w:tc>
            </w:tr>
          </w:tbl>
          <w:p w14:paraId="73871F6F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AB9" w:rsidRPr="007E31CA" w14:paraId="4AC9677B" w14:textId="77777777" w:rsidTr="00166AB9">
        <w:trPr>
          <w:cantSplit/>
          <w:trHeight w:hRule="exact" w:val="1414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82E28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9BA2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information</w:t>
            </w:r>
          </w:p>
          <w:p w14:paraId="79926D4A" w14:textId="77777777" w:rsidR="00166AB9" w:rsidRPr="007E31CA" w:rsidRDefault="00166AB9" w:rsidP="00166AB9">
            <w:pPr>
              <w:pStyle w:val="TableParagraph"/>
              <w:numPr>
                <w:ilvl w:val="0"/>
                <w:numId w:val="22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volume</w:t>
            </w:r>
          </w:p>
          <w:p w14:paraId="0177AF1D" w14:textId="77777777" w:rsidR="00166AB9" w:rsidRPr="007E31CA" w:rsidRDefault="00166AB9" w:rsidP="00166AB9">
            <w:pPr>
              <w:pStyle w:val="TableParagraph"/>
              <w:numPr>
                <w:ilvl w:val="0"/>
                <w:numId w:val="22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5AF7E" w14:textId="77777777" w:rsidR="00166AB9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14:paraId="0EAA6B51" w14:textId="77777777" w:rsidR="00166AB9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14:paraId="3AE3A8A4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166AB9" w:rsidRPr="007E31CA" w14:paraId="570EBD6B" w14:textId="77777777" w:rsidTr="00166AB9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3B399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CD39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6D8FA" w14:textId="02415BB5" w:rsidR="00166AB9" w:rsidRPr="007E31CA" w:rsidRDefault="00720B12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March 2021</w:t>
            </w:r>
          </w:p>
        </w:tc>
      </w:tr>
      <w:tr w:rsidR="00166AB9" w:rsidRPr="007E31CA" w14:paraId="0586CE32" w14:textId="77777777" w:rsidTr="00166AB9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85A077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lastRenderedPageBreak/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9D2F8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CF308F" w14:textId="77777777" w:rsidR="00166AB9" w:rsidRPr="007E31CA" w:rsidRDefault="00166AB9" w:rsidP="00166AB9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 Stock Exchange</w:t>
            </w:r>
          </w:p>
        </w:tc>
      </w:tr>
    </w:tbl>
    <w:p w14:paraId="1FA119C6" w14:textId="77777777" w:rsidR="0093753D" w:rsidRDefault="0093753D" w:rsidP="002C261F"/>
    <w:p w14:paraId="026690F5" w14:textId="77777777" w:rsidR="009B0FFC" w:rsidRDefault="009B0FFC" w:rsidP="002C261F"/>
    <w:p w14:paraId="155706E8" w14:textId="2067E335" w:rsidR="00BD7076" w:rsidRDefault="00BD7076"/>
    <w:p w14:paraId="46B0AA7A" w14:textId="77777777" w:rsidR="009B0FFC" w:rsidRDefault="009B0FFC" w:rsidP="009B0FFC"/>
    <w:p w14:paraId="3655033A" w14:textId="77777777" w:rsidR="00166AB9" w:rsidRDefault="00166AB9" w:rsidP="002C261F"/>
    <w:p w14:paraId="7669A102" w14:textId="77777777" w:rsidR="009B0FFC" w:rsidRDefault="009B0FFC" w:rsidP="002C261F"/>
    <w:p w14:paraId="443B1462" w14:textId="77777777" w:rsidR="00166AB9" w:rsidRDefault="00166AB9" w:rsidP="00197451"/>
    <w:p w14:paraId="2989D16A" w14:textId="77777777" w:rsidR="00197451" w:rsidRDefault="00197451" w:rsidP="002C261F"/>
    <w:p w14:paraId="273392DF" w14:textId="77777777" w:rsidR="009B0FFC" w:rsidRDefault="009B0FFC" w:rsidP="002C261F"/>
    <w:p w14:paraId="249A16A0" w14:textId="77777777" w:rsidR="0093753D" w:rsidRDefault="0093753D" w:rsidP="002C261F"/>
    <w:p w14:paraId="4662CD8B" w14:textId="77777777" w:rsidR="008F70AF" w:rsidRDefault="008F70AF" w:rsidP="008F70AF"/>
    <w:p w14:paraId="57742A08" w14:textId="77777777" w:rsidR="008F70AF" w:rsidRDefault="008F70AF" w:rsidP="002C261F"/>
    <w:sectPr w:rsidR="008F70AF" w:rsidSect="00247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0" w:right="1360" w:bottom="1500" w:left="1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8BDEC" w14:textId="77777777" w:rsidR="00E1733F" w:rsidRDefault="00E1733F">
      <w:r>
        <w:separator/>
      </w:r>
    </w:p>
  </w:endnote>
  <w:endnote w:type="continuationSeparator" w:id="0">
    <w:p w14:paraId="6F3B109C" w14:textId="77777777" w:rsidR="00E1733F" w:rsidRDefault="00E1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CB2A2" w14:textId="5C82DF3C" w:rsidR="00637C20" w:rsidRDefault="00637C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7A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DDD52F" w14:textId="77777777" w:rsidR="00637C20" w:rsidRDefault="00637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E4789" w14:textId="49934A28" w:rsidR="00637C20" w:rsidRDefault="00637C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7AC1">
      <w:rPr>
        <w:rStyle w:val="PageNumber"/>
        <w:noProof/>
      </w:rPr>
      <w:t>7</w:t>
    </w:r>
    <w:r>
      <w:rPr>
        <w:rStyle w:val="PageNumber"/>
      </w:rPr>
      <w:fldChar w:fldCharType="end"/>
    </w:r>
  </w:p>
  <w:p w14:paraId="2E7B5572" w14:textId="77777777" w:rsidR="00637C20" w:rsidRDefault="00637C20">
    <w:pPr>
      <w:pStyle w:val="Footer"/>
      <w:ind w:right="360"/>
      <w:rPr>
        <w:color w:val="C0C0C0"/>
        <w:sz w:val="16"/>
        <w:szCs w:val="16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0FE29" w14:textId="77777777" w:rsidR="00637C20" w:rsidRDefault="00637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FBCF7" w14:textId="77777777" w:rsidR="00E1733F" w:rsidRDefault="00E1733F">
      <w:r>
        <w:separator/>
      </w:r>
    </w:p>
  </w:footnote>
  <w:footnote w:type="continuationSeparator" w:id="0">
    <w:p w14:paraId="2FAA5334" w14:textId="77777777" w:rsidR="00E1733F" w:rsidRDefault="00E1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B5AC9" w14:textId="77777777" w:rsidR="00637C20" w:rsidRDefault="00637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4B3F2" w14:textId="77777777" w:rsidR="00637C20" w:rsidRDefault="00637C20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32E1D4B" wp14:editId="5B26AA59">
          <wp:simplePos x="0" y="0"/>
          <wp:positionH relativeFrom="column">
            <wp:posOffset>5257800</wp:posOffset>
          </wp:positionH>
          <wp:positionV relativeFrom="paragraph">
            <wp:posOffset>38100</wp:posOffset>
          </wp:positionV>
          <wp:extent cx="812800" cy="431800"/>
          <wp:effectExtent l="19050" t="0" r="6350" b="0"/>
          <wp:wrapNone/>
          <wp:docPr id="3" name="Picture 3" descr="CairnPLC 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irnPLC 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52DC5" w14:textId="77777777" w:rsidR="00637C20" w:rsidRDefault="00637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6"/>
    <w:multiLevelType w:val="multilevel"/>
    <w:tmpl w:val="00000889"/>
    <w:lvl w:ilvl="0">
      <w:numFmt w:val="bullet"/>
      <w:lvlText w:val="—"/>
      <w:lvlJc w:val="left"/>
      <w:pPr>
        <w:ind w:left="366" w:hanging="282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540" w:hanging="282"/>
      </w:pPr>
    </w:lvl>
    <w:lvl w:ilvl="2">
      <w:numFmt w:val="bullet"/>
      <w:lvlText w:val="•"/>
      <w:lvlJc w:val="left"/>
      <w:pPr>
        <w:ind w:left="720" w:hanging="282"/>
      </w:pPr>
    </w:lvl>
    <w:lvl w:ilvl="3">
      <w:numFmt w:val="bullet"/>
      <w:lvlText w:val="•"/>
      <w:lvlJc w:val="left"/>
      <w:pPr>
        <w:ind w:left="901" w:hanging="282"/>
      </w:pPr>
    </w:lvl>
    <w:lvl w:ilvl="4">
      <w:numFmt w:val="bullet"/>
      <w:lvlText w:val="•"/>
      <w:lvlJc w:val="left"/>
      <w:pPr>
        <w:ind w:left="1081" w:hanging="282"/>
      </w:pPr>
    </w:lvl>
    <w:lvl w:ilvl="5">
      <w:numFmt w:val="bullet"/>
      <w:lvlText w:val="•"/>
      <w:lvlJc w:val="left"/>
      <w:pPr>
        <w:ind w:left="1262" w:hanging="282"/>
      </w:pPr>
    </w:lvl>
    <w:lvl w:ilvl="6">
      <w:numFmt w:val="bullet"/>
      <w:lvlText w:val="•"/>
      <w:lvlJc w:val="left"/>
      <w:pPr>
        <w:ind w:left="1442" w:hanging="282"/>
      </w:pPr>
    </w:lvl>
    <w:lvl w:ilvl="7">
      <w:numFmt w:val="bullet"/>
      <w:lvlText w:val="•"/>
      <w:lvlJc w:val="left"/>
      <w:pPr>
        <w:ind w:left="1623" w:hanging="282"/>
      </w:pPr>
    </w:lvl>
    <w:lvl w:ilvl="8">
      <w:numFmt w:val="bullet"/>
      <w:lvlText w:val="•"/>
      <w:lvlJc w:val="left"/>
      <w:pPr>
        <w:ind w:left="1803" w:hanging="282"/>
      </w:pPr>
    </w:lvl>
  </w:abstractNum>
  <w:abstractNum w:abstractNumId="1" w15:restartNumberingAfterBreak="0">
    <w:nsid w:val="004C16B9"/>
    <w:multiLevelType w:val="hybridMultilevel"/>
    <w:tmpl w:val="4F7CBB1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C0F5E"/>
    <w:multiLevelType w:val="hybridMultilevel"/>
    <w:tmpl w:val="6F5478B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7BD8"/>
    <w:multiLevelType w:val="hybridMultilevel"/>
    <w:tmpl w:val="E632D3C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F7424"/>
    <w:multiLevelType w:val="hybridMultilevel"/>
    <w:tmpl w:val="5CBCF1C8"/>
    <w:lvl w:ilvl="0" w:tplc="6A662548">
      <w:start w:val="37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eastAsia="Wingdings" w:hAnsi="Wingdings" w:cs="Arial" w:hint="default"/>
        <w:i w:val="0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15212"/>
    <w:multiLevelType w:val="hybridMultilevel"/>
    <w:tmpl w:val="897E4C0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B511F"/>
    <w:multiLevelType w:val="hybridMultilevel"/>
    <w:tmpl w:val="8EE09686"/>
    <w:lvl w:ilvl="0" w:tplc="0228F6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620F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9CF2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0EF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CC8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49F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836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32C8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2AD8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000C0"/>
    <w:multiLevelType w:val="hybridMultilevel"/>
    <w:tmpl w:val="477E12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B22F4"/>
    <w:multiLevelType w:val="hybridMultilevel"/>
    <w:tmpl w:val="96DC0C78"/>
    <w:lvl w:ilvl="0" w:tplc="53EAA3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C0A9A"/>
    <w:multiLevelType w:val="hybridMultilevel"/>
    <w:tmpl w:val="B824E75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D7EFB"/>
    <w:multiLevelType w:val="hybridMultilevel"/>
    <w:tmpl w:val="74FA22E0"/>
    <w:lvl w:ilvl="0" w:tplc="8782FC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16202C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5234E"/>
    <w:multiLevelType w:val="hybridMultilevel"/>
    <w:tmpl w:val="2A80BEF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63754"/>
    <w:multiLevelType w:val="hybridMultilevel"/>
    <w:tmpl w:val="EB00DC8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89B"/>
    <w:multiLevelType w:val="hybridMultilevel"/>
    <w:tmpl w:val="41CC9342"/>
    <w:lvl w:ilvl="0" w:tplc="BC6865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E046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21B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8B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DEF6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40CC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43E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B4B8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A6C1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A37CD"/>
    <w:multiLevelType w:val="hybridMultilevel"/>
    <w:tmpl w:val="3B660EFA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AD54766"/>
    <w:multiLevelType w:val="hybridMultilevel"/>
    <w:tmpl w:val="D3F27E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87544"/>
    <w:multiLevelType w:val="hybridMultilevel"/>
    <w:tmpl w:val="6CC6588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72839"/>
    <w:multiLevelType w:val="hybridMultilevel"/>
    <w:tmpl w:val="74FA015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A7079"/>
    <w:multiLevelType w:val="hybridMultilevel"/>
    <w:tmpl w:val="F63CE392"/>
    <w:lvl w:ilvl="0" w:tplc="7C7AEF0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51343"/>
    <w:multiLevelType w:val="hybridMultilevel"/>
    <w:tmpl w:val="4502B7B0"/>
    <w:lvl w:ilvl="0" w:tplc="6A662548">
      <w:start w:val="37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eastAsia="Wingdings" w:hAnsi="Wingdings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D236C74"/>
    <w:multiLevelType w:val="hybridMultilevel"/>
    <w:tmpl w:val="BDDEA90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22AB"/>
    <w:multiLevelType w:val="hybridMultilevel"/>
    <w:tmpl w:val="290050F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558FE"/>
    <w:multiLevelType w:val="hybridMultilevel"/>
    <w:tmpl w:val="BB52CDCE"/>
    <w:lvl w:ilvl="0" w:tplc="1166CB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CDC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D001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D6C8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0862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CCD1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B2C9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ACA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1C32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24246"/>
    <w:multiLevelType w:val="hybridMultilevel"/>
    <w:tmpl w:val="B716422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56579"/>
    <w:multiLevelType w:val="hybridMultilevel"/>
    <w:tmpl w:val="5CC0C64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22"/>
  </w:num>
  <w:num w:numId="5">
    <w:abstractNumId w:val="13"/>
  </w:num>
  <w:num w:numId="6">
    <w:abstractNumId w:val="6"/>
  </w:num>
  <w:num w:numId="7">
    <w:abstractNumId w:val="19"/>
  </w:num>
  <w:num w:numId="8">
    <w:abstractNumId w:val="4"/>
  </w:num>
  <w:num w:numId="9">
    <w:abstractNumId w:val="2"/>
  </w:num>
  <w:num w:numId="10">
    <w:abstractNumId w:val="11"/>
  </w:num>
  <w:num w:numId="11">
    <w:abstractNumId w:val="21"/>
  </w:num>
  <w:num w:numId="12">
    <w:abstractNumId w:val="9"/>
  </w:num>
  <w:num w:numId="13">
    <w:abstractNumId w:val="5"/>
  </w:num>
  <w:num w:numId="14">
    <w:abstractNumId w:val="23"/>
  </w:num>
  <w:num w:numId="15">
    <w:abstractNumId w:val="14"/>
  </w:num>
  <w:num w:numId="16">
    <w:abstractNumId w:val="7"/>
  </w:num>
  <w:num w:numId="17">
    <w:abstractNumId w:val="24"/>
  </w:num>
  <w:num w:numId="18">
    <w:abstractNumId w:val="1"/>
  </w:num>
  <w:num w:numId="19">
    <w:abstractNumId w:val="15"/>
  </w:num>
  <w:num w:numId="20">
    <w:abstractNumId w:val="12"/>
  </w:num>
  <w:num w:numId="21">
    <w:abstractNumId w:val="17"/>
  </w:num>
  <w:num w:numId="22">
    <w:abstractNumId w:val="0"/>
  </w:num>
  <w:num w:numId="23">
    <w:abstractNumId w:val="18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7F"/>
    <w:rsid w:val="00013664"/>
    <w:rsid w:val="000277C7"/>
    <w:rsid w:val="00034BD4"/>
    <w:rsid w:val="00034D8F"/>
    <w:rsid w:val="00043226"/>
    <w:rsid w:val="00047719"/>
    <w:rsid w:val="0006710B"/>
    <w:rsid w:val="00077F97"/>
    <w:rsid w:val="0008048B"/>
    <w:rsid w:val="0008601C"/>
    <w:rsid w:val="000A37BD"/>
    <w:rsid w:val="000B02E4"/>
    <w:rsid w:val="000D1003"/>
    <w:rsid w:val="000D6315"/>
    <w:rsid w:val="000D76B6"/>
    <w:rsid w:val="000E5641"/>
    <w:rsid w:val="000F4BB3"/>
    <w:rsid w:val="001066EE"/>
    <w:rsid w:val="001119D2"/>
    <w:rsid w:val="00116A2A"/>
    <w:rsid w:val="00121CAD"/>
    <w:rsid w:val="0012523A"/>
    <w:rsid w:val="00126E23"/>
    <w:rsid w:val="00145036"/>
    <w:rsid w:val="001452BB"/>
    <w:rsid w:val="001453D1"/>
    <w:rsid w:val="001501F8"/>
    <w:rsid w:val="00150FCE"/>
    <w:rsid w:val="001521C5"/>
    <w:rsid w:val="00152BB7"/>
    <w:rsid w:val="00153D4B"/>
    <w:rsid w:val="001551E1"/>
    <w:rsid w:val="00166893"/>
    <w:rsid w:val="00166AB9"/>
    <w:rsid w:val="0017411F"/>
    <w:rsid w:val="001747FC"/>
    <w:rsid w:val="001759BD"/>
    <w:rsid w:val="001856E2"/>
    <w:rsid w:val="00187D37"/>
    <w:rsid w:val="00197451"/>
    <w:rsid w:val="001A178A"/>
    <w:rsid w:val="001C3161"/>
    <w:rsid w:val="001C4A80"/>
    <w:rsid w:val="001E1734"/>
    <w:rsid w:val="001E20E5"/>
    <w:rsid w:val="001E719B"/>
    <w:rsid w:val="001E7E18"/>
    <w:rsid w:val="001F12F3"/>
    <w:rsid w:val="002134A7"/>
    <w:rsid w:val="002135D3"/>
    <w:rsid w:val="00215EB8"/>
    <w:rsid w:val="0022148E"/>
    <w:rsid w:val="00222DB7"/>
    <w:rsid w:val="00224720"/>
    <w:rsid w:val="00236E99"/>
    <w:rsid w:val="002479A2"/>
    <w:rsid w:val="00250F34"/>
    <w:rsid w:val="00254E9B"/>
    <w:rsid w:val="0025702E"/>
    <w:rsid w:val="00260B74"/>
    <w:rsid w:val="00270BB5"/>
    <w:rsid w:val="002720F6"/>
    <w:rsid w:val="0029671D"/>
    <w:rsid w:val="002A61E9"/>
    <w:rsid w:val="002C261F"/>
    <w:rsid w:val="002D1554"/>
    <w:rsid w:val="002E3490"/>
    <w:rsid w:val="003028B4"/>
    <w:rsid w:val="003044C1"/>
    <w:rsid w:val="00304639"/>
    <w:rsid w:val="00305BA8"/>
    <w:rsid w:val="00311739"/>
    <w:rsid w:val="003174B1"/>
    <w:rsid w:val="00317C5E"/>
    <w:rsid w:val="003359E3"/>
    <w:rsid w:val="0034152E"/>
    <w:rsid w:val="00342643"/>
    <w:rsid w:val="00345BBA"/>
    <w:rsid w:val="00347490"/>
    <w:rsid w:val="003521FC"/>
    <w:rsid w:val="00352ED6"/>
    <w:rsid w:val="00364416"/>
    <w:rsid w:val="00365203"/>
    <w:rsid w:val="00371754"/>
    <w:rsid w:val="00371F8A"/>
    <w:rsid w:val="00380DA7"/>
    <w:rsid w:val="003A7B16"/>
    <w:rsid w:val="003B1070"/>
    <w:rsid w:val="003D3BCE"/>
    <w:rsid w:val="003F7A3A"/>
    <w:rsid w:val="004037E0"/>
    <w:rsid w:val="00403824"/>
    <w:rsid w:val="00406F47"/>
    <w:rsid w:val="004219D9"/>
    <w:rsid w:val="0042698C"/>
    <w:rsid w:val="00433366"/>
    <w:rsid w:val="00454E6D"/>
    <w:rsid w:val="00467AEC"/>
    <w:rsid w:val="0048318A"/>
    <w:rsid w:val="00490FA6"/>
    <w:rsid w:val="0049319F"/>
    <w:rsid w:val="00493673"/>
    <w:rsid w:val="00495935"/>
    <w:rsid w:val="004B2446"/>
    <w:rsid w:val="004B38ED"/>
    <w:rsid w:val="004C30C7"/>
    <w:rsid w:val="004C721E"/>
    <w:rsid w:val="004D104C"/>
    <w:rsid w:val="004E6C9F"/>
    <w:rsid w:val="0052572C"/>
    <w:rsid w:val="00532CC7"/>
    <w:rsid w:val="00542E94"/>
    <w:rsid w:val="00545961"/>
    <w:rsid w:val="0054794E"/>
    <w:rsid w:val="0055201D"/>
    <w:rsid w:val="00564082"/>
    <w:rsid w:val="00572A97"/>
    <w:rsid w:val="00584678"/>
    <w:rsid w:val="00592B39"/>
    <w:rsid w:val="005A5D40"/>
    <w:rsid w:val="005A6240"/>
    <w:rsid w:val="005A6534"/>
    <w:rsid w:val="005A65C8"/>
    <w:rsid w:val="005B26C9"/>
    <w:rsid w:val="005B2858"/>
    <w:rsid w:val="005D3107"/>
    <w:rsid w:val="005E11F0"/>
    <w:rsid w:val="005F645A"/>
    <w:rsid w:val="00601CD0"/>
    <w:rsid w:val="006111B2"/>
    <w:rsid w:val="00615E8C"/>
    <w:rsid w:val="00623385"/>
    <w:rsid w:val="00625FDC"/>
    <w:rsid w:val="00626C98"/>
    <w:rsid w:val="0063780C"/>
    <w:rsid w:val="00637C20"/>
    <w:rsid w:val="00640AD0"/>
    <w:rsid w:val="00644261"/>
    <w:rsid w:val="0065460B"/>
    <w:rsid w:val="00664BBD"/>
    <w:rsid w:val="00672EB2"/>
    <w:rsid w:val="006738EA"/>
    <w:rsid w:val="00690712"/>
    <w:rsid w:val="00692A19"/>
    <w:rsid w:val="006960F0"/>
    <w:rsid w:val="006A2713"/>
    <w:rsid w:val="006A3CD4"/>
    <w:rsid w:val="006B7713"/>
    <w:rsid w:val="006C2833"/>
    <w:rsid w:val="006C6F6D"/>
    <w:rsid w:val="006D5787"/>
    <w:rsid w:val="006D7BFF"/>
    <w:rsid w:val="006F298E"/>
    <w:rsid w:val="006F3F6F"/>
    <w:rsid w:val="007050DE"/>
    <w:rsid w:val="00710752"/>
    <w:rsid w:val="00716225"/>
    <w:rsid w:val="00716550"/>
    <w:rsid w:val="0071743A"/>
    <w:rsid w:val="00720B12"/>
    <w:rsid w:val="00727807"/>
    <w:rsid w:val="007510B5"/>
    <w:rsid w:val="007541F0"/>
    <w:rsid w:val="007545A1"/>
    <w:rsid w:val="00777E2C"/>
    <w:rsid w:val="00784957"/>
    <w:rsid w:val="007A4D06"/>
    <w:rsid w:val="007B04D4"/>
    <w:rsid w:val="007C4819"/>
    <w:rsid w:val="007E3B9F"/>
    <w:rsid w:val="007F6940"/>
    <w:rsid w:val="00811339"/>
    <w:rsid w:val="00820C39"/>
    <w:rsid w:val="00823C32"/>
    <w:rsid w:val="0083110A"/>
    <w:rsid w:val="00832ED5"/>
    <w:rsid w:val="00857C0C"/>
    <w:rsid w:val="00857EFF"/>
    <w:rsid w:val="00886E21"/>
    <w:rsid w:val="008A3562"/>
    <w:rsid w:val="008A76EB"/>
    <w:rsid w:val="008B24AD"/>
    <w:rsid w:val="008C1E73"/>
    <w:rsid w:val="008C5E6E"/>
    <w:rsid w:val="008C6A9C"/>
    <w:rsid w:val="008D1519"/>
    <w:rsid w:val="008D3742"/>
    <w:rsid w:val="008D6792"/>
    <w:rsid w:val="008E4CB0"/>
    <w:rsid w:val="008E72CE"/>
    <w:rsid w:val="008F5FC9"/>
    <w:rsid w:val="008F70AF"/>
    <w:rsid w:val="00900E98"/>
    <w:rsid w:val="00906D66"/>
    <w:rsid w:val="0092124C"/>
    <w:rsid w:val="00922927"/>
    <w:rsid w:val="00930A0A"/>
    <w:rsid w:val="009327FB"/>
    <w:rsid w:val="0093753D"/>
    <w:rsid w:val="009424FD"/>
    <w:rsid w:val="00942BBC"/>
    <w:rsid w:val="0095039D"/>
    <w:rsid w:val="0095339E"/>
    <w:rsid w:val="00956CA5"/>
    <w:rsid w:val="009714DE"/>
    <w:rsid w:val="0097186F"/>
    <w:rsid w:val="00976D04"/>
    <w:rsid w:val="009770C5"/>
    <w:rsid w:val="00985F67"/>
    <w:rsid w:val="00997D18"/>
    <w:rsid w:val="009B0FFC"/>
    <w:rsid w:val="009B119E"/>
    <w:rsid w:val="009B3CB7"/>
    <w:rsid w:val="009B748F"/>
    <w:rsid w:val="009C0DD5"/>
    <w:rsid w:val="009C1E37"/>
    <w:rsid w:val="009F266B"/>
    <w:rsid w:val="009F266D"/>
    <w:rsid w:val="00A11F09"/>
    <w:rsid w:val="00A13992"/>
    <w:rsid w:val="00A14035"/>
    <w:rsid w:val="00A441BD"/>
    <w:rsid w:val="00A53259"/>
    <w:rsid w:val="00A53B53"/>
    <w:rsid w:val="00A74C1C"/>
    <w:rsid w:val="00A85276"/>
    <w:rsid w:val="00A866F5"/>
    <w:rsid w:val="00A90E1D"/>
    <w:rsid w:val="00A9647D"/>
    <w:rsid w:val="00AA394D"/>
    <w:rsid w:val="00AB3F58"/>
    <w:rsid w:val="00AE1B18"/>
    <w:rsid w:val="00AE28DC"/>
    <w:rsid w:val="00AF09BE"/>
    <w:rsid w:val="00AF2F7D"/>
    <w:rsid w:val="00AF4611"/>
    <w:rsid w:val="00AF51EA"/>
    <w:rsid w:val="00B11315"/>
    <w:rsid w:val="00B27AC1"/>
    <w:rsid w:val="00B3311E"/>
    <w:rsid w:val="00B37AA3"/>
    <w:rsid w:val="00B400D9"/>
    <w:rsid w:val="00B52D4A"/>
    <w:rsid w:val="00B63250"/>
    <w:rsid w:val="00B909A7"/>
    <w:rsid w:val="00B96C68"/>
    <w:rsid w:val="00BB2C97"/>
    <w:rsid w:val="00BB44CA"/>
    <w:rsid w:val="00BC2FA9"/>
    <w:rsid w:val="00BD549A"/>
    <w:rsid w:val="00BD57AA"/>
    <w:rsid w:val="00BD5B79"/>
    <w:rsid w:val="00BD7076"/>
    <w:rsid w:val="00BE5476"/>
    <w:rsid w:val="00BE719E"/>
    <w:rsid w:val="00C006C5"/>
    <w:rsid w:val="00C13798"/>
    <w:rsid w:val="00C138BD"/>
    <w:rsid w:val="00C1584C"/>
    <w:rsid w:val="00C21508"/>
    <w:rsid w:val="00C3277F"/>
    <w:rsid w:val="00C406EC"/>
    <w:rsid w:val="00C43D90"/>
    <w:rsid w:val="00C7237E"/>
    <w:rsid w:val="00C73BDB"/>
    <w:rsid w:val="00C825C6"/>
    <w:rsid w:val="00C83F6E"/>
    <w:rsid w:val="00C9174F"/>
    <w:rsid w:val="00C92B7C"/>
    <w:rsid w:val="00CA454C"/>
    <w:rsid w:val="00CA7B88"/>
    <w:rsid w:val="00CB096B"/>
    <w:rsid w:val="00CC0C99"/>
    <w:rsid w:val="00CC2EB4"/>
    <w:rsid w:val="00CC2F3B"/>
    <w:rsid w:val="00CD0BED"/>
    <w:rsid w:val="00CD2D05"/>
    <w:rsid w:val="00CE0B34"/>
    <w:rsid w:val="00CE51FC"/>
    <w:rsid w:val="00CF20F7"/>
    <w:rsid w:val="00D00A6F"/>
    <w:rsid w:val="00D03117"/>
    <w:rsid w:val="00D11116"/>
    <w:rsid w:val="00D17145"/>
    <w:rsid w:val="00D20FEC"/>
    <w:rsid w:val="00D30A9D"/>
    <w:rsid w:val="00D42515"/>
    <w:rsid w:val="00D4594E"/>
    <w:rsid w:val="00D47730"/>
    <w:rsid w:val="00D51941"/>
    <w:rsid w:val="00D65FA2"/>
    <w:rsid w:val="00D77686"/>
    <w:rsid w:val="00D86820"/>
    <w:rsid w:val="00D95F00"/>
    <w:rsid w:val="00D970F6"/>
    <w:rsid w:val="00DA311E"/>
    <w:rsid w:val="00DA5B86"/>
    <w:rsid w:val="00DB0550"/>
    <w:rsid w:val="00DB44E3"/>
    <w:rsid w:val="00DC2307"/>
    <w:rsid w:val="00DD0D2B"/>
    <w:rsid w:val="00DE40DB"/>
    <w:rsid w:val="00DF518E"/>
    <w:rsid w:val="00E04F65"/>
    <w:rsid w:val="00E07B91"/>
    <w:rsid w:val="00E10787"/>
    <w:rsid w:val="00E16E51"/>
    <w:rsid w:val="00E1733F"/>
    <w:rsid w:val="00E17E59"/>
    <w:rsid w:val="00E205A9"/>
    <w:rsid w:val="00E22B68"/>
    <w:rsid w:val="00E313BD"/>
    <w:rsid w:val="00E33997"/>
    <w:rsid w:val="00E35F4E"/>
    <w:rsid w:val="00E369EB"/>
    <w:rsid w:val="00E36EED"/>
    <w:rsid w:val="00E44387"/>
    <w:rsid w:val="00E55341"/>
    <w:rsid w:val="00E64007"/>
    <w:rsid w:val="00E7214A"/>
    <w:rsid w:val="00E72C2D"/>
    <w:rsid w:val="00E84498"/>
    <w:rsid w:val="00EB2516"/>
    <w:rsid w:val="00EB6E03"/>
    <w:rsid w:val="00EC6F9D"/>
    <w:rsid w:val="00EE1CE8"/>
    <w:rsid w:val="00EF6148"/>
    <w:rsid w:val="00F03EF3"/>
    <w:rsid w:val="00F04447"/>
    <w:rsid w:val="00F22EC9"/>
    <w:rsid w:val="00F250B8"/>
    <w:rsid w:val="00F27700"/>
    <w:rsid w:val="00F3533A"/>
    <w:rsid w:val="00F3634D"/>
    <w:rsid w:val="00F36B65"/>
    <w:rsid w:val="00F41DBC"/>
    <w:rsid w:val="00F41E3B"/>
    <w:rsid w:val="00F47337"/>
    <w:rsid w:val="00F525A5"/>
    <w:rsid w:val="00F6141E"/>
    <w:rsid w:val="00F627C3"/>
    <w:rsid w:val="00F633F2"/>
    <w:rsid w:val="00F7163B"/>
    <w:rsid w:val="00F7357D"/>
    <w:rsid w:val="00F82E56"/>
    <w:rsid w:val="00F917A8"/>
    <w:rsid w:val="00F91F57"/>
    <w:rsid w:val="00FA2AB3"/>
    <w:rsid w:val="00FD628E"/>
    <w:rsid w:val="00FF7CFF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71272B"/>
  <w15:docId w15:val="{41A91B88-1FF0-47EE-BCBA-D2FEEFE0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79A2"/>
    <w:rPr>
      <w:rFonts w:ascii="Arial" w:hAnsi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479A2"/>
    <w:pPr>
      <w:spacing w:after="160" w:line="240" w:lineRule="exact"/>
    </w:pPr>
  </w:style>
  <w:style w:type="paragraph" w:styleId="Footer">
    <w:name w:val="footer"/>
    <w:basedOn w:val="Normal"/>
    <w:rsid w:val="002479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79A2"/>
  </w:style>
  <w:style w:type="paragraph" w:styleId="BalloonText">
    <w:name w:val="Balloon Text"/>
    <w:basedOn w:val="Normal"/>
    <w:semiHidden/>
    <w:rsid w:val="002479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79A2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Header">
    <w:name w:val="header"/>
    <w:basedOn w:val="Normal"/>
    <w:rsid w:val="002479A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479A2"/>
    <w:rPr>
      <w:color w:val="0000FF"/>
      <w:u w:val="single"/>
    </w:rPr>
  </w:style>
  <w:style w:type="character" w:styleId="Strong">
    <w:name w:val="Strong"/>
    <w:basedOn w:val="DefaultParagraphFont"/>
    <w:qFormat/>
    <w:rsid w:val="002479A2"/>
    <w:rPr>
      <w:b/>
      <w:bCs/>
    </w:rPr>
  </w:style>
  <w:style w:type="paragraph" w:styleId="PlainText">
    <w:name w:val="Plain Text"/>
    <w:basedOn w:val="Normal"/>
    <w:unhideWhenUsed/>
    <w:rsid w:val="002479A2"/>
    <w:rPr>
      <w:rFonts w:ascii="Bookman Old Style" w:eastAsia="Calibri" w:hAnsi="Bookman Old Style"/>
      <w:sz w:val="22"/>
      <w:szCs w:val="22"/>
    </w:rPr>
  </w:style>
  <w:style w:type="character" w:customStyle="1" w:styleId="CharChar">
    <w:name w:val="Char Char"/>
    <w:basedOn w:val="DefaultParagraphFont"/>
    <w:rsid w:val="002479A2"/>
    <w:rPr>
      <w:rFonts w:ascii="Bookman Old Style" w:eastAsia="Calibri" w:hAnsi="Bookman Old Style"/>
      <w:sz w:val="22"/>
      <w:szCs w:val="22"/>
      <w:lang w:val="en-GB" w:eastAsia="en-GB" w:bidi="ar-SA"/>
    </w:rPr>
  </w:style>
  <w:style w:type="paragraph" w:styleId="ListParagraph">
    <w:name w:val="List Paragraph"/>
    <w:basedOn w:val="Normal"/>
    <w:qFormat/>
    <w:rsid w:val="002479A2"/>
    <w:pPr>
      <w:ind w:left="720"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rsid w:val="002479A2"/>
    <w:rPr>
      <w:sz w:val="16"/>
      <w:szCs w:val="16"/>
    </w:rPr>
  </w:style>
  <w:style w:type="paragraph" w:styleId="CommentText">
    <w:name w:val="annotation text"/>
    <w:basedOn w:val="Normal"/>
    <w:semiHidden/>
    <w:rsid w:val="002479A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semiHidden/>
    <w:rsid w:val="002479A2"/>
    <w:rPr>
      <w:rFonts w:ascii="Arial" w:hAnsi="Arial"/>
      <w:b/>
      <w:bCs/>
    </w:rPr>
  </w:style>
  <w:style w:type="paragraph" w:styleId="FootnoteText">
    <w:name w:val="footnote text"/>
    <w:basedOn w:val="Normal"/>
    <w:semiHidden/>
    <w:rsid w:val="002479A2"/>
  </w:style>
  <w:style w:type="character" w:styleId="FootnoteReference">
    <w:name w:val="footnote reference"/>
    <w:basedOn w:val="DefaultParagraphFont"/>
    <w:semiHidden/>
    <w:rsid w:val="002479A2"/>
    <w:rPr>
      <w:vertAlign w:val="superscript"/>
    </w:rPr>
  </w:style>
  <w:style w:type="character" w:styleId="FollowedHyperlink">
    <w:name w:val="FollowedHyperlink"/>
    <w:basedOn w:val="DefaultParagraphFont"/>
    <w:rsid w:val="002479A2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2479A2"/>
    <w:pPr>
      <w:jc w:val="both"/>
    </w:pPr>
    <w:rPr>
      <w:rFonts w:ascii="Times New Roman" w:hAnsi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1452BB"/>
    <w:rPr>
      <w:sz w:val="24"/>
      <w:lang w:eastAsia="en-GB"/>
    </w:rPr>
  </w:style>
  <w:style w:type="table" w:styleId="TableGrid">
    <w:name w:val="Table Grid"/>
    <w:basedOn w:val="TableNormal"/>
    <w:uiPriority w:val="59"/>
    <w:rsid w:val="00153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C26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en">
    <w:name w:val="en"/>
    <w:basedOn w:val="DefaultParagraphFont"/>
    <w:rsid w:val="004C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8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8316">
                          <w:marLeft w:val="0"/>
                          <w:marRight w:val="15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11A83-BAE6-4E68-BA03-43469A21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1042</Words>
  <Characters>5943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                                                                   13 May 2008</vt:lpstr>
    </vt:vector>
  </TitlesOfParts>
  <Company>Cairn Energy India Ltd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                                                                   13 May 2008</dc:title>
  <dc:subject/>
  <dc:creator>David</dc:creator>
  <cp:keywords/>
  <dc:description/>
  <cp:lastModifiedBy>Maryth Guild</cp:lastModifiedBy>
  <cp:revision>2</cp:revision>
  <cp:lastPrinted>2019-03-07T10:54:00Z</cp:lastPrinted>
  <dcterms:created xsi:type="dcterms:W3CDTF">2021-03-17T14:42:00Z</dcterms:created>
  <dcterms:modified xsi:type="dcterms:W3CDTF">2021-03-17T14:42:00Z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C0210.333 71885339 2 ROC </vt:lpwstr>
  </property>
  <property fmtid="{D5CDD505-2E9C-101B-9397-08002B2CF9AE}" pid="3" name="AuthorJobDescription">
    <vt:lpwstr>Partner</vt:lpwstr>
  </property>
  <property fmtid="{D5CDD505-2E9C-101B-9397-08002B2CF9AE}" pid="4" name="AuthorDepartment">
    <vt:lpwstr>CF50 - Corporate - Share Schemes</vt:lpwstr>
  </property>
  <property fmtid="{D5CDD505-2E9C-101B-9397-08002B2CF9AE}" pid="5" name="AuthorEmail">
    <vt:lpwstr>rodger.cairns@shepwedd.co.uk</vt:lpwstr>
  </property>
  <property fmtid="{D5CDD505-2E9C-101B-9397-08002B2CF9AE}" pid="6" name="AuthorFaxNumber">
    <vt:lpwstr/>
  </property>
  <property fmtid="{D5CDD505-2E9C-101B-9397-08002B2CF9AE}" pid="7" name="AuthorFullName">
    <vt:lpwstr>Rodger Cairns</vt:lpwstr>
  </property>
  <property fmtid="{D5CDD505-2E9C-101B-9397-08002B2CF9AE}" pid="8" name="AuthorLastName">
    <vt:lpwstr> </vt:lpwstr>
  </property>
  <property fmtid="{D5CDD505-2E9C-101B-9397-08002B2CF9AE}" pid="9" name="AuthorFirstName">
    <vt:lpwstr> </vt:lpwstr>
  </property>
  <property fmtid="{D5CDD505-2E9C-101B-9397-08002B2CF9AE}" pid="10" name="SWDocinfo">
    <vt:lpwstr>24157427 1   </vt:lpwstr>
  </property>
  <property fmtid="{D5CDD505-2E9C-101B-9397-08002B2CF9AE}" pid="11" name="DocRef">
    <vt:lpwstr>C0210.295 24157427_1 LTIP exercise announcement - S&amp;W draft (version 2)</vt:lpwstr>
  </property>
  <property fmtid="{D5CDD505-2E9C-101B-9397-08002B2CF9AE}" pid="12" name="OurRef">
    <vt:lpwstr>C0210.295/ROC</vt:lpwstr>
  </property>
</Properties>
</file>