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8D0A1" w14:textId="77777777" w:rsidR="00C45448" w:rsidRDefault="00C45448">
      <w:pPr>
        <w:tabs>
          <w:tab w:val="right" w:pos="9540"/>
        </w:tabs>
        <w:rPr>
          <w:rFonts w:cs="Arial"/>
          <w:b/>
        </w:rPr>
      </w:pPr>
    </w:p>
    <w:p w14:paraId="63A85520" w14:textId="77777777" w:rsidR="00C45448" w:rsidRDefault="00C45448">
      <w:pPr>
        <w:tabs>
          <w:tab w:val="right" w:pos="9540"/>
        </w:tabs>
        <w:rPr>
          <w:rFonts w:cs="Arial"/>
          <w:b/>
        </w:rPr>
      </w:pPr>
    </w:p>
    <w:p w14:paraId="4BD6A602" w14:textId="3642FCFC" w:rsidR="00C41D04" w:rsidRDefault="00DE1A57">
      <w:pPr>
        <w:tabs>
          <w:tab w:val="right" w:pos="9540"/>
        </w:tabs>
        <w:rPr>
          <w:rFonts w:cs="Arial"/>
        </w:rPr>
      </w:pPr>
      <w:r>
        <w:rPr>
          <w:rFonts w:cs="Arial"/>
          <w:b/>
        </w:rPr>
        <w:t>FOR IMMEDIATE RELEASE</w:t>
      </w:r>
      <w:r>
        <w:rPr>
          <w:rFonts w:cs="Arial"/>
          <w:b/>
        </w:rPr>
        <w:tab/>
      </w:r>
      <w:r w:rsidR="00E4210C">
        <w:rPr>
          <w:rFonts w:cs="Arial"/>
          <w:b/>
        </w:rPr>
        <w:t>7</w:t>
      </w:r>
      <w:r w:rsidR="00C72416">
        <w:rPr>
          <w:rFonts w:cs="Arial"/>
          <w:b/>
        </w:rPr>
        <w:t xml:space="preserve"> May</w:t>
      </w:r>
      <w:r w:rsidR="00665EB1">
        <w:rPr>
          <w:rFonts w:cs="Arial"/>
          <w:b/>
        </w:rPr>
        <w:t xml:space="preserve"> </w:t>
      </w:r>
      <w:r w:rsidR="00E4210C">
        <w:rPr>
          <w:rFonts w:cs="Arial"/>
          <w:b/>
        </w:rPr>
        <w:t>2021</w:t>
      </w:r>
    </w:p>
    <w:p w14:paraId="04AB7E76" w14:textId="77777777" w:rsidR="00D17921" w:rsidRDefault="00D17921">
      <w:pPr>
        <w:jc w:val="center"/>
        <w:rPr>
          <w:rFonts w:cs="Arial"/>
          <w:b/>
          <w:bCs/>
        </w:rPr>
      </w:pPr>
    </w:p>
    <w:p w14:paraId="421F1F47" w14:textId="77777777" w:rsidR="008D10F7" w:rsidRDefault="008D10F7">
      <w:pPr>
        <w:jc w:val="center"/>
        <w:rPr>
          <w:rFonts w:cs="Arial"/>
          <w:b/>
          <w:bCs/>
        </w:rPr>
      </w:pPr>
    </w:p>
    <w:p w14:paraId="3EFFB94A" w14:textId="77777777" w:rsidR="008D10F7" w:rsidRDefault="008D10F7">
      <w:pPr>
        <w:jc w:val="center"/>
        <w:rPr>
          <w:rFonts w:cs="Arial"/>
          <w:b/>
          <w:bCs/>
        </w:rPr>
      </w:pPr>
    </w:p>
    <w:p w14:paraId="73742532" w14:textId="77777777" w:rsidR="00C41D04" w:rsidRDefault="00DE1A57">
      <w:pPr>
        <w:jc w:val="center"/>
        <w:rPr>
          <w:rFonts w:cs="Arial"/>
          <w:b/>
          <w:bCs/>
        </w:rPr>
      </w:pPr>
      <w:r>
        <w:rPr>
          <w:rFonts w:cs="Arial"/>
          <w:b/>
          <w:bCs/>
        </w:rPr>
        <w:t>CAIRN ENERGY PLC (“Cairn” or “the Company”)</w:t>
      </w:r>
    </w:p>
    <w:p w14:paraId="49C3DCC9" w14:textId="77777777" w:rsidR="00C41D04" w:rsidRDefault="00C41D04">
      <w:pPr>
        <w:jc w:val="center"/>
        <w:rPr>
          <w:rFonts w:cs="Arial"/>
          <w:b/>
          <w:bCs/>
          <w:lang w:eastAsia="en-US"/>
        </w:rPr>
      </w:pPr>
    </w:p>
    <w:p w14:paraId="79F9DAF7" w14:textId="77777777" w:rsidR="00C41D04" w:rsidRDefault="00DE1A57">
      <w:pPr>
        <w:jc w:val="center"/>
        <w:rPr>
          <w:rFonts w:cs="Arial"/>
          <w:b/>
        </w:rPr>
      </w:pPr>
      <w:r>
        <w:rPr>
          <w:rFonts w:cs="Arial"/>
          <w:b/>
        </w:rPr>
        <w:t xml:space="preserve">Interests of Directors / Persons Discharging Managerial Responsibility (“PDMRs”) </w:t>
      </w:r>
    </w:p>
    <w:p w14:paraId="01522EAB" w14:textId="77777777" w:rsidR="00C41D04" w:rsidRDefault="00DE1A57">
      <w:pPr>
        <w:jc w:val="center"/>
        <w:rPr>
          <w:rFonts w:cs="Arial"/>
          <w:b/>
        </w:rPr>
      </w:pPr>
      <w:r>
        <w:rPr>
          <w:rFonts w:cs="Arial"/>
          <w:b/>
        </w:rPr>
        <w:t>in the Company’s Shares</w:t>
      </w:r>
    </w:p>
    <w:p w14:paraId="48D51031" w14:textId="77777777" w:rsidR="00C45448" w:rsidRDefault="00C45448">
      <w:pPr>
        <w:jc w:val="center"/>
        <w:rPr>
          <w:rFonts w:cs="Arial"/>
          <w:b/>
        </w:rPr>
      </w:pPr>
    </w:p>
    <w:p w14:paraId="30DAF8E0" w14:textId="77777777" w:rsidR="00A1320E" w:rsidRDefault="00A1320E">
      <w:pPr>
        <w:pStyle w:val="BodyText2"/>
        <w:rPr>
          <w:rFonts w:ascii="Arial" w:hAnsi="Arial" w:cs="Arial"/>
          <w:sz w:val="20"/>
        </w:rPr>
      </w:pPr>
    </w:p>
    <w:p w14:paraId="5B8A7CD8" w14:textId="77777777" w:rsidR="00B23B58" w:rsidRDefault="00C72416" w:rsidP="00B23B58">
      <w:pPr>
        <w:pStyle w:val="BodyText2"/>
        <w:ind w:left="720" w:hanging="720"/>
        <w:rPr>
          <w:rFonts w:ascii="Arial" w:hAnsi="Arial" w:cs="Arial"/>
          <w:b/>
          <w:bCs/>
          <w:sz w:val="20"/>
        </w:rPr>
      </w:pPr>
      <w:r>
        <w:rPr>
          <w:rFonts w:ascii="Arial" w:hAnsi="Arial" w:cs="Arial"/>
          <w:b/>
          <w:bCs/>
          <w:sz w:val="20"/>
        </w:rPr>
        <w:t>1</w:t>
      </w:r>
      <w:r w:rsidR="00B23B58">
        <w:rPr>
          <w:rFonts w:ascii="Arial" w:hAnsi="Arial" w:cs="Arial"/>
          <w:b/>
          <w:bCs/>
          <w:sz w:val="20"/>
        </w:rPr>
        <w:t>.</w:t>
      </w:r>
      <w:r w:rsidR="00B23B58">
        <w:rPr>
          <w:rFonts w:ascii="Arial" w:hAnsi="Arial" w:cs="Arial"/>
          <w:b/>
          <w:bCs/>
          <w:sz w:val="20"/>
        </w:rPr>
        <w:tab/>
        <w:t>Purchase of Partnership Shares / Award of Matching Shares under the Company's 2010 Share Incentive Plan (the “SIP”)</w:t>
      </w:r>
    </w:p>
    <w:p w14:paraId="6AE451A5" w14:textId="77777777" w:rsidR="00B23B58" w:rsidRDefault="00B23B58" w:rsidP="00B23B58">
      <w:pPr>
        <w:pStyle w:val="BodyText2"/>
        <w:rPr>
          <w:rFonts w:ascii="Arial" w:hAnsi="Arial" w:cs="Arial"/>
          <w:sz w:val="20"/>
        </w:rPr>
      </w:pPr>
    </w:p>
    <w:p w14:paraId="541D055A" w14:textId="68CD79CB" w:rsidR="00B23B58" w:rsidRDefault="00B23B58" w:rsidP="00B23B58">
      <w:pPr>
        <w:pStyle w:val="BodyText2"/>
        <w:rPr>
          <w:rFonts w:ascii="Arial" w:hAnsi="Arial" w:cs="Arial"/>
          <w:sz w:val="20"/>
        </w:rPr>
      </w:pPr>
      <w:r>
        <w:rPr>
          <w:rFonts w:ascii="Arial" w:hAnsi="Arial" w:cs="Arial"/>
          <w:sz w:val="20"/>
        </w:rPr>
        <w:t xml:space="preserve">Cairn announces that, on </w:t>
      </w:r>
      <w:r w:rsidR="00E4210C">
        <w:rPr>
          <w:rFonts w:ascii="Arial" w:hAnsi="Arial" w:cs="Arial"/>
          <w:sz w:val="20"/>
        </w:rPr>
        <w:t>6</w:t>
      </w:r>
      <w:r w:rsidR="00BE4814">
        <w:rPr>
          <w:rFonts w:ascii="Arial" w:hAnsi="Arial" w:cs="Arial"/>
          <w:sz w:val="20"/>
        </w:rPr>
        <w:t xml:space="preserve"> </w:t>
      </w:r>
      <w:r w:rsidR="00C72416">
        <w:rPr>
          <w:rFonts w:ascii="Arial" w:hAnsi="Arial" w:cs="Arial"/>
          <w:sz w:val="20"/>
        </w:rPr>
        <w:t xml:space="preserve">May </w:t>
      </w:r>
      <w:r w:rsidR="00E4210C">
        <w:rPr>
          <w:rFonts w:ascii="Arial" w:hAnsi="Arial" w:cs="Arial"/>
          <w:sz w:val="20"/>
        </w:rPr>
        <w:t>2021</w:t>
      </w:r>
      <w:r>
        <w:rPr>
          <w:rFonts w:ascii="Arial" w:hAnsi="Arial" w:cs="Arial"/>
          <w:sz w:val="20"/>
        </w:rPr>
        <w:t xml:space="preserve">, the trustee (the "Trustee") of the Company's HMRC approved all-employee SIP purchased ordinary shares of </w:t>
      </w:r>
      <w:r w:rsidR="00E4210C">
        <w:rPr>
          <w:rFonts w:ascii="Arial" w:hAnsi="Arial" w:cs="Arial"/>
          <w:sz w:val="20"/>
        </w:rPr>
        <w:t>21/13</w:t>
      </w:r>
      <w:r w:rsidR="00784E8D">
        <w:rPr>
          <w:rFonts w:ascii="Arial" w:hAnsi="Arial" w:cs="Arial"/>
          <w:sz w:val="20"/>
        </w:rPr>
        <w:t xml:space="preserve"> </w:t>
      </w:r>
      <w:r>
        <w:rPr>
          <w:rFonts w:ascii="Arial" w:hAnsi="Arial" w:cs="Arial"/>
          <w:bCs/>
          <w:sz w:val="20"/>
        </w:rPr>
        <w:t xml:space="preserve">pence </w:t>
      </w:r>
      <w:r>
        <w:rPr>
          <w:rFonts w:ascii="Arial" w:hAnsi="Arial" w:cs="Arial"/>
          <w:sz w:val="20"/>
        </w:rPr>
        <w:t>each in the Company ("Ordinary Shares") in the market at a price of £</w:t>
      </w:r>
      <w:r w:rsidR="00DF333B">
        <w:rPr>
          <w:rFonts w:ascii="Arial" w:hAnsi="Arial" w:cs="Arial"/>
          <w:sz w:val="20"/>
        </w:rPr>
        <w:t>1.</w:t>
      </w:r>
      <w:r w:rsidR="00E4210C">
        <w:rPr>
          <w:rFonts w:ascii="Arial" w:hAnsi="Arial" w:cs="Arial"/>
          <w:sz w:val="20"/>
        </w:rPr>
        <w:t>734</w:t>
      </w:r>
      <w:r>
        <w:rPr>
          <w:rFonts w:ascii="Arial" w:hAnsi="Arial" w:cs="Arial"/>
          <w:sz w:val="20"/>
        </w:rPr>
        <w:t xml:space="preserve"> per Ordinary Share on behalf of participants in the "Partnership Share" element of the SIP using deductions made from their gross salary.</w:t>
      </w:r>
    </w:p>
    <w:p w14:paraId="78632270" w14:textId="77777777" w:rsidR="00B23B58" w:rsidRDefault="00B23B58" w:rsidP="00B23B58">
      <w:pPr>
        <w:pStyle w:val="BodyText2"/>
        <w:rPr>
          <w:rFonts w:ascii="Arial" w:hAnsi="Arial" w:cs="Arial"/>
          <w:sz w:val="20"/>
        </w:rPr>
      </w:pPr>
    </w:p>
    <w:p w14:paraId="0E2D0D3D" w14:textId="1CA5FBD8" w:rsidR="00B23B58" w:rsidRDefault="00B23B58" w:rsidP="00B23B58">
      <w:pPr>
        <w:pStyle w:val="BodyText2"/>
        <w:rPr>
          <w:rFonts w:ascii="Arial" w:hAnsi="Arial" w:cs="Arial"/>
          <w:sz w:val="20"/>
        </w:rPr>
      </w:pPr>
      <w:r>
        <w:rPr>
          <w:rFonts w:ascii="Arial" w:hAnsi="Arial" w:cs="Arial"/>
          <w:sz w:val="20"/>
        </w:rPr>
        <w:t>Cairn also announces that, on</w:t>
      </w:r>
      <w:r w:rsidR="00C72416">
        <w:rPr>
          <w:rFonts w:ascii="Arial" w:hAnsi="Arial" w:cs="Arial"/>
          <w:sz w:val="20"/>
        </w:rPr>
        <w:t xml:space="preserve"> </w:t>
      </w:r>
      <w:r w:rsidR="00E4210C">
        <w:rPr>
          <w:rFonts w:ascii="Arial" w:hAnsi="Arial" w:cs="Arial"/>
          <w:sz w:val="20"/>
        </w:rPr>
        <w:t>6</w:t>
      </w:r>
      <w:r w:rsidR="00C72416">
        <w:rPr>
          <w:rFonts w:ascii="Arial" w:hAnsi="Arial" w:cs="Arial"/>
          <w:sz w:val="20"/>
        </w:rPr>
        <w:t xml:space="preserve"> May </w:t>
      </w:r>
      <w:r w:rsidR="00E4210C">
        <w:rPr>
          <w:rFonts w:ascii="Arial" w:hAnsi="Arial" w:cs="Arial"/>
          <w:sz w:val="20"/>
        </w:rPr>
        <w:t>2021</w:t>
      </w:r>
      <w:r>
        <w:rPr>
          <w:rFonts w:ascii="Arial" w:hAnsi="Arial" w:cs="Arial"/>
          <w:sz w:val="20"/>
        </w:rPr>
        <w:t xml:space="preserve">, awards of further Ordinary Shares were made to the participants under the "Matching Share" element of the SIP on the basis of two free Matching Shares for every one Partnership Share purchased. The Ordinary Shares used to satisfy these awards were </w:t>
      </w:r>
      <w:r w:rsidR="002D053C">
        <w:rPr>
          <w:rFonts w:ascii="Arial" w:hAnsi="Arial" w:cs="Arial"/>
          <w:sz w:val="20"/>
        </w:rPr>
        <w:t xml:space="preserve">existing shares </w:t>
      </w:r>
      <w:r>
        <w:rPr>
          <w:rFonts w:ascii="Arial" w:hAnsi="Arial" w:cs="Arial"/>
          <w:sz w:val="20"/>
        </w:rPr>
        <w:t>previously purchased in the market.</w:t>
      </w:r>
    </w:p>
    <w:p w14:paraId="71619C06" w14:textId="77777777" w:rsidR="00B23B58" w:rsidRDefault="00B23B58" w:rsidP="00B23B58">
      <w:pPr>
        <w:pStyle w:val="BodyText2"/>
        <w:rPr>
          <w:rFonts w:ascii="Arial" w:hAnsi="Arial" w:cs="Arial"/>
          <w:sz w:val="20"/>
        </w:rPr>
      </w:pPr>
    </w:p>
    <w:p w14:paraId="48AB7B3B" w14:textId="77777777" w:rsidR="00A1320E" w:rsidRDefault="00B23B58" w:rsidP="00B23B58">
      <w:pPr>
        <w:pStyle w:val="BodyText2"/>
        <w:rPr>
          <w:rFonts w:ascii="Arial" w:hAnsi="Arial" w:cs="Arial"/>
          <w:sz w:val="20"/>
        </w:rPr>
      </w:pPr>
      <w:r>
        <w:rPr>
          <w:rFonts w:ascii="Arial" w:hAnsi="Arial" w:cs="Arial"/>
          <w:sz w:val="20"/>
        </w:rPr>
        <w:t>Details of the Executive Directors and PDMRs who participated in the purchase / award are as follows:</w:t>
      </w:r>
      <w:r w:rsidR="00A1320E">
        <w:rPr>
          <w:rFonts w:ascii="Arial" w:hAnsi="Arial" w:cs="Arial"/>
          <w:sz w:val="20"/>
        </w:rPr>
        <w:t>-</w:t>
      </w:r>
    </w:p>
    <w:p w14:paraId="75A35362" w14:textId="77777777" w:rsidR="00B23B58" w:rsidRDefault="00B23B58" w:rsidP="00B23B58">
      <w:pPr>
        <w:pStyle w:val="BodyText2"/>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8"/>
        <w:gridCol w:w="1328"/>
        <w:gridCol w:w="1268"/>
        <w:gridCol w:w="1256"/>
      </w:tblGrid>
      <w:tr w:rsidR="00B23B58" w14:paraId="5A5C2A44" w14:textId="77777777" w:rsidTr="00277EEC">
        <w:trPr>
          <w:jc w:val="center"/>
        </w:trPr>
        <w:tc>
          <w:tcPr>
            <w:tcW w:w="5658" w:type="dxa"/>
          </w:tcPr>
          <w:p w14:paraId="15C2C559" w14:textId="77777777" w:rsidR="00B23B58" w:rsidRDefault="00B23B58" w:rsidP="00B23B58">
            <w:pPr>
              <w:pStyle w:val="BodyText2"/>
              <w:jc w:val="center"/>
              <w:rPr>
                <w:rFonts w:ascii="Arial" w:hAnsi="Arial" w:cs="Arial"/>
                <w:b/>
                <w:sz w:val="20"/>
              </w:rPr>
            </w:pPr>
          </w:p>
          <w:p w14:paraId="6C19ACCA" w14:textId="77777777" w:rsidR="00B23B58" w:rsidRDefault="00B23B58" w:rsidP="00B23B58">
            <w:pPr>
              <w:pStyle w:val="BodyText2"/>
              <w:jc w:val="center"/>
              <w:rPr>
                <w:rFonts w:ascii="Arial" w:hAnsi="Arial" w:cs="Arial"/>
                <w:b/>
                <w:sz w:val="20"/>
              </w:rPr>
            </w:pPr>
            <w:r>
              <w:rPr>
                <w:rFonts w:ascii="Arial" w:hAnsi="Arial" w:cs="Arial"/>
                <w:b/>
                <w:sz w:val="20"/>
              </w:rPr>
              <w:t>Director</w:t>
            </w:r>
            <w:r w:rsidR="00A1320E">
              <w:rPr>
                <w:rFonts w:ascii="Arial" w:hAnsi="Arial" w:cs="Arial"/>
                <w:b/>
                <w:sz w:val="20"/>
              </w:rPr>
              <w:t xml:space="preserve"> </w:t>
            </w:r>
            <w:r>
              <w:rPr>
                <w:rFonts w:ascii="Arial" w:hAnsi="Arial" w:cs="Arial"/>
                <w:b/>
                <w:sz w:val="20"/>
              </w:rPr>
              <w:t>/</w:t>
            </w:r>
            <w:r w:rsidR="00A1320E">
              <w:rPr>
                <w:rFonts w:ascii="Arial" w:hAnsi="Arial" w:cs="Arial"/>
                <w:b/>
                <w:sz w:val="20"/>
              </w:rPr>
              <w:t xml:space="preserve"> </w:t>
            </w:r>
            <w:r>
              <w:rPr>
                <w:rFonts w:ascii="Arial" w:hAnsi="Arial" w:cs="Arial"/>
                <w:b/>
                <w:sz w:val="20"/>
              </w:rPr>
              <w:t>PDMR</w:t>
            </w:r>
          </w:p>
          <w:p w14:paraId="3006A9D6" w14:textId="77777777" w:rsidR="00B23B58" w:rsidRDefault="00B23B58" w:rsidP="00B23B58">
            <w:pPr>
              <w:pStyle w:val="BodyText2"/>
              <w:jc w:val="center"/>
              <w:rPr>
                <w:rFonts w:ascii="Arial" w:hAnsi="Arial" w:cs="Arial"/>
                <w:b/>
                <w:sz w:val="20"/>
              </w:rPr>
            </w:pPr>
          </w:p>
        </w:tc>
        <w:tc>
          <w:tcPr>
            <w:tcW w:w="1328" w:type="dxa"/>
          </w:tcPr>
          <w:p w14:paraId="0AAE3250" w14:textId="77777777" w:rsidR="00B23B58" w:rsidRDefault="00B23B58" w:rsidP="00B23B58">
            <w:pPr>
              <w:pStyle w:val="BodyText2"/>
              <w:jc w:val="center"/>
              <w:rPr>
                <w:rFonts w:ascii="Arial" w:hAnsi="Arial" w:cs="Arial"/>
                <w:b/>
                <w:sz w:val="20"/>
              </w:rPr>
            </w:pPr>
            <w:r>
              <w:rPr>
                <w:rFonts w:ascii="Arial" w:hAnsi="Arial" w:cs="Arial"/>
                <w:b/>
                <w:sz w:val="20"/>
              </w:rPr>
              <w:t>Number of Partnership Shares Purchased</w:t>
            </w:r>
          </w:p>
        </w:tc>
        <w:tc>
          <w:tcPr>
            <w:tcW w:w="1268" w:type="dxa"/>
          </w:tcPr>
          <w:p w14:paraId="57CCEA0C" w14:textId="77777777" w:rsidR="00B23B58" w:rsidRDefault="00B23B58" w:rsidP="00B23B58">
            <w:pPr>
              <w:pStyle w:val="BodyText2"/>
              <w:jc w:val="center"/>
              <w:rPr>
                <w:rFonts w:ascii="Arial" w:hAnsi="Arial" w:cs="Arial"/>
                <w:b/>
                <w:sz w:val="20"/>
              </w:rPr>
            </w:pPr>
            <w:r>
              <w:rPr>
                <w:rFonts w:ascii="Arial" w:hAnsi="Arial" w:cs="Arial"/>
                <w:b/>
                <w:sz w:val="20"/>
              </w:rPr>
              <w:t>Number of Matching Shares Awarded</w:t>
            </w:r>
          </w:p>
        </w:tc>
        <w:tc>
          <w:tcPr>
            <w:tcW w:w="1256" w:type="dxa"/>
          </w:tcPr>
          <w:p w14:paraId="6B3BB708" w14:textId="77777777" w:rsidR="00B23B58" w:rsidRDefault="00B23B58" w:rsidP="00C72416">
            <w:pPr>
              <w:pStyle w:val="BodyText2"/>
              <w:jc w:val="center"/>
              <w:rPr>
                <w:rFonts w:ascii="Arial" w:hAnsi="Arial" w:cs="Arial"/>
                <w:b/>
                <w:sz w:val="20"/>
              </w:rPr>
            </w:pPr>
            <w:r>
              <w:rPr>
                <w:rFonts w:ascii="Arial" w:hAnsi="Arial" w:cs="Arial"/>
                <w:b/>
                <w:sz w:val="20"/>
              </w:rPr>
              <w:t>Total Number of Shares Acquired</w:t>
            </w:r>
          </w:p>
          <w:p w14:paraId="6CE9A497" w14:textId="77777777" w:rsidR="0097088F" w:rsidRDefault="0097088F" w:rsidP="00C72416">
            <w:pPr>
              <w:pStyle w:val="BodyText2"/>
              <w:jc w:val="center"/>
              <w:rPr>
                <w:rFonts w:ascii="Arial" w:hAnsi="Arial" w:cs="Arial"/>
                <w:b/>
                <w:sz w:val="20"/>
              </w:rPr>
            </w:pPr>
          </w:p>
        </w:tc>
      </w:tr>
      <w:tr w:rsidR="00C72416" w14:paraId="31FA7079" w14:textId="77777777" w:rsidTr="00277EEC">
        <w:trPr>
          <w:jc w:val="center"/>
        </w:trPr>
        <w:tc>
          <w:tcPr>
            <w:tcW w:w="5658" w:type="dxa"/>
          </w:tcPr>
          <w:p w14:paraId="1CCE64D2" w14:textId="77777777" w:rsidR="00317C60" w:rsidRDefault="00317C60" w:rsidP="0097088F">
            <w:pPr>
              <w:pStyle w:val="BodyText2"/>
              <w:rPr>
                <w:rFonts w:ascii="Arial" w:hAnsi="Arial" w:cs="Arial"/>
                <w:sz w:val="20"/>
                <w:lang w:val="en-GB"/>
              </w:rPr>
            </w:pPr>
          </w:p>
          <w:p w14:paraId="34FE9844" w14:textId="77777777" w:rsidR="00C72416" w:rsidRDefault="00C72416" w:rsidP="0097088F">
            <w:pPr>
              <w:pStyle w:val="BodyText2"/>
              <w:rPr>
                <w:rFonts w:ascii="Arial" w:hAnsi="Arial" w:cs="Arial"/>
                <w:sz w:val="20"/>
                <w:lang w:val="en-GB"/>
              </w:rPr>
            </w:pPr>
            <w:r>
              <w:rPr>
                <w:rFonts w:ascii="Arial" w:hAnsi="Arial" w:cs="Arial"/>
                <w:sz w:val="20"/>
                <w:lang w:val="en-GB"/>
              </w:rPr>
              <w:t>Simon Thomson, Chief Executive</w:t>
            </w:r>
          </w:p>
          <w:p w14:paraId="26244996" w14:textId="77777777" w:rsidR="00C72416" w:rsidRDefault="00C72416" w:rsidP="0097088F">
            <w:pPr>
              <w:pStyle w:val="BodyText2"/>
              <w:rPr>
                <w:rFonts w:ascii="Arial" w:hAnsi="Arial" w:cs="Arial"/>
                <w:sz w:val="20"/>
                <w:lang w:val="en-GB"/>
              </w:rPr>
            </w:pPr>
          </w:p>
        </w:tc>
        <w:tc>
          <w:tcPr>
            <w:tcW w:w="1328" w:type="dxa"/>
          </w:tcPr>
          <w:p w14:paraId="5927D403" w14:textId="77777777" w:rsidR="00317C60" w:rsidRDefault="00317C60" w:rsidP="00B23B58">
            <w:pPr>
              <w:pStyle w:val="BodyText2"/>
              <w:jc w:val="center"/>
              <w:rPr>
                <w:rFonts w:ascii="Arial" w:hAnsi="Arial" w:cs="Arial"/>
                <w:sz w:val="20"/>
              </w:rPr>
            </w:pPr>
          </w:p>
          <w:p w14:paraId="67FD4CBB" w14:textId="09BEDC45" w:rsidR="0097088F" w:rsidRDefault="00317C60" w:rsidP="00B23B58">
            <w:pPr>
              <w:pStyle w:val="BodyText2"/>
              <w:jc w:val="center"/>
              <w:rPr>
                <w:rFonts w:ascii="Arial" w:hAnsi="Arial" w:cs="Arial"/>
                <w:sz w:val="20"/>
              </w:rPr>
            </w:pPr>
            <w:r>
              <w:rPr>
                <w:rFonts w:ascii="Arial" w:hAnsi="Arial" w:cs="Arial"/>
                <w:sz w:val="20"/>
              </w:rPr>
              <w:t>1,</w:t>
            </w:r>
            <w:r w:rsidR="00E4210C">
              <w:rPr>
                <w:rFonts w:ascii="Arial" w:hAnsi="Arial" w:cs="Arial"/>
                <w:sz w:val="20"/>
              </w:rPr>
              <w:t>038</w:t>
            </w:r>
          </w:p>
        </w:tc>
        <w:tc>
          <w:tcPr>
            <w:tcW w:w="1268" w:type="dxa"/>
          </w:tcPr>
          <w:p w14:paraId="7B75935F" w14:textId="77777777" w:rsidR="00C72416" w:rsidRDefault="00C72416" w:rsidP="00570E86">
            <w:pPr>
              <w:pStyle w:val="BodyText2"/>
              <w:jc w:val="center"/>
              <w:rPr>
                <w:rFonts w:ascii="Arial" w:hAnsi="Arial" w:cs="Arial"/>
                <w:sz w:val="20"/>
              </w:rPr>
            </w:pPr>
          </w:p>
          <w:p w14:paraId="68A3A3DD" w14:textId="1BD444DF" w:rsidR="007E1BFA" w:rsidRDefault="00E4210C" w:rsidP="00570E86">
            <w:pPr>
              <w:pStyle w:val="BodyText2"/>
              <w:jc w:val="center"/>
              <w:rPr>
                <w:rFonts w:ascii="Arial" w:hAnsi="Arial" w:cs="Arial"/>
                <w:sz w:val="20"/>
              </w:rPr>
            </w:pPr>
            <w:r>
              <w:rPr>
                <w:rFonts w:ascii="Arial" w:hAnsi="Arial" w:cs="Arial"/>
                <w:sz w:val="20"/>
              </w:rPr>
              <w:t>2,076</w:t>
            </w:r>
          </w:p>
        </w:tc>
        <w:tc>
          <w:tcPr>
            <w:tcW w:w="1256" w:type="dxa"/>
          </w:tcPr>
          <w:p w14:paraId="68D234F7" w14:textId="77777777" w:rsidR="00C72416" w:rsidRDefault="00C72416" w:rsidP="00570E86">
            <w:pPr>
              <w:pStyle w:val="BodyText2"/>
              <w:jc w:val="center"/>
              <w:rPr>
                <w:rFonts w:ascii="Arial" w:hAnsi="Arial" w:cs="Arial"/>
                <w:sz w:val="20"/>
              </w:rPr>
            </w:pPr>
          </w:p>
          <w:p w14:paraId="6346E635" w14:textId="0F176F87" w:rsidR="007E1BFA" w:rsidRDefault="00E4210C" w:rsidP="00570E86">
            <w:pPr>
              <w:pStyle w:val="BodyText2"/>
              <w:jc w:val="center"/>
              <w:rPr>
                <w:rFonts w:ascii="Arial" w:hAnsi="Arial" w:cs="Arial"/>
                <w:sz w:val="20"/>
              </w:rPr>
            </w:pPr>
            <w:r>
              <w:rPr>
                <w:rFonts w:ascii="Arial" w:hAnsi="Arial" w:cs="Arial"/>
                <w:sz w:val="20"/>
              </w:rPr>
              <w:t>3,114</w:t>
            </w:r>
          </w:p>
        </w:tc>
      </w:tr>
      <w:tr w:rsidR="00E4210C" w14:paraId="1EC7C499" w14:textId="77777777" w:rsidTr="00277EEC">
        <w:trPr>
          <w:jc w:val="center"/>
        </w:trPr>
        <w:tc>
          <w:tcPr>
            <w:tcW w:w="5658" w:type="dxa"/>
          </w:tcPr>
          <w:p w14:paraId="6FB9970A" w14:textId="77777777" w:rsidR="00E4210C" w:rsidRDefault="00E4210C" w:rsidP="00E4210C">
            <w:pPr>
              <w:pStyle w:val="BodyText2"/>
              <w:rPr>
                <w:rFonts w:ascii="Arial" w:hAnsi="Arial" w:cs="Arial"/>
                <w:sz w:val="20"/>
                <w:lang w:val="en-GB"/>
              </w:rPr>
            </w:pPr>
          </w:p>
          <w:p w14:paraId="3DE4469B" w14:textId="77777777" w:rsidR="00E4210C" w:rsidRDefault="00E4210C" w:rsidP="00E4210C">
            <w:pPr>
              <w:pStyle w:val="BodyText2"/>
              <w:rPr>
                <w:rFonts w:ascii="Arial" w:hAnsi="Arial" w:cs="Arial"/>
                <w:sz w:val="20"/>
                <w:lang w:val="en-GB"/>
              </w:rPr>
            </w:pPr>
            <w:r>
              <w:rPr>
                <w:rFonts w:ascii="Arial" w:hAnsi="Arial" w:cs="Arial"/>
                <w:sz w:val="20"/>
                <w:lang w:val="en-GB"/>
              </w:rPr>
              <w:t>James Smith, Chief Financial Officer</w:t>
            </w:r>
          </w:p>
          <w:p w14:paraId="79757867" w14:textId="77777777" w:rsidR="00E4210C" w:rsidRDefault="00E4210C" w:rsidP="00E4210C">
            <w:pPr>
              <w:pStyle w:val="BodyText2"/>
              <w:rPr>
                <w:rFonts w:ascii="Arial" w:hAnsi="Arial" w:cs="Arial"/>
                <w:sz w:val="20"/>
                <w:lang w:val="en-GB"/>
              </w:rPr>
            </w:pPr>
          </w:p>
        </w:tc>
        <w:tc>
          <w:tcPr>
            <w:tcW w:w="1328" w:type="dxa"/>
          </w:tcPr>
          <w:p w14:paraId="766FC698" w14:textId="77777777" w:rsidR="00E4210C" w:rsidRDefault="00E4210C" w:rsidP="00E4210C">
            <w:pPr>
              <w:pStyle w:val="BodyText2"/>
              <w:jc w:val="center"/>
              <w:rPr>
                <w:rFonts w:ascii="Arial" w:hAnsi="Arial" w:cs="Arial"/>
                <w:sz w:val="20"/>
              </w:rPr>
            </w:pPr>
          </w:p>
          <w:p w14:paraId="4CC604EC" w14:textId="3922AF47" w:rsidR="00E4210C" w:rsidRDefault="00E4210C" w:rsidP="00E4210C">
            <w:pPr>
              <w:jc w:val="center"/>
            </w:pPr>
            <w:r>
              <w:rPr>
                <w:rFonts w:cs="Arial"/>
              </w:rPr>
              <w:t>1,038</w:t>
            </w:r>
          </w:p>
        </w:tc>
        <w:tc>
          <w:tcPr>
            <w:tcW w:w="1268" w:type="dxa"/>
          </w:tcPr>
          <w:p w14:paraId="770EAF81" w14:textId="77777777" w:rsidR="00E4210C" w:rsidRDefault="00E4210C" w:rsidP="00E4210C">
            <w:pPr>
              <w:pStyle w:val="BodyText2"/>
              <w:jc w:val="center"/>
              <w:rPr>
                <w:rFonts w:ascii="Arial" w:hAnsi="Arial" w:cs="Arial"/>
                <w:sz w:val="20"/>
              </w:rPr>
            </w:pPr>
          </w:p>
          <w:p w14:paraId="1AB37BC1" w14:textId="096FDFFB" w:rsidR="00E4210C" w:rsidRDefault="00E4210C" w:rsidP="00E4210C">
            <w:pPr>
              <w:jc w:val="center"/>
              <w:rPr>
                <w:rFonts w:cs="Arial"/>
              </w:rPr>
            </w:pPr>
            <w:r>
              <w:rPr>
                <w:rFonts w:cs="Arial"/>
              </w:rPr>
              <w:t>2,076</w:t>
            </w:r>
          </w:p>
        </w:tc>
        <w:tc>
          <w:tcPr>
            <w:tcW w:w="1256" w:type="dxa"/>
          </w:tcPr>
          <w:p w14:paraId="674009E0" w14:textId="2E279D5A" w:rsidR="00E4210C" w:rsidRDefault="00E4210C" w:rsidP="00E4210C">
            <w:pPr>
              <w:jc w:val="center"/>
              <w:rPr>
                <w:rFonts w:cs="Arial"/>
              </w:rPr>
            </w:pPr>
            <w:r w:rsidRPr="00F3605A">
              <w:rPr>
                <w:rFonts w:cs="Arial"/>
              </w:rPr>
              <w:t>3,114</w:t>
            </w:r>
          </w:p>
        </w:tc>
      </w:tr>
      <w:tr w:rsidR="00E4210C" w14:paraId="72B5DC5B" w14:textId="77777777" w:rsidTr="00277EEC">
        <w:trPr>
          <w:jc w:val="center"/>
        </w:trPr>
        <w:tc>
          <w:tcPr>
            <w:tcW w:w="5658" w:type="dxa"/>
          </w:tcPr>
          <w:p w14:paraId="70CDDC79" w14:textId="77777777" w:rsidR="00E4210C" w:rsidRDefault="00E4210C" w:rsidP="00E4210C">
            <w:pPr>
              <w:pStyle w:val="BodyText2"/>
              <w:rPr>
                <w:rFonts w:ascii="Arial" w:hAnsi="Arial" w:cs="Arial"/>
                <w:sz w:val="20"/>
                <w:lang w:val="en-GB"/>
              </w:rPr>
            </w:pPr>
          </w:p>
          <w:p w14:paraId="24900552" w14:textId="77777777" w:rsidR="00E4210C" w:rsidRDefault="00E4210C" w:rsidP="00E4210C">
            <w:pPr>
              <w:pStyle w:val="BodyText2"/>
              <w:rPr>
                <w:rFonts w:ascii="Arial" w:hAnsi="Arial" w:cs="Arial"/>
                <w:sz w:val="20"/>
                <w:lang w:val="en-GB"/>
              </w:rPr>
            </w:pPr>
            <w:r>
              <w:rPr>
                <w:rFonts w:ascii="Arial" w:hAnsi="Arial" w:cs="Arial"/>
                <w:sz w:val="20"/>
                <w:lang w:val="en-GB"/>
              </w:rPr>
              <w:t>Eric Hathon, Director of Exploration</w:t>
            </w:r>
          </w:p>
          <w:p w14:paraId="4428DBE7" w14:textId="77777777" w:rsidR="00E4210C" w:rsidRDefault="00E4210C" w:rsidP="00E4210C">
            <w:pPr>
              <w:pStyle w:val="BodyText2"/>
              <w:rPr>
                <w:rFonts w:ascii="Arial" w:hAnsi="Arial" w:cs="Arial"/>
                <w:sz w:val="20"/>
                <w:lang w:val="en-GB"/>
              </w:rPr>
            </w:pPr>
          </w:p>
        </w:tc>
        <w:tc>
          <w:tcPr>
            <w:tcW w:w="1328" w:type="dxa"/>
          </w:tcPr>
          <w:p w14:paraId="54731B53" w14:textId="77777777" w:rsidR="00E4210C" w:rsidRDefault="00E4210C" w:rsidP="00E4210C">
            <w:pPr>
              <w:pStyle w:val="BodyText2"/>
              <w:jc w:val="center"/>
              <w:rPr>
                <w:rFonts w:ascii="Arial" w:hAnsi="Arial" w:cs="Arial"/>
                <w:sz w:val="20"/>
              </w:rPr>
            </w:pPr>
          </w:p>
          <w:p w14:paraId="18F1FC5E" w14:textId="5EEC3277" w:rsidR="00E4210C" w:rsidRDefault="00E4210C" w:rsidP="00E4210C">
            <w:pPr>
              <w:jc w:val="center"/>
            </w:pPr>
            <w:r>
              <w:rPr>
                <w:rFonts w:cs="Arial"/>
              </w:rPr>
              <w:t>1,038</w:t>
            </w:r>
          </w:p>
        </w:tc>
        <w:tc>
          <w:tcPr>
            <w:tcW w:w="1268" w:type="dxa"/>
          </w:tcPr>
          <w:p w14:paraId="3CAE5521" w14:textId="77777777" w:rsidR="00E4210C" w:rsidRDefault="00E4210C" w:rsidP="00E4210C">
            <w:pPr>
              <w:pStyle w:val="BodyText2"/>
              <w:jc w:val="center"/>
              <w:rPr>
                <w:rFonts w:ascii="Arial" w:hAnsi="Arial" w:cs="Arial"/>
                <w:sz w:val="20"/>
              </w:rPr>
            </w:pPr>
          </w:p>
          <w:p w14:paraId="317E0D3E" w14:textId="0704AD81" w:rsidR="00E4210C" w:rsidRDefault="00E4210C" w:rsidP="00E4210C">
            <w:pPr>
              <w:jc w:val="center"/>
              <w:rPr>
                <w:rFonts w:cs="Arial"/>
              </w:rPr>
            </w:pPr>
            <w:r>
              <w:rPr>
                <w:rFonts w:cs="Arial"/>
              </w:rPr>
              <w:t>2,076</w:t>
            </w:r>
          </w:p>
        </w:tc>
        <w:tc>
          <w:tcPr>
            <w:tcW w:w="1256" w:type="dxa"/>
          </w:tcPr>
          <w:p w14:paraId="58C75933" w14:textId="77D0C699" w:rsidR="00E4210C" w:rsidRDefault="00E4210C" w:rsidP="00E4210C">
            <w:pPr>
              <w:jc w:val="center"/>
              <w:rPr>
                <w:rFonts w:cs="Arial"/>
              </w:rPr>
            </w:pPr>
            <w:r w:rsidRPr="00F3605A">
              <w:rPr>
                <w:rFonts w:cs="Arial"/>
              </w:rPr>
              <w:t>3,114</w:t>
            </w:r>
          </w:p>
        </w:tc>
      </w:tr>
      <w:tr w:rsidR="00E4210C" w14:paraId="4374BAB9" w14:textId="77777777" w:rsidTr="00277EEC">
        <w:trPr>
          <w:jc w:val="center"/>
        </w:trPr>
        <w:tc>
          <w:tcPr>
            <w:tcW w:w="5658" w:type="dxa"/>
          </w:tcPr>
          <w:p w14:paraId="45D37F4D" w14:textId="77777777" w:rsidR="00E4210C" w:rsidRDefault="00E4210C" w:rsidP="00E4210C">
            <w:pPr>
              <w:pStyle w:val="BodyText2"/>
              <w:rPr>
                <w:rFonts w:ascii="Arial" w:hAnsi="Arial" w:cs="Arial"/>
                <w:sz w:val="20"/>
                <w:lang w:val="en-GB"/>
              </w:rPr>
            </w:pPr>
          </w:p>
          <w:p w14:paraId="5DC78AB5" w14:textId="77777777" w:rsidR="00E4210C" w:rsidRDefault="00E4210C" w:rsidP="00E4210C">
            <w:pPr>
              <w:pStyle w:val="BodyText2"/>
              <w:rPr>
                <w:rFonts w:ascii="Arial" w:hAnsi="Arial" w:cs="Arial"/>
                <w:sz w:val="20"/>
                <w:lang w:val="en-GB"/>
              </w:rPr>
            </w:pPr>
            <w:r>
              <w:rPr>
                <w:rFonts w:ascii="Arial" w:hAnsi="Arial" w:cs="Arial"/>
                <w:sz w:val="20"/>
                <w:lang w:val="en-GB"/>
              </w:rPr>
              <w:t>Paul Mayland, Chief Operating Officer</w:t>
            </w:r>
          </w:p>
          <w:p w14:paraId="4B212482" w14:textId="77777777" w:rsidR="00E4210C" w:rsidRDefault="00E4210C" w:rsidP="00E4210C">
            <w:pPr>
              <w:pStyle w:val="BodyText2"/>
              <w:rPr>
                <w:rFonts w:ascii="Arial" w:hAnsi="Arial" w:cs="Arial"/>
                <w:sz w:val="20"/>
                <w:lang w:val="en-GB"/>
              </w:rPr>
            </w:pPr>
          </w:p>
        </w:tc>
        <w:tc>
          <w:tcPr>
            <w:tcW w:w="1328" w:type="dxa"/>
          </w:tcPr>
          <w:p w14:paraId="42BE7C58" w14:textId="77777777" w:rsidR="00E4210C" w:rsidRDefault="00E4210C" w:rsidP="00E4210C">
            <w:pPr>
              <w:pStyle w:val="BodyText2"/>
              <w:jc w:val="center"/>
              <w:rPr>
                <w:rFonts w:ascii="Arial" w:hAnsi="Arial" w:cs="Arial"/>
                <w:sz w:val="20"/>
              </w:rPr>
            </w:pPr>
          </w:p>
          <w:p w14:paraId="1555A836" w14:textId="20B50D91" w:rsidR="00E4210C" w:rsidRDefault="00E4210C" w:rsidP="00E4210C">
            <w:pPr>
              <w:jc w:val="center"/>
            </w:pPr>
            <w:r>
              <w:rPr>
                <w:rFonts w:cs="Arial"/>
              </w:rPr>
              <w:t>1,038</w:t>
            </w:r>
          </w:p>
        </w:tc>
        <w:tc>
          <w:tcPr>
            <w:tcW w:w="1268" w:type="dxa"/>
          </w:tcPr>
          <w:p w14:paraId="234BFF6E" w14:textId="77777777" w:rsidR="00E4210C" w:rsidRDefault="00E4210C" w:rsidP="00E4210C">
            <w:pPr>
              <w:pStyle w:val="BodyText2"/>
              <w:jc w:val="center"/>
              <w:rPr>
                <w:rFonts w:ascii="Arial" w:hAnsi="Arial" w:cs="Arial"/>
                <w:sz w:val="20"/>
              </w:rPr>
            </w:pPr>
          </w:p>
          <w:p w14:paraId="5C3A1AB3" w14:textId="3592EA57" w:rsidR="00E4210C" w:rsidRDefault="00E4210C" w:rsidP="00E4210C">
            <w:pPr>
              <w:jc w:val="center"/>
            </w:pPr>
            <w:r>
              <w:rPr>
                <w:rFonts w:cs="Arial"/>
              </w:rPr>
              <w:t>2,076</w:t>
            </w:r>
          </w:p>
        </w:tc>
        <w:tc>
          <w:tcPr>
            <w:tcW w:w="1256" w:type="dxa"/>
          </w:tcPr>
          <w:p w14:paraId="15178C79" w14:textId="3B8AFF40" w:rsidR="00E4210C" w:rsidRDefault="00E4210C" w:rsidP="00E4210C">
            <w:pPr>
              <w:jc w:val="center"/>
            </w:pPr>
            <w:r w:rsidRPr="00F3605A">
              <w:rPr>
                <w:rFonts w:cs="Arial"/>
              </w:rPr>
              <w:t>3,114</w:t>
            </w:r>
          </w:p>
        </w:tc>
      </w:tr>
    </w:tbl>
    <w:p w14:paraId="564BA1F7" w14:textId="77777777" w:rsidR="00B23B58" w:rsidRDefault="00B23B58" w:rsidP="00B23B58">
      <w:pPr>
        <w:pStyle w:val="BodyText2"/>
        <w:rPr>
          <w:rFonts w:ascii="Arial" w:hAnsi="Arial" w:cs="Arial"/>
          <w:sz w:val="20"/>
        </w:rPr>
      </w:pPr>
    </w:p>
    <w:p w14:paraId="2E9152C7" w14:textId="77777777" w:rsidR="00B23B58" w:rsidRDefault="00B23B58" w:rsidP="00B23B58">
      <w:pPr>
        <w:pStyle w:val="BodyText2"/>
        <w:rPr>
          <w:rFonts w:ascii="Arial" w:hAnsi="Arial" w:cs="Arial"/>
          <w:sz w:val="20"/>
        </w:rPr>
      </w:pPr>
      <w:r>
        <w:rPr>
          <w:rFonts w:ascii="Arial" w:hAnsi="Arial" w:cs="Arial"/>
          <w:sz w:val="20"/>
        </w:rPr>
        <w:t xml:space="preserve">In accordance with the rules of the SIP, Partnership and Matching Shares are initially held by the Trustee on the participants' behalf and, in the case of Matching Shares, must normally remain so held throughout a period of five years from the date of award.  </w:t>
      </w:r>
    </w:p>
    <w:p w14:paraId="1821722A" w14:textId="77777777" w:rsidR="003C0C45" w:rsidRDefault="003C0C45">
      <w:pPr>
        <w:rPr>
          <w:rFonts w:cs="Arial"/>
          <w:b/>
        </w:rPr>
      </w:pPr>
    </w:p>
    <w:p w14:paraId="56256EE0" w14:textId="77777777" w:rsidR="003C0C45" w:rsidRPr="003C0C45" w:rsidRDefault="003C0C45" w:rsidP="003C0C45">
      <w:pPr>
        <w:jc w:val="both"/>
        <w:rPr>
          <w:rFonts w:cs="Arial"/>
          <w:b/>
          <w:bCs/>
          <w:lang w:val="en-US"/>
        </w:rPr>
      </w:pPr>
      <w:r w:rsidRPr="003C0C45">
        <w:rPr>
          <w:rFonts w:cs="Arial"/>
          <w:b/>
          <w:bCs/>
          <w:lang w:val="en-US"/>
        </w:rPr>
        <w:t xml:space="preserve">2. </w:t>
      </w:r>
      <w:r w:rsidRPr="003C0C45">
        <w:rPr>
          <w:rFonts w:cs="Arial"/>
          <w:b/>
          <w:bCs/>
          <w:lang w:val="en-US"/>
        </w:rPr>
        <w:tab/>
        <w:t>Summary of current holdings of Executive Directors / PDMRs</w:t>
      </w:r>
    </w:p>
    <w:p w14:paraId="751B7B5C" w14:textId="77777777" w:rsidR="003C0C45" w:rsidRPr="003C0C45" w:rsidRDefault="003C0C45" w:rsidP="003C0C45">
      <w:pPr>
        <w:jc w:val="both"/>
        <w:rPr>
          <w:rFonts w:cs="Arial"/>
          <w:bCs/>
          <w:lang w:val="en-US"/>
        </w:rPr>
      </w:pPr>
    </w:p>
    <w:p w14:paraId="3A587F85" w14:textId="41601385" w:rsidR="003C0C45" w:rsidRDefault="003C0C45" w:rsidP="003C0C45">
      <w:pPr>
        <w:jc w:val="both"/>
        <w:rPr>
          <w:rFonts w:cs="Arial"/>
          <w:bCs/>
          <w:lang w:val="en-US"/>
        </w:rPr>
      </w:pPr>
      <w:r w:rsidRPr="003C0C45">
        <w:rPr>
          <w:rFonts w:cs="Arial"/>
          <w:bCs/>
          <w:lang w:val="en-US"/>
        </w:rPr>
        <w:t>Following this announcement, the Executive Directors’ and PDMRs’ beneficial interests in the Shares of the Company are as follows:</w:t>
      </w:r>
    </w:p>
    <w:p w14:paraId="1DD9ADF6" w14:textId="42F36546" w:rsidR="00E4210C" w:rsidRDefault="00E4210C" w:rsidP="003C0C45">
      <w:pPr>
        <w:jc w:val="both"/>
        <w:rPr>
          <w:rFonts w:cs="Arial"/>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1430"/>
        <w:gridCol w:w="1430"/>
        <w:gridCol w:w="1240"/>
        <w:gridCol w:w="1619"/>
        <w:gridCol w:w="1621"/>
      </w:tblGrid>
      <w:tr w:rsidR="00E4210C" w:rsidRPr="00FD1689" w14:paraId="60B98A25" w14:textId="77777777" w:rsidTr="00523C15">
        <w:trPr>
          <w:trHeight w:val="255"/>
        </w:trPr>
        <w:tc>
          <w:tcPr>
            <w:tcW w:w="1141" w:type="pct"/>
            <w:vMerge w:val="restart"/>
            <w:vAlign w:val="center"/>
          </w:tcPr>
          <w:p w14:paraId="0577E424" w14:textId="77777777" w:rsidR="00E4210C" w:rsidRPr="00FD1689" w:rsidRDefault="00E4210C" w:rsidP="00523C15">
            <w:pPr>
              <w:jc w:val="center"/>
              <w:rPr>
                <w:rFonts w:cs="Arial"/>
                <w:lang w:val="en-US"/>
              </w:rPr>
            </w:pPr>
            <w:r w:rsidRPr="00FD1689">
              <w:rPr>
                <w:rFonts w:cs="Arial"/>
                <w:b/>
                <w:lang w:val="en-US"/>
              </w:rPr>
              <w:lastRenderedPageBreak/>
              <w:t>Executive Director / PDMR</w:t>
            </w:r>
          </w:p>
        </w:tc>
        <w:tc>
          <w:tcPr>
            <w:tcW w:w="752" w:type="pct"/>
            <w:vMerge w:val="restart"/>
            <w:vAlign w:val="center"/>
          </w:tcPr>
          <w:p w14:paraId="6377F073" w14:textId="77777777" w:rsidR="00E4210C" w:rsidRPr="00FD1689" w:rsidRDefault="00E4210C" w:rsidP="00523C15">
            <w:pPr>
              <w:jc w:val="center"/>
              <w:rPr>
                <w:rFonts w:cs="Arial"/>
                <w:b/>
                <w:lang w:val="en-US"/>
              </w:rPr>
            </w:pPr>
            <w:r w:rsidRPr="00FD1689">
              <w:rPr>
                <w:rFonts w:cs="Arial"/>
                <w:b/>
                <w:lang w:val="en-US"/>
              </w:rPr>
              <w:t>Previous</w:t>
            </w:r>
          </w:p>
          <w:p w14:paraId="0B504E89" w14:textId="77777777" w:rsidR="00E4210C" w:rsidRPr="00FD1689" w:rsidRDefault="00E4210C" w:rsidP="00523C15">
            <w:pPr>
              <w:jc w:val="center"/>
              <w:rPr>
                <w:rFonts w:cs="Arial"/>
                <w:b/>
                <w:lang w:val="en-US"/>
              </w:rPr>
            </w:pPr>
            <w:r w:rsidRPr="00FD1689">
              <w:rPr>
                <w:rFonts w:cs="Arial"/>
                <w:b/>
                <w:lang w:val="en-US"/>
              </w:rPr>
              <w:t>Shares</w:t>
            </w:r>
          </w:p>
        </w:tc>
        <w:tc>
          <w:tcPr>
            <w:tcW w:w="752" w:type="pct"/>
            <w:vMerge w:val="restart"/>
            <w:vAlign w:val="center"/>
          </w:tcPr>
          <w:p w14:paraId="22E1A0AF" w14:textId="77777777" w:rsidR="00E4210C" w:rsidRPr="00FD1689" w:rsidRDefault="00E4210C" w:rsidP="00523C15">
            <w:pPr>
              <w:jc w:val="center"/>
              <w:rPr>
                <w:rFonts w:cs="Arial"/>
                <w:lang w:val="en-US"/>
              </w:rPr>
            </w:pPr>
            <w:r w:rsidRPr="00FD1689">
              <w:rPr>
                <w:rFonts w:cs="Arial"/>
                <w:b/>
                <w:lang w:val="en-US"/>
              </w:rPr>
              <w:t>Current Shares</w:t>
            </w:r>
          </w:p>
        </w:tc>
        <w:tc>
          <w:tcPr>
            <w:tcW w:w="652" w:type="pct"/>
            <w:vMerge w:val="restart"/>
            <w:vAlign w:val="center"/>
          </w:tcPr>
          <w:p w14:paraId="44DE14EB" w14:textId="77777777" w:rsidR="00E4210C" w:rsidRPr="00FD1689" w:rsidRDefault="00E4210C" w:rsidP="00523C15">
            <w:pPr>
              <w:jc w:val="center"/>
              <w:rPr>
                <w:rFonts w:cs="Arial"/>
                <w:lang w:val="en-US"/>
              </w:rPr>
            </w:pPr>
            <w:r w:rsidRPr="00FD1689">
              <w:rPr>
                <w:rFonts w:cs="Arial"/>
                <w:b/>
                <w:lang w:val="en-US"/>
              </w:rPr>
              <w:t>% Issued Share Capital</w:t>
            </w:r>
          </w:p>
        </w:tc>
        <w:tc>
          <w:tcPr>
            <w:tcW w:w="1703" w:type="pct"/>
            <w:gridSpan w:val="2"/>
            <w:vAlign w:val="center"/>
          </w:tcPr>
          <w:p w14:paraId="16D54FD1" w14:textId="77777777" w:rsidR="00E4210C" w:rsidRPr="00FD1689" w:rsidRDefault="00E4210C" w:rsidP="00523C15">
            <w:pPr>
              <w:jc w:val="center"/>
              <w:rPr>
                <w:rFonts w:cs="Arial"/>
                <w:b/>
                <w:lang w:val="en-US"/>
              </w:rPr>
            </w:pPr>
            <w:r w:rsidRPr="00FD1689">
              <w:rPr>
                <w:rFonts w:cs="Arial"/>
                <w:b/>
                <w:lang w:val="en-US"/>
              </w:rPr>
              <w:t>Outstanding entitlements under 2009 and 2017 LTIPs</w:t>
            </w:r>
          </w:p>
          <w:p w14:paraId="1063D39B" w14:textId="77777777" w:rsidR="00E4210C" w:rsidRPr="00FD1689" w:rsidRDefault="00E4210C" w:rsidP="00523C15">
            <w:pPr>
              <w:jc w:val="center"/>
              <w:rPr>
                <w:rFonts w:cs="Arial"/>
                <w:b/>
                <w:lang w:val="en-US"/>
              </w:rPr>
            </w:pPr>
          </w:p>
        </w:tc>
      </w:tr>
      <w:tr w:rsidR="00E4210C" w:rsidRPr="00FD1689" w14:paraId="6F2AC792" w14:textId="77777777" w:rsidTr="00523C15">
        <w:trPr>
          <w:trHeight w:val="255"/>
        </w:trPr>
        <w:tc>
          <w:tcPr>
            <w:tcW w:w="1141" w:type="pct"/>
            <w:vMerge/>
            <w:vAlign w:val="center"/>
          </w:tcPr>
          <w:p w14:paraId="48F5870E" w14:textId="77777777" w:rsidR="00E4210C" w:rsidRPr="00FD1689" w:rsidRDefault="00E4210C" w:rsidP="00523C15">
            <w:pPr>
              <w:rPr>
                <w:rFonts w:cs="Arial"/>
                <w:lang w:val="en-US"/>
              </w:rPr>
            </w:pPr>
          </w:p>
        </w:tc>
        <w:tc>
          <w:tcPr>
            <w:tcW w:w="752" w:type="pct"/>
            <w:vMerge/>
          </w:tcPr>
          <w:p w14:paraId="0E4B0738" w14:textId="77777777" w:rsidR="00E4210C" w:rsidRPr="00FD1689" w:rsidRDefault="00E4210C" w:rsidP="00523C15">
            <w:pPr>
              <w:jc w:val="center"/>
              <w:rPr>
                <w:rFonts w:cs="Arial"/>
                <w:lang w:val="en-US"/>
              </w:rPr>
            </w:pPr>
          </w:p>
        </w:tc>
        <w:tc>
          <w:tcPr>
            <w:tcW w:w="752" w:type="pct"/>
            <w:vMerge/>
            <w:vAlign w:val="center"/>
          </w:tcPr>
          <w:p w14:paraId="6F60AEBB" w14:textId="77777777" w:rsidR="00E4210C" w:rsidRPr="00FD1689" w:rsidRDefault="00E4210C" w:rsidP="00523C15">
            <w:pPr>
              <w:jc w:val="center"/>
              <w:rPr>
                <w:rFonts w:cs="Arial"/>
                <w:lang w:val="en-US"/>
              </w:rPr>
            </w:pPr>
          </w:p>
        </w:tc>
        <w:tc>
          <w:tcPr>
            <w:tcW w:w="652" w:type="pct"/>
            <w:vMerge/>
            <w:vAlign w:val="bottom"/>
          </w:tcPr>
          <w:p w14:paraId="6B1C2F65" w14:textId="77777777" w:rsidR="00E4210C" w:rsidRPr="00FD1689" w:rsidRDefault="00E4210C" w:rsidP="00523C15">
            <w:pPr>
              <w:jc w:val="center"/>
              <w:rPr>
                <w:rFonts w:cs="Arial"/>
                <w:lang w:val="en-US"/>
              </w:rPr>
            </w:pPr>
          </w:p>
        </w:tc>
        <w:tc>
          <w:tcPr>
            <w:tcW w:w="851" w:type="pct"/>
            <w:vAlign w:val="bottom"/>
          </w:tcPr>
          <w:p w14:paraId="33533273" w14:textId="77777777" w:rsidR="00E4210C" w:rsidRPr="00FD1689" w:rsidRDefault="00E4210C" w:rsidP="00523C15">
            <w:pPr>
              <w:jc w:val="center"/>
              <w:rPr>
                <w:rFonts w:cs="Arial"/>
                <w:i/>
              </w:rPr>
            </w:pPr>
            <w:r w:rsidRPr="00FD1689">
              <w:rPr>
                <w:rFonts w:cs="Arial"/>
                <w:i/>
              </w:rPr>
              <w:t>Unvested Awards still subject to performance conditions</w:t>
            </w:r>
          </w:p>
        </w:tc>
        <w:tc>
          <w:tcPr>
            <w:tcW w:w="852" w:type="pct"/>
            <w:vAlign w:val="center"/>
          </w:tcPr>
          <w:p w14:paraId="19C329E4" w14:textId="77777777" w:rsidR="00E4210C" w:rsidRPr="00FD1689" w:rsidRDefault="00E4210C" w:rsidP="00523C15">
            <w:pPr>
              <w:jc w:val="center"/>
              <w:rPr>
                <w:rFonts w:cs="Arial"/>
                <w:i/>
              </w:rPr>
            </w:pPr>
            <w:r w:rsidRPr="00FD1689">
              <w:rPr>
                <w:rFonts w:cs="Arial"/>
                <w:i/>
              </w:rPr>
              <w:t>Vested but unexercised Awards</w:t>
            </w:r>
            <w:r w:rsidRPr="00FD1689">
              <w:rPr>
                <w:rFonts w:cs="Arial"/>
              </w:rPr>
              <w:t>*</w:t>
            </w:r>
          </w:p>
        </w:tc>
      </w:tr>
      <w:tr w:rsidR="00E4210C" w:rsidRPr="00FD1689" w14:paraId="5533A8BB" w14:textId="77777777" w:rsidTr="00E4210C">
        <w:trPr>
          <w:trHeight w:val="480"/>
        </w:trPr>
        <w:tc>
          <w:tcPr>
            <w:tcW w:w="1141" w:type="pct"/>
            <w:vAlign w:val="center"/>
          </w:tcPr>
          <w:p w14:paraId="573731A3" w14:textId="77777777" w:rsidR="00E4210C" w:rsidRPr="00FD1689" w:rsidRDefault="00E4210C" w:rsidP="00E4210C">
            <w:pPr>
              <w:rPr>
                <w:rFonts w:cs="Arial"/>
                <w:lang w:val="en-US"/>
              </w:rPr>
            </w:pPr>
            <w:r w:rsidRPr="00FD1689">
              <w:rPr>
                <w:rFonts w:cs="Arial"/>
                <w:lang w:val="en-US"/>
              </w:rPr>
              <w:t>Simon Thomson</w:t>
            </w:r>
          </w:p>
        </w:tc>
        <w:tc>
          <w:tcPr>
            <w:tcW w:w="752" w:type="pct"/>
            <w:vAlign w:val="center"/>
          </w:tcPr>
          <w:p w14:paraId="7B780EF5" w14:textId="5739089D" w:rsidR="00E4210C" w:rsidRPr="006D2E6F" w:rsidRDefault="00E4210C" w:rsidP="00E4210C">
            <w:pPr>
              <w:jc w:val="center"/>
              <w:rPr>
                <w:rFonts w:cs="Arial"/>
                <w:lang w:val="en-US"/>
              </w:rPr>
            </w:pPr>
            <w:r w:rsidRPr="00360E65">
              <w:rPr>
                <w:rFonts w:cs="Arial"/>
                <w:color w:val="000000"/>
              </w:rPr>
              <w:t>1,147,205</w:t>
            </w:r>
          </w:p>
        </w:tc>
        <w:tc>
          <w:tcPr>
            <w:tcW w:w="752" w:type="pct"/>
            <w:vAlign w:val="center"/>
          </w:tcPr>
          <w:p w14:paraId="47E2B78D" w14:textId="3AFA2A03" w:rsidR="00E4210C" w:rsidRPr="00E4210C" w:rsidRDefault="00E4210C" w:rsidP="00E4210C">
            <w:pPr>
              <w:jc w:val="center"/>
              <w:rPr>
                <w:rFonts w:cs="Arial"/>
                <w:lang w:val="en-US"/>
              </w:rPr>
            </w:pPr>
            <w:r w:rsidRPr="00E4210C">
              <w:rPr>
                <w:rFonts w:cs="Arial"/>
                <w:color w:val="000000"/>
              </w:rPr>
              <w:t>1,150,319</w:t>
            </w:r>
          </w:p>
        </w:tc>
        <w:tc>
          <w:tcPr>
            <w:tcW w:w="652" w:type="pct"/>
            <w:vAlign w:val="center"/>
          </w:tcPr>
          <w:p w14:paraId="5FA88173" w14:textId="77777777" w:rsidR="00E4210C" w:rsidRPr="006D2E6F" w:rsidRDefault="00E4210C" w:rsidP="00E4210C">
            <w:pPr>
              <w:jc w:val="center"/>
              <w:rPr>
                <w:rFonts w:cs="Arial"/>
                <w:lang w:val="en-US"/>
              </w:rPr>
            </w:pPr>
            <w:r>
              <w:rPr>
                <w:rFonts w:cs="Arial"/>
                <w:lang w:val="en-US"/>
              </w:rPr>
              <w:t>0.230</w:t>
            </w:r>
          </w:p>
        </w:tc>
        <w:tc>
          <w:tcPr>
            <w:tcW w:w="851" w:type="pct"/>
            <w:vAlign w:val="center"/>
          </w:tcPr>
          <w:p w14:paraId="5E7B01D3" w14:textId="77777777" w:rsidR="00E4210C" w:rsidRPr="006D2E6F" w:rsidRDefault="00E4210C" w:rsidP="00E4210C">
            <w:pPr>
              <w:jc w:val="center"/>
              <w:rPr>
                <w:rFonts w:cs="Arial"/>
              </w:rPr>
            </w:pPr>
            <w:r>
              <w:rPr>
                <w:rFonts w:cs="Arial"/>
              </w:rPr>
              <w:t>2,569,262</w:t>
            </w:r>
          </w:p>
        </w:tc>
        <w:tc>
          <w:tcPr>
            <w:tcW w:w="852" w:type="pct"/>
            <w:vAlign w:val="center"/>
          </w:tcPr>
          <w:p w14:paraId="3001EED2" w14:textId="77777777" w:rsidR="00E4210C" w:rsidRPr="006D2E6F" w:rsidRDefault="00E4210C" w:rsidP="00E4210C">
            <w:pPr>
              <w:jc w:val="center"/>
              <w:rPr>
                <w:rFonts w:cs="Arial"/>
              </w:rPr>
            </w:pPr>
            <w:r>
              <w:rPr>
                <w:rFonts w:cs="Arial"/>
              </w:rPr>
              <w:t>629,600</w:t>
            </w:r>
          </w:p>
        </w:tc>
      </w:tr>
      <w:tr w:rsidR="00E4210C" w:rsidRPr="00FD1689" w14:paraId="54161089" w14:textId="77777777" w:rsidTr="00E4210C">
        <w:trPr>
          <w:trHeight w:val="401"/>
        </w:trPr>
        <w:tc>
          <w:tcPr>
            <w:tcW w:w="1141" w:type="pct"/>
            <w:vAlign w:val="center"/>
          </w:tcPr>
          <w:p w14:paraId="39DD01D9" w14:textId="77777777" w:rsidR="00E4210C" w:rsidRPr="00FD1689" w:rsidRDefault="00E4210C" w:rsidP="00E4210C">
            <w:pPr>
              <w:rPr>
                <w:rFonts w:cs="Arial"/>
                <w:lang w:val="en-US"/>
              </w:rPr>
            </w:pPr>
            <w:r w:rsidRPr="00FD1689">
              <w:rPr>
                <w:rFonts w:cs="Arial"/>
                <w:lang w:val="en-US"/>
              </w:rPr>
              <w:t>James Smith</w:t>
            </w:r>
          </w:p>
        </w:tc>
        <w:tc>
          <w:tcPr>
            <w:tcW w:w="752" w:type="pct"/>
            <w:vAlign w:val="center"/>
          </w:tcPr>
          <w:p w14:paraId="6E9CBB98" w14:textId="6E515427" w:rsidR="00E4210C" w:rsidRPr="006D2E6F" w:rsidRDefault="00E4210C" w:rsidP="00E4210C">
            <w:pPr>
              <w:jc w:val="center"/>
              <w:rPr>
                <w:rFonts w:cs="Arial"/>
                <w:lang w:val="en-US"/>
              </w:rPr>
            </w:pPr>
            <w:r w:rsidRPr="00360E65">
              <w:rPr>
                <w:rFonts w:cs="Arial"/>
                <w:color w:val="000000"/>
              </w:rPr>
              <w:t>468,044</w:t>
            </w:r>
          </w:p>
        </w:tc>
        <w:tc>
          <w:tcPr>
            <w:tcW w:w="752" w:type="pct"/>
            <w:vAlign w:val="center"/>
          </w:tcPr>
          <w:p w14:paraId="0DD5A74A" w14:textId="3BBD4906" w:rsidR="00E4210C" w:rsidRPr="00E4210C" w:rsidRDefault="00E4210C" w:rsidP="00E4210C">
            <w:pPr>
              <w:jc w:val="center"/>
              <w:rPr>
                <w:rFonts w:cs="Arial"/>
                <w:lang w:val="en-US"/>
              </w:rPr>
            </w:pPr>
            <w:r w:rsidRPr="00E4210C">
              <w:rPr>
                <w:rFonts w:cs="Arial"/>
                <w:color w:val="000000"/>
              </w:rPr>
              <w:t>471,158</w:t>
            </w:r>
          </w:p>
        </w:tc>
        <w:tc>
          <w:tcPr>
            <w:tcW w:w="652" w:type="pct"/>
            <w:vAlign w:val="center"/>
          </w:tcPr>
          <w:p w14:paraId="587F791B" w14:textId="77777777" w:rsidR="00E4210C" w:rsidRPr="006D2E6F" w:rsidRDefault="00E4210C" w:rsidP="00E4210C">
            <w:pPr>
              <w:jc w:val="center"/>
              <w:rPr>
                <w:rFonts w:cs="Arial"/>
                <w:lang w:val="en-US"/>
              </w:rPr>
            </w:pPr>
            <w:r>
              <w:rPr>
                <w:rFonts w:cs="Arial"/>
                <w:lang w:val="en-US"/>
              </w:rPr>
              <w:t>0.094</w:t>
            </w:r>
          </w:p>
        </w:tc>
        <w:tc>
          <w:tcPr>
            <w:tcW w:w="851" w:type="pct"/>
            <w:vAlign w:val="center"/>
          </w:tcPr>
          <w:p w14:paraId="2D55D5A1" w14:textId="77777777" w:rsidR="00E4210C" w:rsidRPr="006D2E6F" w:rsidRDefault="00E4210C" w:rsidP="00E4210C">
            <w:pPr>
              <w:jc w:val="center"/>
              <w:rPr>
                <w:rFonts w:cs="Arial"/>
              </w:rPr>
            </w:pPr>
            <w:r>
              <w:rPr>
                <w:rFonts w:cs="Arial"/>
              </w:rPr>
              <w:t>1,671,063</w:t>
            </w:r>
          </w:p>
        </w:tc>
        <w:tc>
          <w:tcPr>
            <w:tcW w:w="852" w:type="pct"/>
            <w:vAlign w:val="center"/>
          </w:tcPr>
          <w:p w14:paraId="50F14CA4" w14:textId="77777777" w:rsidR="00E4210C" w:rsidRPr="006D2E6F" w:rsidRDefault="00E4210C" w:rsidP="00E4210C">
            <w:pPr>
              <w:jc w:val="center"/>
              <w:rPr>
                <w:rFonts w:cs="Arial"/>
              </w:rPr>
            </w:pPr>
            <w:r>
              <w:rPr>
                <w:rFonts w:cs="Arial"/>
              </w:rPr>
              <w:t>409,496</w:t>
            </w:r>
          </w:p>
        </w:tc>
      </w:tr>
      <w:tr w:rsidR="00E4210C" w:rsidRPr="00FD1689" w14:paraId="3FF823E1" w14:textId="77777777" w:rsidTr="00E4210C">
        <w:trPr>
          <w:trHeight w:val="437"/>
        </w:trPr>
        <w:tc>
          <w:tcPr>
            <w:tcW w:w="1141" w:type="pct"/>
            <w:vAlign w:val="center"/>
          </w:tcPr>
          <w:p w14:paraId="6D853341" w14:textId="77777777" w:rsidR="00E4210C" w:rsidRPr="00FD1689" w:rsidRDefault="00E4210C" w:rsidP="00E4210C">
            <w:pPr>
              <w:rPr>
                <w:rFonts w:cs="Arial"/>
                <w:lang w:val="en-US"/>
              </w:rPr>
            </w:pPr>
            <w:r w:rsidRPr="00FD1689">
              <w:rPr>
                <w:rFonts w:cs="Arial"/>
                <w:lang w:val="en-US"/>
              </w:rPr>
              <w:t>Eric Hathon</w:t>
            </w:r>
          </w:p>
        </w:tc>
        <w:tc>
          <w:tcPr>
            <w:tcW w:w="752" w:type="pct"/>
            <w:vAlign w:val="center"/>
          </w:tcPr>
          <w:p w14:paraId="2A0C3C80" w14:textId="11BD1C05" w:rsidR="00E4210C" w:rsidRPr="006D2E6F" w:rsidRDefault="00E4210C" w:rsidP="00E4210C">
            <w:pPr>
              <w:jc w:val="center"/>
              <w:rPr>
                <w:rFonts w:cs="Arial"/>
                <w:lang w:val="en-US"/>
              </w:rPr>
            </w:pPr>
            <w:r w:rsidRPr="00360E65">
              <w:rPr>
                <w:rFonts w:cs="Arial"/>
                <w:color w:val="000000"/>
              </w:rPr>
              <w:t>44,382</w:t>
            </w:r>
          </w:p>
        </w:tc>
        <w:tc>
          <w:tcPr>
            <w:tcW w:w="752" w:type="pct"/>
            <w:vAlign w:val="center"/>
          </w:tcPr>
          <w:p w14:paraId="3279C5F4" w14:textId="1712825D" w:rsidR="00E4210C" w:rsidRPr="00E4210C" w:rsidRDefault="00E4210C" w:rsidP="00E4210C">
            <w:pPr>
              <w:jc w:val="center"/>
              <w:rPr>
                <w:rFonts w:cs="Arial"/>
                <w:lang w:val="en-US"/>
              </w:rPr>
            </w:pPr>
            <w:r w:rsidRPr="00E4210C">
              <w:rPr>
                <w:rFonts w:cs="Arial"/>
                <w:color w:val="000000"/>
              </w:rPr>
              <w:t>47,496</w:t>
            </w:r>
          </w:p>
        </w:tc>
        <w:tc>
          <w:tcPr>
            <w:tcW w:w="652" w:type="pct"/>
            <w:vAlign w:val="center"/>
          </w:tcPr>
          <w:p w14:paraId="04ABF81D" w14:textId="7CC446E1" w:rsidR="00E4210C" w:rsidRPr="006D2E6F" w:rsidRDefault="00E4210C" w:rsidP="00E4210C">
            <w:pPr>
              <w:jc w:val="center"/>
              <w:rPr>
                <w:rFonts w:cs="Arial"/>
                <w:lang w:val="en-US"/>
              </w:rPr>
            </w:pPr>
            <w:r>
              <w:rPr>
                <w:rFonts w:cs="Arial"/>
                <w:lang w:val="en-US"/>
              </w:rPr>
              <w:t>0.0</w:t>
            </w:r>
            <w:r>
              <w:rPr>
                <w:rFonts w:cs="Arial"/>
                <w:lang w:val="en-US"/>
              </w:rPr>
              <w:t>10</w:t>
            </w:r>
          </w:p>
        </w:tc>
        <w:tc>
          <w:tcPr>
            <w:tcW w:w="851" w:type="pct"/>
            <w:vAlign w:val="center"/>
          </w:tcPr>
          <w:p w14:paraId="545A152D" w14:textId="77777777" w:rsidR="00E4210C" w:rsidRPr="006D2E6F" w:rsidRDefault="00E4210C" w:rsidP="00E4210C">
            <w:pPr>
              <w:jc w:val="center"/>
              <w:rPr>
                <w:rFonts w:cs="Arial"/>
              </w:rPr>
            </w:pPr>
            <w:r>
              <w:rPr>
                <w:rFonts w:cs="Arial"/>
              </w:rPr>
              <w:t>1,376,551</w:t>
            </w:r>
          </w:p>
        </w:tc>
        <w:tc>
          <w:tcPr>
            <w:tcW w:w="852" w:type="pct"/>
            <w:vAlign w:val="center"/>
          </w:tcPr>
          <w:p w14:paraId="1EEB325F" w14:textId="77777777" w:rsidR="00E4210C" w:rsidRPr="006D2E6F" w:rsidRDefault="00E4210C" w:rsidP="00E4210C">
            <w:pPr>
              <w:jc w:val="center"/>
              <w:rPr>
                <w:rFonts w:cs="Arial"/>
              </w:rPr>
            </w:pPr>
            <w:r>
              <w:rPr>
                <w:rFonts w:cs="Arial"/>
              </w:rPr>
              <w:t>337,324</w:t>
            </w:r>
          </w:p>
        </w:tc>
      </w:tr>
      <w:tr w:rsidR="00E4210C" w:rsidRPr="00FD1689" w14:paraId="60E48C02" w14:textId="77777777" w:rsidTr="00E4210C">
        <w:trPr>
          <w:trHeight w:val="401"/>
        </w:trPr>
        <w:tc>
          <w:tcPr>
            <w:tcW w:w="1141" w:type="pct"/>
            <w:vAlign w:val="center"/>
          </w:tcPr>
          <w:p w14:paraId="2D853F83" w14:textId="77777777" w:rsidR="00E4210C" w:rsidRPr="00FD1689" w:rsidRDefault="00E4210C" w:rsidP="00E4210C">
            <w:pPr>
              <w:rPr>
                <w:rFonts w:cs="Arial"/>
                <w:lang w:val="en-US"/>
              </w:rPr>
            </w:pPr>
            <w:r w:rsidRPr="00FD1689">
              <w:rPr>
                <w:rFonts w:cs="Arial"/>
                <w:lang w:val="en-US"/>
              </w:rPr>
              <w:t>Paul Mayland</w:t>
            </w:r>
          </w:p>
        </w:tc>
        <w:tc>
          <w:tcPr>
            <w:tcW w:w="752" w:type="pct"/>
            <w:vAlign w:val="center"/>
          </w:tcPr>
          <w:p w14:paraId="6BE25715" w14:textId="5BC10299" w:rsidR="00E4210C" w:rsidRPr="006D2E6F" w:rsidRDefault="00E4210C" w:rsidP="00E4210C">
            <w:pPr>
              <w:jc w:val="center"/>
              <w:rPr>
                <w:rFonts w:cs="Arial"/>
                <w:lang w:val="en-US"/>
              </w:rPr>
            </w:pPr>
            <w:r w:rsidRPr="00360E65">
              <w:rPr>
                <w:rFonts w:cs="Arial"/>
                <w:color w:val="000000"/>
              </w:rPr>
              <w:t>548,350</w:t>
            </w:r>
          </w:p>
        </w:tc>
        <w:tc>
          <w:tcPr>
            <w:tcW w:w="752" w:type="pct"/>
            <w:vAlign w:val="center"/>
          </w:tcPr>
          <w:p w14:paraId="6533C04E" w14:textId="2CC8CCE7" w:rsidR="00E4210C" w:rsidRPr="00E4210C" w:rsidRDefault="00E4210C" w:rsidP="00E4210C">
            <w:pPr>
              <w:jc w:val="center"/>
              <w:rPr>
                <w:rFonts w:cs="Arial"/>
                <w:lang w:val="en-US"/>
              </w:rPr>
            </w:pPr>
            <w:r w:rsidRPr="00E4210C">
              <w:rPr>
                <w:rFonts w:cs="Arial"/>
                <w:color w:val="000000"/>
              </w:rPr>
              <w:t>551,464</w:t>
            </w:r>
          </w:p>
        </w:tc>
        <w:tc>
          <w:tcPr>
            <w:tcW w:w="652" w:type="pct"/>
            <w:vAlign w:val="center"/>
          </w:tcPr>
          <w:p w14:paraId="0D655DF6" w14:textId="77777777" w:rsidR="00E4210C" w:rsidRPr="006D2E6F" w:rsidRDefault="00E4210C" w:rsidP="00E4210C">
            <w:pPr>
              <w:jc w:val="center"/>
              <w:rPr>
                <w:rFonts w:cs="Arial"/>
              </w:rPr>
            </w:pPr>
            <w:r>
              <w:rPr>
                <w:rFonts w:cs="Arial"/>
                <w:lang w:val="en-US"/>
              </w:rPr>
              <w:t>0.110</w:t>
            </w:r>
          </w:p>
        </w:tc>
        <w:tc>
          <w:tcPr>
            <w:tcW w:w="851" w:type="pct"/>
            <w:vAlign w:val="center"/>
          </w:tcPr>
          <w:p w14:paraId="04D24FE2" w14:textId="77777777" w:rsidR="00E4210C" w:rsidRPr="006D2E6F" w:rsidRDefault="00E4210C" w:rsidP="00E4210C">
            <w:pPr>
              <w:jc w:val="center"/>
              <w:rPr>
                <w:rFonts w:cs="Arial"/>
              </w:rPr>
            </w:pPr>
            <w:r>
              <w:rPr>
                <w:rFonts w:cs="Arial"/>
              </w:rPr>
              <w:t>1,427,817</w:t>
            </w:r>
          </w:p>
        </w:tc>
        <w:tc>
          <w:tcPr>
            <w:tcW w:w="852" w:type="pct"/>
            <w:vAlign w:val="center"/>
          </w:tcPr>
          <w:p w14:paraId="134F3658" w14:textId="77777777" w:rsidR="00E4210C" w:rsidRPr="006D2E6F" w:rsidRDefault="00E4210C" w:rsidP="00E4210C">
            <w:pPr>
              <w:jc w:val="center"/>
              <w:rPr>
                <w:rFonts w:cs="Arial"/>
              </w:rPr>
            </w:pPr>
            <w:r>
              <w:rPr>
                <w:rFonts w:cs="Arial"/>
              </w:rPr>
              <w:t>352,055</w:t>
            </w:r>
          </w:p>
        </w:tc>
      </w:tr>
    </w:tbl>
    <w:p w14:paraId="0E80FD08" w14:textId="77777777" w:rsidR="00E4210C" w:rsidRDefault="00E4210C" w:rsidP="003C0C45">
      <w:pPr>
        <w:jc w:val="both"/>
        <w:rPr>
          <w:rFonts w:cs="Arial"/>
          <w:bCs/>
          <w:lang w:val="en-US"/>
        </w:rPr>
      </w:pPr>
    </w:p>
    <w:p w14:paraId="19045125" w14:textId="77777777" w:rsidR="003C0C45" w:rsidRPr="003C0C45" w:rsidRDefault="003C0C45" w:rsidP="003C0C45">
      <w:pPr>
        <w:jc w:val="both"/>
        <w:rPr>
          <w:rFonts w:cs="Arial"/>
          <w:sz w:val="16"/>
          <w:szCs w:val="16"/>
          <w:lang w:val="en-US"/>
        </w:rPr>
      </w:pPr>
    </w:p>
    <w:p w14:paraId="55A9AD0A" w14:textId="77777777" w:rsidR="003C0C45" w:rsidRPr="003C0C45" w:rsidRDefault="003C0C45" w:rsidP="003C0C45">
      <w:pPr>
        <w:jc w:val="both"/>
        <w:rPr>
          <w:rFonts w:cs="Arial"/>
          <w:sz w:val="16"/>
          <w:szCs w:val="16"/>
          <w:lang w:val="en-US"/>
        </w:rPr>
      </w:pPr>
      <w:r w:rsidRPr="003C0C45">
        <w:rPr>
          <w:rFonts w:cs="Arial"/>
          <w:sz w:val="16"/>
          <w:szCs w:val="16"/>
          <w:lang w:val="en-US"/>
        </w:rPr>
        <w:t>* This column includes all outstanding Awards that have vested following the expiry of the applicable performance period, regardless of whether or not they are currently capable of being exercised under the rules of the applicable LTIP.</w:t>
      </w:r>
    </w:p>
    <w:p w14:paraId="6960461A" w14:textId="77777777" w:rsidR="003C0C45" w:rsidRPr="003C0C45" w:rsidRDefault="003C0C45" w:rsidP="003C0C45">
      <w:pPr>
        <w:jc w:val="both"/>
        <w:rPr>
          <w:rFonts w:cs="Arial"/>
          <w:sz w:val="16"/>
          <w:szCs w:val="16"/>
          <w:lang w:val="en-US"/>
        </w:rPr>
      </w:pPr>
    </w:p>
    <w:p w14:paraId="2D6E3BBF" w14:textId="77777777" w:rsidR="0067041C" w:rsidRPr="00E95233" w:rsidRDefault="0067041C" w:rsidP="0067041C">
      <w:r w:rsidRPr="00E95233">
        <w:t>The following notifications are intended to satisfy the Company’s obligations under Article 19(3) of EU Regulation No 596/2014 (the Market Abuse Regulation).</w:t>
      </w:r>
    </w:p>
    <w:p w14:paraId="78F6E23A" w14:textId="77777777" w:rsidR="0067041C" w:rsidRPr="00E95233" w:rsidRDefault="0067041C" w:rsidP="0067041C">
      <w:pPr>
        <w:rPr>
          <w:rFonts w:cs="Arial"/>
        </w:rPr>
      </w:pPr>
    </w:p>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67041C" w:rsidRPr="00E95233" w14:paraId="3067C441"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3251D517"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1</w:t>
            </w:r>
          </w:p>
        </w:tc>
        <w:tc>
          <w:tcPr>
            <w:tcW w:w="8705" w:type="dxa"/>
            <w:gridSpan w:val="2"/>
            <w:tcBorders>
              <w:top w:val="single" w:sz="4" w:space="0" w:color="000000"/>
              <w:left w:val="single" w:sz="4" w:space="0" w:color="000000"/>
              <w:bottom w:val="single" w:sz="4" w:space="0" w:color="000000"/>
              <w:right w:val="nil"/>
            </w:tcBorders>
            <w:vAlign w:val="center"/>
          </w:tcPr>
          <w:p w14:paraId="08689D50"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b/>
              </w:rPr>
            </w:pPr>
            <w:r w:rsidRPr="00E95233">
              <w:rPr>
                <w:b/>
                <w:lang w:eastAsia="en-US"/>
              </w:rPr>
              <w:t>Details of the person discharging managerial responsibilities/person closely associated</w:t>
            </w:r>
          </w:p>
        </w:tc>
      </w:tr>
      <w:tr w:rsidR="0067041C" w:rsidRPr="00E95233" w14:paraId="7AC19C20"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7E0C250"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248B4298"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0D86784B"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Simon Thomson</w:t>
            </w:r>
          </w:p>
        </w:tc>
      </w:tr>
      <w:tr w:rsidR="0067041C" w:rsidRPr="00E95233" w14:paraId="217873AD"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708F7161"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2</w:t>
            </w:r>
          </w:p>
        </w:tc>
        <w:tc>
          <w:tcPr>
            <w:tcW w:w="8705" w:type="dxa"/>
            <w:gridSpan w:val="2"/>
            <w:tcBorders>
              <w:top w:val="single" w:sz="4" w:space="0" w:color="000000"/>
              <w:left w:val="single" w:sz="4" w:space="0" w:color="000000"/>
              <w:bottom w:val="single" w:sz="4" w:space="0" w:color="000000"/>
              <w:right w:val="nil"/>
            </w:tcBorders>
            <w:vAlign w:val="center"/>
          </w:tcPr>
          <w:p w14:paraId="49FD9CE2"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Reason for the notification</w:t>
            </w:r>
          </w:p>
        </w:tc>
      </w:tr>
      <w:tr w:rsidR="0067041C" w:rsidRPr="00E95233" w14:paraId="626488F0"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24FA8B11"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3AB5CF23"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Position/status</w:t>
            </w:r>
          </w:p>
        </w:tc>
        <w:tc>
          <w:tcPr>
            <w:tcW w:w="6530" w:type="dxa"/>
            <w:tcBorders>
              <w:top w:val="single" w:sz="4" w:space="0" w:color="000000"/>
              <w:left w:val="single" w:sz="4" w:space="0" w:color="000000"/>
              <w:bottom w:val="single" w:sz="4" w:space="0" w:color="000000"/>
              <w:right w:val="nil"/>
            </w:tcBorders>
            <w:vAlign w:val="center"/>
          </w:tcPr>
          <w:p w14:paraId="6BD841E3"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Chief Executive</w:t>
            </w:r>
          </w:p>
        </w:tc>
      </w:tr>
      <w:tr w:rsidR="0067041C" w:rsidRPr="00E95233" w14:paraId="7C5EC8BC"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45E6598C"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31061B17" w14:textId="77777777" w:rsidR="0067041C" w:rsidRPr="00E95233" w:rsidRDefault="0067041C" w:rsidP="00625DFF">
            <w:pPr>
              <w:widowControl w:val="0"/>
              <w:kinsoku w:val="0"/>
              <w:overflowPunct w:val="0"/>
              <w:autoSpaceDE w:val="0"/>
              <w:autoSpaceDN w:val="0"/>
              <w:adjustRightInd w:val="0"/>
              <w:spacing w:before="60" w:after="60"/>
              <w:ind w:left="84" w:right="662"/>
              <w:rPr>
                <w:rFonts w:eastAsiaTheme="minorEastAsia" w:cs="Arial"/>
              </w:rPr>
            </w:pPr>
            <w:r w:rsidRPr="00E95233">
              <w:rPr>
                <w:rFonts w:eastAsiaTheme="minorEastAsia" w:cs="Arial"/>
              </w:rPr>
              <w:t>Initial</w:t>
            </w:r>
            <w:r w:rsidRPr="00E95233">
              <w:rPr>
                <w:rFonts w:eastAsiaTheme="minorEastAsia" w:cs="Arial"/>
                <w:spacing w:val="-15"/>
              </w:rPr>
              <w:t xml:space="preserve"> </w:t>
            </w:r>
            <w:r w:rsidRPr="00E95233">
              <w:rPr>
                <w:rFonts w:eastAsiaTheme="minorEastAsia" w:cs="Arial"/>
              </w:rPr>
              <w:t>notification/ Amendment</w:t>
            </w:r>
          </w:p>
        </w:tc>
        <w:tc>
          <w:tcPr>
            <w:tcW w:w="6530" w:type="dxa"/>
            <w:tcBorders>
              <w:top w:val="single" w:sz="4" w:space="0" w:color="000000"/>
              <w:left w:val="single" w:sz="4" w:space="0" w:color="000000"/>
              <w:bottom w:val="single" w:sz="4" w:space="0" w:color="000000"/>
              <w:right w:val="nil"/>
            </w:tcBorders>
            <w:vAlign w:val="center"/>
          </w:tcPr>
          <w:p w14:paraId="524A02EB"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Initial Notification</w:t>
            </w:r>
          </w:p>
        </w:tc>
      </w:tr>
      <w:tr w:rsidR="0067041C" w:rsidRPr="00E95233" w14:paraId="6B77ECD5"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5B47CC8E"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3</w:t>
            </w:r>
          </w:p>
        </w:tc>
        <w:tc>
          <w:tcPr>
            <w:tcW w:w="8705" w:type="dxa"/>
            <w:gridSpan w:val="2"/>
            <w:tcBorders>
              <w:top w:val="single" w:sz="4" w:space="0" w:color="000000"/>
              <w:left w:val="single" w:sz="4" w:space="0" w:color="000000"/>
              <w:bottom w:val="single" w:sz="4" w:space="0" w:color="000000"/>
              <w:right w:val="nil"/>
            </w:tcBorders>
            <w:vAlign w:val="center"/>
          </w:tcPr>
          <w:p w14:paraId="6C7F51F4"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Details of the issuer, emission allowance market participant, auction platform, auctioneer or auction monitor</w:t>
            </w:r>
          </w:p>
        </w:tc>
      </w:tr>
      <w:tr w:rsidR="0067041C" w:rsidRPr="00E95233" w14:paraId="1916C50B"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72C5967F"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212B6E5D"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1A35B2BD"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Cairn Energy PLC</w:t>
            </w:r>
          </w:p>
        </w:tc>
      </w:tr>
      <w:tr w:rsidR="0067041C" w:rsidRPr="00E95233" w14:paraId="53E2E839"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991FC4F"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108916DA"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LEI</w:t>
            </w:r>
          </w:p>
        </w:tc>
        <w:tc>
          <w:tcPr>
            <w:tcW w:w="6530" w:type="dxa"/>
            <w:tcBorders>
              <w:top w:val="single" w:sz="4" w:space="0" w:color="000000"/>
              <w:left w:val="single" w:sz="4" w:space="0" w:color="000000"/>
              <w:bottom w:val="single" w:sz="4" w:space="0" w:color="000000"/>
              <w:right w:val="nil"/>
            </w:tcBorders>
            <w:vAlign w:val="center"/>
          </w:tcPr>
          <w:p w14:paraId="763E6CDA" w14:textId="77777777" w:rsidR="0067041C" w:rsidRPr="00E95233" w:rsidRDefault="0067041C" w:rsidP="00625DFF">
            <w:pPr>
              <w:ind w:left="154"/>
              <w:jc w:val="both"/>
              <w:rPr>
                <w:rFonts w:cs="Arial"/>
                <w:sz w:val="16"/>
                <w:szCs w:val="16"/>
                <w:lang w:val="en-US"/>
              </w:rPr>
            </w:pPr>
            <w:r w:rsidRPr="00E95233">
              <w:rPr>
                <w:rFonts w:eastAsia="Arial Unicode MS" w:cs="Arial" w:hint="eastAsia"/>
                <w:lang w:val="en-US"/>
              </w:rPr>
              <w:t>213800ZJEUQ8ZOC9AL24</w:t>
            </w:r>
          </w:p>
        </w:tc>
      </w:tr>
      <w:tr w:rsidR="0067041C" w:rsidRPr="00E95233" w14:paraId="4049B69B"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42F3A474"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4</w:t>
            </w:r>
          </w:p>
        </w:tc>
        <w:tc>
          <w:tcPr>
            <w:tcW w:w="8705" w:type="dxa"/>
            <w:gridSpan w:val="2"/>
            <w:tcBorders>
              <w:top w:val="single" w:sz="4" w:space="0" w:color="000000"/>
              <w:left w:val="single" w:sz="4" w:space="0" w:color="000000"/>
              <w:bottom w:val="single" w:sz="4" w:space="0" w:color="000000"/>
              <w:right w:val="nil"/>
            </w:tcBorders>
            <w:vAlign w:val="center"/>
          </w:tcPr>
          <w:p w14:paraId="17F8D680"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Details of the transaction(s): section to be repeated for (i) each type of instrument; (ii) each type of transaction; (iii) each date; and (iv) each place where transactions have been conducted</w:t>
            </w:r>
          </w:p>
        </w:tc>
      </w:tr>
      <w:tr w:rsidR="0067041C" w:rsidRPr="00E95233" w14:paraId="79CB9162" w14:textId="77777777" w:rsidTr="00625DFF">
        <w:trPr>
          <w:cantSplit/>
          <w:trHeight w:val="1002"/>
        </w:trPr>
        <w:tc>
          <w:tcPr>
            <w:tcW w:w="506" w:type="dxa"/>
            <w:vMerge w:val="restart"/>
            <w:tcBorders>
              <w:top w:val="single" w:sz="4" w:space="0" w:color="000000"/>
              <w:left w:val="nil"/>
              <w:right w:val="single" w:sz="4" w:space="0" w:color="000000"/>
            </w:tcBorders>
            <w:vAlign w:val="center"/>
          </w:tcPr>
          <w:p w14:paraId="66EF246F"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lastRenderedPageBreak/>
              <w:t>a)</w:t>
            </w:r>
          </w:p>
        </w:tc>
        <w:tc>
          <w:tcPr>
            <w:tcW w:w="2175" w:type="dxa"/>
            <w:tcBorders>
              <w:top w:val="single" w:sz="4" w:space="0" w:color="000000"/>
              <w:left w:val="single" w:sz="4" w:space="0" w:color="000000"/>
              <w:right w:val="single" w:sz="4" w:space="0" w:color="000000"/>
            </w:tcBorders>
            <w:vAlign w:val="center"/>
          </w:tcPr>
          <w:p w14:paraId="7F55A524"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Description of the financial instrument, type of instrument</w:t>
            </w:r>
          </w:p>
        </w:tc>
        <w:tc>
          <w:tcPr>
            <w:tcW w:w="6530" w:type="dxa"/>
            <w:tcBorders>
              <w:top w:val="single" w:sz="4" w:space="0" w:color="000000"/>
              <w:left w:val="single" w:sz="4" w:space="0" w:color="000000"/>
              <w:right w:val="nil"/>
            </w:tcBorders>
            <w:vAlign w:val="center"/>
          </w:tcPr>
          <w:p w14:paraId="13AD48B9" w14:textId="00D29E8D" w:rsidR="0067041C" w:rsidRPr="00E95233" w:rsidRDefault="0067041C" w:rsidP="00625DFF">
            <w:pPr>
              <w:widowControl w:val="0"/>
              <w:tabs>
                <w:tab w:val="left" w:pos="724"/>
              </w:tabs>
              <w:kinsoku w:val="0"/>
              <w:overflowPunct w:val="0"/>
              <w:autoSpaceDE w:val="0"/>
              <w:autoSpaceDN w:val="0"/>
              <w:adjustRightInd w:val="0"/>
              <w:spacing w:before="60" w:after="60"/>
              <w:ind w:left="153"/>
              <w:rPr>
                <w:rFonts w:eastAsiaTheme="minorEastAsia" w:cs="Arial"/>
              </w:rPr>
            </w:pPr>
            <w:r w:rsidRPr="00E95233">
              <w:rPr>
                <w:rFonts w:eastAsiaTheme="minorEastAsia" w:cs="Arial"/>
              </w:rPr>
              <w:t xml:space="preserve">Ordinary shares of </w:t>
            </w:r>
            <w:r w:rsidR="00E4210C">
              <w:rPr>
                <w:rFonts w:eastAsiaTheme="minorEastAsia" w:cs="Arial"/>
              </w:rPr>
              <w:t>21/13</w:t>
            </w:r>
            <w:r>
              <w:rPr>
                <w:rFonts w:eastAsiaTheme="minorEastAsia" w:cs="Arial"/>
              </w:rPr>
              <w:t xml:space="preserve"> </w:t>
            </w:r>
            <w:r w:rsidRPr="00E95233">
              <w:rPr>
                <w:rFonts w:eastAsiaTheme="minorEastAsia" w:cs="Arial"/>
                <w:szCs w:val="24"/>
              </w:rPr>
              <w:t xml:space="preserve">pence each </w:t>
            </w:r>
          </w:p>
        </w:tc>
      </w:tr>
      <w:tr w:rsidR="0067041C" w:rsidRPr="00E95233" w14:paraId="06A2EA1E" w14:textId="77777777" w:rsidTr="00625DFF">
        <w:trPr>
          <w:cantSplit/>
          <w:trHeight w:hRule="exact" w:val="680"/>
        </w:trPr>
        <w:tc>
          <w:tcPr>
            <w:tcW w:w="506" w:type="dxa"/>
            <w:vMerge/>
            <w:tcBorders>
              <w:left w:val="nil"/>
              <w:bottom w:val="single" w:sz="4" w:space="0" w:color="000000"/>
              <w:right w:val="single" w:sz="4" w:space="0" w:color="000000"/>
            </w:tcBorders>
            <w:vAlign w:val="center"/>
          </w:tcPr>
          <w:p w14:paraId="119554F1"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p>
        </w:tc>
        <w:tc>
          <w:tcPr>
            <w:tcW w:w="2175" w:type="dxa"/>
            <w:tcBorders>
              <w:left w:val="single" w:sz="4" w:space="0" w:color="000000"/>
              <w:bottom w:val="single" w:sz="4" w:space="0" w:color="000000"/>
              <w:right w:val="single" w:sz="4" w:space="0" w:color="000000"/>
            </w:tcBorders>
            <w:vAlign w:val="center"/>
          </w:tcPr>
          <w:p w14:paraId="28E84A3D"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Identification</w:t>
            </w:r>
            <w:r w:rsidRPr="00E95233">
              <w:rPr>
                <w:rFonts w:eastAsiaTheme="minorEastAsia" w:cs="Arial"/>
                <w:spacing w:val="-23"/>
              </w:rPr>
              <w:t xml:space="preserve"> </w:t>
            </w:r>
            <w:r w:rsidRPr="00E95233">
              <w:rPr>
                <w:rFonts w:eastAsiaTheme="minorEastAsia" w:cs="Arial"/>
              </w:rPr>
              <w:t>code</w:t>
            </w:r>
          </w:p>
        </w:tc>
        <w:tc>
          <w:tcPr>
            <w:tcW w:w="6530" w:type="dxa"/>
            <w:tcBorders>
              <w:left w:val="single" w:sz="4" w:space="0" w:color="000000"/>
              <w:bottom w:val="single" w:sz="4" w:space="0" w:color="000000"/>
              <w:right w:val="nil"/>
            </w:tcBorders>
            <w:vAlign w:val="center"/>
          </w:tcPr>
          <w:p w14:paraId="7274D1D6" w14:textId="4ED8B686" w:rsidR="0067041C" w:rsidRPr="00E95233" w:rsidRDefault="00E4210C" w:rsidP="00625DFF">
            <w:pPr>
              <w:widowControl w:val="0"/>
              <w:tabs>
                <w:tab w:val="left" w:pos="724"/>
              </w:tabs>
              <w:kinsoku w:val="0"/>
              <w:overflowPunct w:val="0"/>
              <w:autoSpaceDE w:val="0"/>
              <w:autoSpaceDN w:val="0"/>
              <w:adjustRightInd w:val="0"/>
              <w:spacing w:before="60" w:after="60"/>
              <w:ind w:left="154"/>
              <w:rPr>
                <w:rFonts w:eastAsiaTheme="minorEastAsia" w:cs="Arial"/>
              </w:rPr>
            </w:pPr>
            <w:r>
              <w:rPr>
                <w:rFonts w:cs="Arial"/>
                <w:color w:val="000000"/>
              </w:rPr>
              <w:t>GB00BN0SMB92</w:t>
            </w:r>
          </w:p>
        </w:tc>
      </w:tr>
      <w:tr w:rsidR="0067041C" w:rsidRPr="00E95233" w14:paraId="77DC3FE3" w14:textId="77777777" w:rsidTr="00625DFF">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14:paraId="32FC3F9D"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12214527"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Nature of the</w:t>
            </w:r>
            <w:r w:rsidRPr="00E95233">
              <w:rPr>
                <w:rFonts w:eastAsiaTheme="minorEastAsia" w:cs="Arial"/>
                <w:spacing w:val="24"/>
              </w:rPr>
              <w:t xml:space="preserve"> </w:t>
            </w:r>
            <w:r w:rsidRPr="00E95233">
              <w:rPr>
                <w:rFonts w:eastAsiaTheme="minorEastAsia" w:cs="Arial"/>
              </w:rPr>
              <w:t>transaction</w:t>
            </w:r>
          </w:p>
        </w:tc>
        <w:tc>
          <w:tcPr>
            <w:tcW w:w="6530" w:type="dxa"/>
            <w:tcBorders>
              <w:top w:val="single" w:sz="4" w:space="0" w:color="000000"/>
              <w:left w:val="single" w:sz="4" w:space="0" w:color="000000"/>
              <w:bottom w:val="single" w:sz="4" w:space="0" w:color="000000"/>
              <w:right w:val="nil"/>
            </w:tcBorders>
            <w:vAlign w:val="center"/>
          </w:tcPr>
          <w:p w14:paraId="216697DA"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Partnership shares purchased under the Company’s all-employee Share Incentive Plan (2010)</w:t>
            </w:r>
            <w:r w:rsidR="001A5EDF">
              <w:rPr>
                <w:rFonts w:eastAsiaTheme="minorEastAsia" w:cs="Arial"/>
              </w:rPr>
              <w:t>.</w:t>
            </w:r>
          </w:p>
        </w:tc>
      </w:tr>
      <w:tr w:rsidR="0067041C" w:rsidRPr="00E95233" w14:paraId="10D7F7B2" w14:textId="77777777" w:rsidTr="00625DFF">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14:paraId="578BE26C"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c)</w:t>
            </w:r>
          </w:p>
        </w:tc>
        <w:tc>
          <w:tcPr>
            <w:tcW w:w="2175" w:type="dxa"/>
            <w:tcBorders>
              <w:top w:val="single" w:sz="4" w:space="0" w:color="000000"/>
              <w:left w:val="single" w:sz="4" w:space="0" w:color="000000"/>
              <w:bottom w:val="single" w:sz="4" w:space="0" w:color="000000"/>
              <w:right w:val="single" w:sz="4" w:space="0" w:color="000000"/>
            </w:tcBorders>
            <w:vAlign w:val="center"/>
          </w:tcPr>
          <w:p w14:paraId="2C7A25EC"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1"/>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67041C" w:rsidRPr="00E95233" w14:paraId="69F3AAAD" w14:textId="77777777" w:rsidTr="00625DFF">
              <w:tc>
                <w:tcPr>
                  <w:tcW w:w="3255" w:type="dxa"/>
                  <w:vAlign w:val="center"/>
                </w:tcPr>
                <w:p w14:paraId="650D9CA8"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Price(s)</w:t>
                  </w:r>
                </w:p>
              </w:tc>
              <w:tc>
                <w:tcPr>
                  <w:tcW w:w="3255" w:type="dxa"/>
                  <w:vAlign w:val="center"/>
                </w:tcPr>
                <w:p w14:paraId="563FD5A3"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Volume(s)</w:t>
                  </w:r>
                </w:p>
              </w:tc>
            </w:tr>
            <w:tr w:rsidR="0067041C" w:rsidRPr="00E95233" w14:paraId="62336AF8" w14:textId="77777777" w:rsidTr="00625DFF">
              <w:tc>
                <w:tcPr>
                  <w:tcW w:w="3255" w:type="dxa"/>
                  <w:vAlign w:val="center"/>
                </w:tcPr>
                <w:p w14:paraId="43E78E3B" w14:textId="76264FBC" w:rsidR="0067041C" w:rsidRPr="00E95233" w:rsidRDefault="009D01B4" w:rsidP="00A62EAF">
                  <w:pPr>
                    <w:widowControl w:val="0"/>
                    <w:kinsoku w:val="0"/>
                    <w:overflowPunct w:val="0"/>
                    <w:autoSpaceDE w:val="0"/>
                    <w:autoSpaceDN w:val="0"/>
                    <w:adjustRightInd w:val="0"/>
                    <w:spacing w:before="60" w:after="60"/>
                    <w:jc w:val="center"/>
                    <w:rPr>
                      <w:rFonts w:eastAsiaTheme="minorEastAsia" w:cs="Arial"/>
                    </w:rPr>
                  </w:pPr>
                  <w:r>
                    <w:rPr>
                      <w:rFonts w:eastAsiaTheme="minorEastAsia" w:cs="Arial"/>
                    </w:rPr>
                    <w:t>£</w:t>
                  </w:r>
                  <w:r w:rsidR="008C3D5B">
                    <w:rPr>
                      <w:rFonts w:eastAsiaTheme="minorEastAsia" w:cs="Arial"/>
                    </w:rPr>
                    <w:t>1.</w:t>
                  </w:r>
                  <w:r w:rsidR="00E4210C">
                    <w:rPr>
                      <w:rFonts w:eastAsiaTheme="minorEastAsia" w:cs="Arial"/>
                    </w:rPr>
                    <w:t>734</w:t>
                  </w:r>
                </w:p>
              </w:tc>
              <w:tc>
                <w:tcPr>
                  <w:tcW w:w="3255" w:type="dxa"/>
                  <w:vAlign w:val="center"/>
                </w:tcPr>
                <w:p w14:paraId="2548500B" w14:textId="2B41FC2C" w:rsidR="0067041C" w:rsidRPr="00E95233" w:rsidRDefault="00E4210C" w:rsidP="00625DFF">
                  <w:pPr>
                    <w:widowControl w:val="0"/>
                    <w:kinsoku w:val="0"/>
                    <w:overflowPunct w:val="0"/>
                    <w:autoSpaceDE w:val="0"/>
                    <w:autoSpaceDN w:val="0"/>
                    <w:adjustRightInd w:val="0"/>
                    <w:spacing w:before="60" w:after="60"/>
                    <w:jc w:val="center"/>
                    <w:rPr>
                      <w:rFonts w:eastAsiaTheme="minorEastAsia" w:cs="Arial"/>
                    </w:rPr>
                  </w:pPr>
                  <w:r>
                    <w:rPr>
                      <w:rFonts w:eastAsiaTheme="minorEastAsia" w:cs="Arial"/>
                    </w:rPr>
                    <w:t>1,038</w:t>
                  </w:r>
                </w:p>
              </w:tc>
            </w:tr>
          </w:tbl>
          <w:p w14:paraId="699B960A"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tc>
      </w:tr>
      <w:tr w:rsidR="0067041C" w:rsidRPr="00E95233" w14:paraId="1FB25C97" w14:textId="77777777" w:rsidTr="00625DFF">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14:paraId="48461705"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d)</w:t>
            </w:r>
          </w:p>
        </w:tc>
        <w:tc>
          <w:tcPr>
            <w:tcW w:w="2175" w:type="dxa"/>
            <w:tcBorders>
              <w:top w:val="single" w:sz="4" w:space="0" w:color="000000"/>
              <w:left w:val="single" w:sz="4" w:space="0" w:color="000000"/>
              <w:bottom w:val="single" w:sz="4" w:space="0" w:color="000000"/>
              <w:right w:val="single" w:sz="4" w:space="0" w:color="000000"/>
            </w:tcBorders>
            <w:vAlign w:val="center"/>
          </w:tcPr>
          <w:p w14:paraId="43EDECDD"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Aggregated information</w:t>
            </w:r>
          </w:p>
          <w:p w14:paraId="19A4B028" w14:textId="77777777" w:rsidR="0067041C" w:rsidRPr="00E95233" w:rsidRDefault="0067041C" w:rsidP="0067041C">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Aggregated volume</w:t>
            </w:r>
          </w:p>
          <w:p w14:paraId="5E06A826" w14:textId="77777777" w:rsidR="0067041C" w:rsidRPr="00E95233" w:rsidRDefault="0067041C" w:rsidP="0067041C">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Price</w:t>
            </w:r>
          </w:p>
        </w:tc>
        <w:tc>
          <w:tcPr>
            <w:tcW w:w="6530" w:type="dxa"/>
            <w:tcBorders>
              <w:top w:val="single" w:sz="4" w:space="0" w:color="000000"/>
              <w:left w:val="single" w:sz="4" w:space="0" w:color="000000"/>
              <w:bottom w:val="single" w:sz="4" w:space="0" w:color="000000"/>
              <w:right w:val="nil"/>
            </w:tcBorders>
          </w:tcPr>
          <w:p w14:paraId="406DADCB"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4AB1257A"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08F7A645"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Not applicable</w:t>
            </w:r>
          </w:p>
        </w:tc>
      </w:tr>
      <w:tr w:rsidR="0067041C" w:rsidRPr="00E95233" w14:paraId="075BF342"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896D730"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e)</w:t>
            </w:r>
          </w:p>
        </w:tc>
        <w:tc>
          <w:tcPr>
            <w:tcW w:w="2175" w:type="dxa"/>
            <w:tcBorders>
              <w:top w:val="single" w:sz="4" w:space="0" w:color="000000"/>
              <w:left w:val="single" w:sz="4" w:space="0" w:color="000000"/>
              <w:bottom w:val="single" w:sz="4" w:space="0" w:color="000000"/>
              <w:right w:val="single" w:sz="4" w:space="0" w:color="000000"/>
            </w:tcBorders>
            <w:vAlign w:val="center"/>
          </w:tcPr>
          <w:p w14:paraId="6DCA071B"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Date of the transaction</w:t>
            </w:r>
          </w:p>
        </w:tc>
        <w:tc>
          <w:tcPr>
            <w:tcW w:w="6530" w:type="dxa"/>
            <w:tcBorders>
              <w:top w:val="single" w:sz="4" w:space="0" w:color="000000"/>
              <w:left w:val="single" w:sz="4" w:space="0" w:color="000000"/>
              <w:bottom w:val="single" w:sz="4" w:space="0" w:color="000000"/>
              <w:right w:val="nil"/>
            </w:tcBorders>
            <w:vAlign w:val="center"/>
          </w:tcPr>
          <w:p w14:paraId="7A7F7943" w14:textId="737F207C" w:rsidR="0067041C" w:rsidRPr="00E95233" w:rsidRDefault="00E4210C" w:rsidP="0026042B">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2021</w:t>
            </w:r>
            <w:r w:rsidR="00A62EAF">
              <w:rPr>
                <w:rFonts w:eastAsiaTheme="minorEastAsia" w:cs="Arial"/>
              </w:rPr>
              <w:t>-05-</w:t>
            </w:r>
            <w:r w:rsidR="0026042B">
              <w:rPr>
                <w:rFonts w:eastAsiaTheme="minorEastAsia" w:cs="Arial"/>
              </w:rPr>
              <w:t>0</w:t>
            </w:r>
            <w:r>
              <w:rPr>
                <w:rFonts w:eastAsiaTheme="minorEastAsia" w:cs="Arial"/>
              </w:rPr>
              <w:t>6</w:t>
            </w:r>
          </w:p>
        </w:tc>
      </w:tr>
      <w:tr w:rsidR="0067041C" w:rsidRPr="00E95233" w14:paraId="2968F39C" w14:textId="77777777" w:rsidTr="00625DFF">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14:paraId="6D8FDE73"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f)</w:t>
            </w:r>
          </w:p>
        </w:tc>
        <w:tc>
          <w:tcPr>
            <w:tcW w:w="2175" w:type="dxa"/>
            <w:tcBorders>
              <w:top w:val="single" w:sz="4" w:space="0" w:color="000000"/>
              <w:left w:val="single" w:sz="4" w:space="0" w:color="000000"/>
              <w:bottom w:val="single" w:sz="4" w:space="0" w:color="000000"/>
              <w:right w:val="single" w:sz="4" w:space="0" w:color="000000"/>
            </w:tcBorders>
            <w:vAlign w:val="center"/>
          </w:tcPr>
          <w:p w14:paraId="4355D9D0"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Place of the transaction</w:t>
            </w:r>
          </w:p>
        </w:tc>
        <w:tc>
          <w:tcPr>
            <w:tcW w:w="6530" w:type="dxa"/>
            <w:tcBorders>
              <w:top w:val="single" w:sz="4" w:space="0" w:color="000000"/>
              <w:left w:val="single" w:sz="4" w:space="0" w:color="000000"/>
              <w:bottom w:val="single" w:sz="4" w:space="0" w:color="000000"/>
              <w:right w:val="nil"/>
            </w:tcBorders>
            <w:vAlign w:val="center"/>
          </w:tcPr>
          <w:p w14:paraId="4F91DA1A"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London Stock Exchange</w:t>
            </w:r>
          </w:p>
        </w:tc>
      </w:tr>
      <w:tr w:rsidR="0067041C" w:rsidRPr="00E95233" w14:paraId="5323B050"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3A566B2F"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4</w:t>
            </w:r>
          </w:p>
        </w:tc>
        <w:tc>
          <w:tcPr>
            <w:tcW w:w="8705" w:type="dxa"/>
            <w:gridSpan w:val="2"/>
            <w:tcBorders>
              <w:top w:val="single" w:sz="4" w:space="0" w:color="000000"/>
              <w:left w:val="single" w:sz="4" w:space="0" w:color="000000"/>
              <w:bottom w:val="single" w:sz="4" w:space="0" w:color="000000"/>
              <w:right w:val="nil"/>
            </w:tcBorders>
            <w:vAlign w:val="center"/>
          </w:tcPr>
          <w:p w14:paraId="205AB6CE"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Details of the transaction(s): section to be repeated for (i) each type of instrument; (ii) each type of transaction; (iii) each date; and (iv) each place where transactions have been conducted</w:t>
            </w:r>
          </w:p>
        </w:tc>
      </w:tr>
      <w:tr w:rsidR="0067041C" w:rsidRPr="00E95233" w14:paraId="0E677003" w14:textId="77777777" w:rsidTr="00625DFF">
        <w:trPr>
          <w:cantSplit/>
          <w:trHeight w:val="1002"/>
        </w:trPr>
        <w:tc>
          <w:tcPr>
            <w:tcW w:w="506" w:type="dxa"/>
            <w:vMerge w:val="restart"/>
            <w:tcBorders>
              <w:top w:val="single" w:sz="4" w:space="0" w:color="000000"/>
              <w:left w:val="nil"/>
              <w:right w:val="single" w:sz="4" w:space="0" w:color="000000"/>
            </w:tcBorders>
            <w:vAlign w:val="center"/>
          </w:tcPr>
          <w:p w14:paraId="1B2FBEBD"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right w:val="single" w:sz="4" w:space="0" w:color="000000"/>
            </w:tcBorders>
            <w:vAlign w:val="center"/>
          </w:tcPr>
          <w:p w14:paraId="11B50BB1"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Description of the financial instrument, type of instrument</w:t>
            </w:r>
          </w:p>
        </w:tc>
        <w:tc>
          <w:tcPr>
            <w:tcW w:w="6530" w:type="dxa"/>
            <w:tcBorders>
              <w:top w:val="single" w:sz="4" w:space="0" w:color="000000"/>
              <w:left w:val="single" w:sz="4" w:space="0" w:color="000000"/>
              <w:right w:val="nil"/>
            </w:tcBorders>
            <w:vAlign w:val="center"/>
          </w:tcPr>
          <w:p w14:paraId="698E2D29" w14:textId="17FCBDCE" w:rsidR="0067041C" w:rsidRPr="00E95233" w:rsidRDefault="0067041C" w:rsidP="00625DFF">
            <w:pPr>
              <w:widowControl w:val="0"/>
              <w:tabs>
                <w:tab w:val="left" w:pos="724"/>
              </w:tabs>
              <w:kinsoku w:val="0"/>
              <w:overflowPunct w:val="0"/>
              <w:autoSpaceDE w:val="0"/>
              <w:autoSpaceDN w:val="0"/>
              <w:adjustRightInd w:val="0"/>
              <w:spacing w:before="60" w:after="60"/>
              <w:ind w:left="153"/>
              <w:rPr>
                <w:rFonts w:eastAsiaTheme="minorEastAsia" w:cs="Arial"/>
              </w:rPr>
            </w:pPr>
            <w:r w:rsidRPr="00E95233">
              <w:rPr>
                <w:rFonts w:eastAsiaTheme="minorEastAsia" w:cs="Arial"/>
              </w:rPr>
              <w:t xml:space="preserve">Ordinary shares of </w:t>
            </w:r>
            <w:r w:rsidR="00E4210C">
              <w:rPr>
                <w:rFonts w:eastAsiaTheme="minorEastAsia" w:cs="Arial"/>
              </w:rPr>
              <w:t>21/13</w:t>
            </w:r>
            <w:r>
              <w:rPr>
                <w:rFonts w:eastAsiaTheme="minorEastAsia" w:cs="Arial"/>
              </w:rPr>
              <w:t xml:space="preserve"> </w:t>
            </w:r>
            <w:r w:rsidRPr="00E95233">
              <w:rPr>
                <w:rFonts w:eastAsiaTheme="minorEastAsia" w:cs="Arial"/>
                <w:szCs w:val="24"/>
              </w:rPr>
              <w:t xml:space="preserve">pence each </w:t>
            </w:r>
          </w:p>
        </w:tc>
      </w:tr>
      <w:tr w:rsidR="0067041C" w:rsidRPr="00E95233" w14:paraId="501026BC" w14:textId="77777777" w:rsidTr="00625DFF">
        <w:trPr>
          <w:cantSplit/>
          <w:trHeight w:hRule="exact" w:val="680"/>
        </w:trPr>
        <w:tc>
          <w:tcPr>
            <w:tcW w:w="506" w:type="dxa"/>
            <w:vMerge/>
            <w:tcBorders>
              <w:left w:val="nil"/>
              <w:bottom w:val="single" w:sz="4" w:space="0" w:color="000000"/>
              <w:right w:val="single" w:sz="4" w:space="0" w:color="000000"/>
            </w:tcBorders>
            <w:vAlign w:val="center"/>
          </w:tcPr>
          <w:p w14:paraId="3140EF11"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p>
        </w:tc>
        <w:tc>
          <w:tcPr>
            <w:tcW w:w="2175" w:type="dxa"/>
            <w:tcBorders>
              <w:left w:val="single" w:sz="4" w:space="0" w:color="000000"/>
              <w:bottom w:val="single" w:sz="4" w:space="0" w:color="000000"/>
              <w:right w:val="single" w:sz="4" w:space="0" w:color="000000"/>
            </w:tcBorders>
            <w:vAlign w:val="center"/>
          </w:tcPr>
          <w:p w14:paraId="2320400F"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Identification</w:t>
            </w:r>
            <w:r w:rsidRPr="00E95233">
              <w:rPr>
                <w:rFonts w:eastAsiaTheme="minorEastAsia" w:cs="Arial"/>
                <w:spacing w:val="-23"/>
              </w:rPr>
              <w:t xml:space="preserve"> </w:t>
            </w:r>
            <w:r w:rsidRPr="00E95233">
              <w:rPr>
                <w:rFonts w:eastAsiaTheme="minorEastAsia" w:cs="Arial"/>
              </w:rPr>
              <w:t>code</w:t>
            </w:r>
          </w:p>
        </w:tc>
        <w:tc>
          <w:tcPr>
            <w:tcW w:w="6530" w:type="dxa"/>
            <w:tcBorders>
              <w:left w:val="single" w:sz="4" w:space="0" w:color="000000"/>
              <w:bottom w:val="single" w:sz="4" w:space="0" w:color="000000"/>
              <w:right w:val="nil"/>
            </w:tcBorders>
            <w:vAlign w:val="center"/>
          </w:tcPr>
          <w:p w14:paraId="274653F8" w14:textId="654C92CC" w:rsidR="0067041C" w:rsidRPr="00E95233" w:rsidRDefault="00E4210C" w:rsidP="00625DFF">
            <w:pPr>
              <w:widowControl w:val="0"/>
              <w:tabs>
                <w:tab w:val="left" w:pos="724"/>
              </w:tabs>
              <w:kinsoku w:val="0"/>
              <w:overflowPunct w:val="0"/>
              <w:autoSpaceDE w:val="0"/>
              <w:autoSpaceDN w:val="0"/>
              <w:adjustRightInd w:val="0"/>
              <w:spacing w:before="60" w:after="60"/>
              <w:ind w:left="154"/>
              <w:rPr>
                <w:rFonts w:eastAsiaTheme="minorEastAsia" w:cs="Arial"/>
              </w:rPr>
            </w:pPr>
            <w:r>
              <w:rPr>
                <w:rFonts w:cs="Arial"/>
                <w:color w:val="000000"/>
              </w:rPr>
              <w:t>GB00BN0SMB92</w:t>
            </w:r>
          </w:p>
        </w:tc>
      </w:tr>
      <w:tr w:rsidR="0067041C" w:rsidRPr="00E95233" w14:paraId="48FE6828" w14:textId="77777777" w:rsidTr="00625DFF">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14:paraId="16AAEBBE"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36228BA6"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Nature of the</w:t>
            </w:r>
            <w:r w:rsidRPr="00E95233">
              <w:rPr>
                <w:rFonts w:eastAsiaTheme="minorEastAsia" w:cs="Arial"/>
                <w:spacing w:val="24"/>
              </w:rPr>
              <w:t xml:space="preserve"> </w:t>
            </w:r>
            <w:r w:rsidRPr="00E95233">
              <w:rPr>
                <w:rFonts w:eastAsiaTheme="minorEastAsia" w:cs="Arial"/>
              </w:rPr>
              <w:t>transaction</w:t>
            </w:r>
          </w:p>
        </w:tc>
        <w:tc>
          <w:tcPr>
            <w:tcW w:w="6530" w:type="dxa"/>
            <w:tcBorders>
              <w:top w:val="single" w:sz="4" w:space="0" w:color="000000"/>
              <w:left w:val="single" w:sz="4" w:space="0" w:color="000000"/>
              <w:bottom w:val="single" w:sz="4" w:space="0" w:color="000000"/>
              <w:right w:val="nil"/>
            </w:tcBorders>
            <w:vAlign w:val="center"/>
          </w:tcPr>
          <w:p w14:paraId="66543EE9" w14:textId="77777777" w:rsidR="0067041C" w:rsidRPr="00E95233" w:rsidRDefault="0067041C" w:rsidP="001A5EDF">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Matching shares awarded under the Company’s all-employee Share Incentive Plan (2010)</w:t>
            </w:r>
            <w:r w:rsidR="00784E8D">
              <w:rPr>
                <w:rFonts w:eastAsiaTheme="minorEastAsia" w:cs="Arial"/>
              </w:rPr>
              <w:t xml:space="preserve"> on </w:t>
            </w:r>
            <w:r w:rsidR="001A5EDF">
              <w:rPr>
                <w:rFonts w:eastAsiaTheme="minorEastAsia" w:cs="Arial"/>
              </w:rPr>
              <w:t>the basis of two free matching shares for every one partnership share purchased.</w:t>
            </w:r>
          </w:p>
        </w:tc>
      </w:tr>
      <w:tr w:rsidR="0067041C" w:rsidRPr="00E95233" w14:paraId="3BF2E8DE" w14:textId="77777777" w:rsidTr="00625DFF">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14:paraId="62EE9581"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c)</w:t>
            </w:r>
          </w:p>
        </w:tc>
        <w:tc>
          <w:tcPr>
            <w:tcW w:w="2175" w:type="dxa"/>
            <w:tcBorders>
              <w:top w:val="single" w:sz="4" w:space="0" w:color="000000"/>
              <w:left w:val="single" w:sz="4" w:space="0" w:color="000000"/>
              <w:bottom w:val="single" w:sz="4" w:space="0" w:color="000000"/>
              <w:right w:val="single" w:sz="4" w:space="0" w:color="000000"/>
            </w:tcBorders>
            <w:vAlign w:val="center"/>
          </w:tcPr>
          <w:p w14:paraId="75EA60EF"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1"/>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67041C" w:rsidRPr="00E95233" w14:paraId="49F178C0" w14:textId="77777777" w:rsidTr="00625DFF">
              <w:tc>
                <w:tcPr>
                  <w:tcW w:w="3255" w:type="dxa"/>
                  <w:vAlign w:val="center"/>
                </w:tcPr>
                <w:p w14:paraId="3B95A051"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Price(s)</w:t>
                  </w:r>
                </w:p>
              </w:tc>
              <w:tc>
                <w:tcPr>
                  <w:tcW w:w="3255" w:type="dxa"/>
                  <w:vAlign w:val="center"/>
                </w:tcPr>
                <w:p w14:paraId="7634280D"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Volume(s)</w:t>
                  </w:r>
                </w:p>
              </w:tc>
            </w:tr>
            <w:tr w:rsidR="0067041C" w:rsidRPr="00E95233" w14:paraId="5A2C8821" w14:textId="77777777" w:rsidTr="00625DFF">
              <w:tc>
                <w:tcPr>
                  <w:tcW w:w="3255" w:type="dxa"/>
                  <w:vAlign w:val="center"/>
                </w:tcPr>
                <w:p w14:paraId="4FB24BAB"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rPr>
                  </w:pPr>
                  <w:r w:rsidRPr="00E95233">
                    <w:rPr>
                      <w:rFonts w:eastAsiaTheme="minorEastAsia" w:cs="Arial"/>
                    </w:rPr>
                    <w:t>£0</w:t>
                  </w:r>
                  <w:r w:rsidR="00784E8D">
                    <w:rPr>
                      <w:rFonts w:eastAsiaTheme="minorEastAsia" w:cs="Arial"/>
                    </w:rPr>
                    <w:t>.00</w:t>
                  </w:r>
                </w:p>
              </w:tc>
              <w:tc>
                <w:tcPr>
                  <w:tcW w:w="3255" w:type="dxa"/>
                  <w:vAlign w:val="center"/>
                </w:tcPr>
                <w:p w14:paraId="060DCADF" w14:textId="127FE636" w:rsidR="0067041C" w:rsidRPr="00E95233" w:rsidRDefault="008C3D5B" w:rsidP="00625DFF">
                  <w:pPr>
                    <w:widowControl w:val="0"/>
                    <w:kinsoku w:val="0"/>
                    <w:overflowPunct w:val="0"/>
                    <w:autoSpaceDE w:val="0"/>
                    <w:autoSpaceDN w:val="0"/>
                    <w:adjustRightInd w:val="0"/>
                    <w:spacing w:before="60" w:after="60"/>
                    <w:jc w:val="center"/>
                    <w:rPr>
                      <w:rFonts w:eastAsiaTheme="minorEastAsia" w:cs="Arial"/>
                    </w:rPr>
                  </w:pPr>
                  <w:r>
                    <w:rPr>
                      <w:rFonts w:eastAsiaTheme="minorEastAsia" w:cs="Arial"/>
                    </w:rPr>
                    <w:t>2,</w:t>
                  </w:r>
                  <w:r w:rsidR="00E4210C">
                    <w:rPr>
                      <w:rFonts w:eastAsiaTheme="minorEastAsia" w:cs="Arial"/>
                    </w:rPr>
                    <w:t>07</w:t>
                  </w:r>
                  <w:r>
                    <w:rPr>
                      <w:rFonts w:eastAsiaTheme="minorEastAsia" w:cs="Arial"/>
                    </w:rPr>
                    <w:t>6</w:t>
                  </w:r>
                </w:p>
              </w:tc>
            </w:tr>
          </w:tbl>
          <w:p w14:paraId="796F3FE3"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tc>
      </w:tr>
      <w:tr w:rsidR="0067041C" w:rsidRPr="00E95233" w14:paraId="36644E79" w14:textId="77777777" w:rsidTr="00625DFF">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14:paraId="70DC5ACC"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lastRenderedPageBreak/>
              <w:t>d)</w:t>
            </w:r>
          </w:p>
        </w:tc>
        <w:tc>
          <w:tcPr>
            <w:tcW w:w="2175" w:type="dxa"/>
            <w:tcBorders>
              <w:top w:val="single" w:sz="4" w:space="0" w:color="000000"/>
              <w:left w:val="single" w:sz="4" w:space="0" w:color="000000"/>
              <w:bottom w:val="single" w:sz="4" w:space="0" w:color="000000"/>
              <w:right w:val="single" w:sz="4" w:space="0" w:color="000000"/>
            </w:tcBorders>
            <w:vAlign w:val="center"/>
          </w:tcPr>
          <w:p w14:paraId="50942F42"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Aggregated information</w:t>
            </w:r>
          </w:p>
          <w:p w14:paraId="5FE5C739" w14:textId="77777777" w:rsidR="0067041C" w:rsidRPr="00E95233" w:rsidRDefault="0067041C" w:rsidP="00625DFF">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Aggregated volume</w:t>
            </w:r>
          </w:p>
          <w:p w14:paraId="0D18C428" w14:textId="77777777" w:rsidR="0067041C" w:rsidRPr="00E95233" w:rsidRDefault="0067041C" w:rsidP="00625DFF">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Price</w:t>
            </w:r>
          </w:p>
        </w:tc>
        <w:tc>
          <w:tcPr>
            <w:tcW w:w="6530" w:type="dxa"/>
            <w:tcBorders>
              <w:top w:val="single" w:sz="4" w:space="0" w:color="000000"/>
              <w:left w:val="single" w:sz="4" w:space="0" w:color="000000"/>
              <w:bottom w:val="single" w:sz="4" w:space="0" w:color="000000"/>
              <w:right w:val="nil"/>
            </w:tcBorders>
          </w:tcPr>
          <w:p w14:paraId="0A29DBF8"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02E87DBB"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2C2C3119"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Not applicable</w:t>
            </w:r>
          </w:p>
        </w:tc>
      </w:tr>
      <w:tr w:rsidR="0067041C" w:rsidRPr="00E95233" w14:paraId="1AAA5421"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41233FE3"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e)</w:t>
            </w:r>
          </w:p>
        </w:tc>
        <w:tc>
          <w:tcPr>
            <w:tcW w:w="2175" w:type="dxa"/>
            <w:tcBorders>
              <w:top w:val="single" w:sz="4" w:space="0" w:color="000000"/>
              <w:left w:val="single" w:sz="4" w:space="0" w:color="000000"/>
              <w:bottom w:val="single" w:sz="4" w:space="0" w:color="000000"/>
              <w:right w:val="single" w:sz="4" w:space="0" w:color="000000"/>
            </w:tcBorders>
            <w:vAlign w:val="center"/>
          </w:tcPr>
          <w:p w14:paraId="0056CFB2"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Date of the transaction</w:t>
            </w:r>
          </w:p>
        </w:tc>
        <w:tc>
          <w:tcPr>
            <w:tcW w:w="6530" w:type="dxa"/>
            <w:tcBorders>
              <w:top w:val="single" w:sz="4" w:space="0" w:color="000000"/>
              <w:left w:val="single" w:sz="4" w:space="0" w:color="000000"/>
              <w:bottom w:val="single" w:sz="4" w:space="0" w:color="000000"/>
              <w:right w:val="nil"/>
            </w:tcBorders>
            <w:vAlign w:val="center"/>
          </w:tcPr>
          <w:p w14:paraId="1D6A862E" w14:textId="2F34D8F0" w:rsidR="0067041C" w:rsidRPr="00E95233" w:rsidRDefault="00E4210C" w:rsidP="0026042B">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2021</w:t>
            </w:r>
            <w:r w:rsidR="00DD60E9">
              <w:rPr>
                <w:rFonts w:eastAsiaTheme="minorEastAsia" w:cs="Arial"/>
              </w:rPr>
              <w:t>-05-</w:t>
            </w:r>
            <w:r w:rsidR="009D01B4">
              <w:rPr>
                <w:rFonts w:eastAsiaTheme="minorEastAsia" w:cs="Arial"/>
              </w:rPr>
              <w:t>0</w:t>
            </w:r>
            <w:r>
              <w:rPr>
                <w:rFonts w:eastAsiaTheme="minorEastAsia" w:cs="Arial"/>
              </w:rPr>
              <w:t>6</w:t>
            </w:r>
          </w:p>
        </w:tc>
      </w:tr>
      <w:tr w:rsidR="0067041C" w:rsidRPr="00E95233" w14:paraId="0FAD8D74" w14:textId="77777777" w:rsidTr="00625DFF">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14:paraId="136A2772"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f)</w:t>
            </w:r>
          </w:p>
        </w:tc>
        <w:tc>
          <w:tcPr>
            <w:tcW w:w="2175" w:type="dxa"/>
            <w:tcBorders>
              <w:top w:val="single" w:sz="4" w:space="0" w:color="000000"/>
              <w:left w:val="single" w:sz="4" w:space="0" w:color="000000"/>
              <w:bottom w:val="single" w:sz="4" w:space="0" w:color="000000"/>
              <w:right w:val="single" w:sz="4" w:space="0" w:color="000000"/>
            </w:tcBorders>
            <w:vAlign w:val="center"/>
          </w:tcPr>
          <w:p w14:paraId="6A77EF64"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Place of the transaction</w:t>
            </w:r>
          </w:p>
        </w:tc>
        <w:tc>
          <w:tcPr>
            <w:tcW w:w="6530" w:type="dxa"/>
            <w:tcBorders>
              <w:top w:val="single" w:sz="4" w:space="0" w:color="000000"/>
              <w:left w:val="single" w:sz="4" w:space="0" w:color="000000"/>
              <w:bottom w:val="single" w:sz="4" w:space="0" w:color="000000"/>
              <w:right w:val="nil"/>
            </w:tcBorders>
            <w:vAlign w:val="center"/>
          </w:tcPr>
          <w:p w14:paraId="1627CB43"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London Stock Exchange</w:t>
            </w:r>
          </w:p>
        </w:tc>
      </w:tr>
    </w:tbl>
    <w:p w14:paraId="101852E4" w14:textId="77777777" w:rsidR="0067041C" w:rsidRDefault="0067041C" w:rsidP="0067041C"/>
    <w:p w14:paraId="1030ADB4" w14:textId="77777777" w:rsidR="0067041C" w:rsidRPr="00E95233" w:rsidRDefault="0067041C" w:rsidP="0067041C"/>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67041C" w:rsidRPr="00E95233" w14:paraId="785E03B8"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368480B2"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1</w:t>
            </w:r>
          </w:p>
        </w:tc>
        <w:tc>
          <w:tcPr>
            <w:tcW w:w="8705" w:type="dxa"/>
            <w:gridSpan w:val="2"/>
            <w:tcBorders>
              <w:top w:val="single" w:sz="4" w:space="0" w:color="000000"/>
              <w:left w:val="single" w:sz="4" w:space="0" w:color="000000"/>
              <w:bottom w:val="single" w:sz="4" w:space="0" w:color="000000"/>
              <w:right w:val="nil"/>
            </w:tcBorders>
            <w:vAlign w:val="center"/>
          </w:tcPr>
          <w:p w14:paraId="144A103F"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b/>
              </w:rPr>
            </w:pPr>
            <w:r w:rsidRPr="00E95233">
              <w:rPr>
                <w:b/>
                <w:lang w:eastAsia="en-US"/>
              </w:rPr>
              <w:t>Details of the person discharging managerial responsibilities/person closely associated</w:t>
            </w:r>
          </w:p>
        </w:tc>
      </w:tr>
      <w:tr w:rsidR="0067041C" w:rsidRPr="00E95233" w14:paraId="618D1A28"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49C1AAF2"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25C7DE8E"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7FB1C2DA"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James Smith</w:t>
            </w:r>
          </w:p>
        </w:tc>
      </w:tr>
      <w:tr w:rsidR="0067041C" w:rsidRPr="00E95233" w14:paraId="1DC81212"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7D315F32"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2</w:t>
            </w:r>
          </w:p>
        </w:tc>
        <w:tc>
          <w:tcPr>
            <w:tcW w:w="8705" w:type="dxa"/>
            <w:gridSpan w:val="2"/>
            <w:tcBorders>
              <w:top w:val="single" w:sz="4" w:space="0" w:color="000000"/>
              <w:left w:val="single" w:sz="4" w:space="0" w:color="000000"/>
              <w:bottom w:val="single" w:sz="4" w:space="0" w:color="000000"/>
              <w:right w:val="nil"/>
            </w:tcBorders>
            <w:vAlign w:val="center"/>
          </w:tcPr>
          <w:p w14:paraId="6A1E0C3B"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Reason for the notification</w:t>
            </w:r>
          </w:p>
        </w:tc>
      </w:tr>
      <w:tr w:rsidR="0067041C" w:rsidRPr="00E95233" w14:paraId="71F42676"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F69FFD4"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40881FD6"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Position/status</w:t>
            </w:r>
          </w:p>
        </w:tc>
        <w:tc>
          <w:tcPr>
            <w:tcW w:w="6530" w:type="dxa"/>
            <w:tcBorders>
              <w:top w:val="single" w:sz="4" w:space="0" w:color="000000"/>
              <w:left w:val="single" w:sz="4" w:space="0" w:color="000000"/>
              <w:bottom w:val="single" w:sz="4" w:space="0" w:color="000000"/>
              <w:right w:val="nil"/>
            </w:tcBorders>
            <w:vAlign w:val="center"/>
          </w:tcPr>
          <w:p w14:paraId="413A3AF2"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Chief Financial Officer</w:t>
            </w:r>
          </w:p>
        </w:tc>
      </w:tr>
      <w:tr w:rsidR="0067041C" w:rsidRPr="00E95233" w14:paraId="7F2A7449"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3E7460D2"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11B33E1F" w14:textId="77777777" w:rsidR="0067041C" w:rsidRPr="00E95233" w:rsidRDefault="0067041C" w:rsidP="00625DFF">
            <w:pPr>
              <w:widowControl w:val="0"/>
              <w:kinsoku w:val="0"/>
              <w:overflowPunct w:val="0"/>
              <w:autoSpaceDE w:val="0"/>
              <w:autoSpaceDN w:val="0"/>
              <w:adjustRightInd w:val="0"/>
              <w:spacing w:before="60" w:after="60"/>
              <w:ind w:left="84" w:right="662"/>
              <w:rPr>
                <w:rFonts w:eastAsiaTheme="minorEastAsia" w:cs="Arial"/>
              </w:rPr>
            </w:pPr>
            <w:r w:rsidRPr="00E95233">
              <w:rPr>
                <w:rFonts w:eastAsiaTheme="minorEastAsia" w:cs="Arial"/>
              </w:rPr>
              <w:t>Initial</w:t>
            </w:r>
            <w:r w:rsidRPr="00E95233">
              <w:rPr>
                <w:rFonts w:eastAsiaTheme="minorEastAsia" w:cs="Arial"/>
                <w:spacing w:val="-15"/>
              </w:rPr>
              <w:t xml:space="preserve"> </w:t>
            </w:r>
            <w:r w:rsidRPr="00E95233">
              <w:rPr>
                <w:rFonts w:eastAsiaTheme="minorEastAsia" w:cs="Arial"/>
              </w:rPr>
              <w:t>notification/ Amendment</w:t>
            </w:r>
          </w:p>
        </w:tc>
        <w:tc>
          <w:tcPr>
            <w:tcW w:w="6530" w:type="dxa"/>
            <w:tcBorders>
              <w:top w:val="single" w:sz="4" w:space="0" w:color="000000"/>
              <w:left w:val="single" w:sz="4" w:space="0" w:color="000000"/>
              <w:bottom w:val="single" w:sz="4" w:space="0" w:color="000000"/>
              <w:right w:val="nil"/>
            </w:tcBorders>
            <w:vAlign w:val="center"/>
          </w:tcPr>
          <w:p w14:paraId="2462D8F8"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Initial Notification</w:t>
            </w:r>
          </w:p>
        </w:tc>
      </w:tr>
      <w:tr w:rsidR="0067041C" w:rsidRPr="00E95233" w14:paraId="0C696A97"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1ABC1EB1"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3</w:t>
            </w:r>
          </w:p>
        </w:tc>
        <w:tc>
          <w:tcPr>
            <w:tcW w:w="8705" w:type="dxa"/>
            <w:gridSpan w:val="2"/>
            <w:tcBorders>
              <w:top w:val="single" w:sz="4" w:space="0" w:color="000000"/>
              <w:left w:val="single" w:sz="4" w:space="0" w:color="000000"/>
              <w:bottom w:val="single" w:sz="4" w:space="0" w:color="000000"/>
              <w:right w:val="nil"/>
            </w:tcBorders>
            <w:vAlign w:val="center"/>
          </w:tcPr>
          <w:p w14:paraId="3DF21DAE"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Details of the issuer, emission allowance market participant, auction platform, auctioneer or auction monitor</w:t>
            </w:r>
          </w:p>
        </w:tc>
      </w:tr>
      <w:tr w:rsidR="0067041C" w:rsidRPr="00E95233" w14:paraId="3AEC32DB"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432AD62E"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5D678CCF"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6891C2D4"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Cairn Energy PLC</w:t>
            </w:r>
          </w:p>
        </w:tc>
      </w:tr>
      <w:tr w:rsidR="0067041C" w:rsidRPr="00E95233" w14:paraId="45F8A388"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267CE5C"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336447E2"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LEI</w:t>
            </w:r>
          </w:p>
        </w:tc>
        <w:tc>
          <w:tcPr>
            <w:tcW w:w="6530" w:type="dxa"/>
            <w:tcBorders>
              <w:top w:val="single" w:sz="4" w:space="0" w:color="000000"/>
              <w:left w:val="single" w:sz="4" w:space="0" w:color="000000"/>
              <w:bottom w:val="single" w:sz="4" w:space="0" w:color="000000"/>
              <w:right w:val="nil"/>
            </w:tcBorders>
            <w:vAlign w:val="center"/>
          </w:tcPr>
          <w:p w14:paraId="2926863D" w14:textId="77777777" w:rsidR="0067041C" w:rsidRPr="00E95233" w:rsidRDefault="0067041C" w:rsidP="00625DFF">
            <w:pPr>
              <w:ind w:left="154"/>
              <w:jc w:val="both"/>
              <w:rPr>
                <w:rFonts w:cs="Arial"/>
                <w:sz w:val="16"/>
                <w:szCs w:val="16"/>
                <w:lang w:val="en-US"/>
              </w:rPr>
            </w:pPr>
            <w:r w:rsidRPr="00E95233">
              <w:rPr>
                <w:rFonts w:eastAsia="Arial Unicode MS" w:cs="Arial" w:hint="eastAsia"/>
                <w:lang w:val="en-US"/>
              </w:rPr>
              <w:t>213800ZJEUQ8ZOC9AL24</w:t>
            </w:r>
          </w:p>
        </w:tc>
      </w:tr>
      <w:tr w:rsidR="0067041C" w:rsidRPr="00E95233" w14:paraId="49B930B0"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6EA67C48"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4</w:t>
            </w:r>
          </w:p>
        </w:tc>
        <w:tc>
          <w:tcPr>
            <w:tcW w:w="8705" w:type="dxa"/>
            <w:gridSpan w:val="2"/>
            <w:tcBorders>
              <w:top w:val="single" w:sz="4" w:space="0" w:color="000000"/>
              <w:left w:val="single" w:sz="4" w:space="0" w:color="000000"/>
              <w:bottom w:val="single" w:sz="4" w:space="0" w:color="000000"/>
              <w:right w:val="nil"/>
            </w:tcBorders>
            <w:vAlign w:val="center"/>
          </w:tcPr>
          <w:p w14:paraId="03FADB3C"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Details of the transaction(s): section to be repeated for (i) each type of instrument; (ii) each type of transaction; (iii) each date; and (iv) each place where transactions have been conducted</w:t>
            </w:r>
          </w:p>
        </w:tc>
      </w:tr>
      <w:tr w:rsidR="0067041C" w:rsidRPr="00E95233" w14:paraId="327EF519" w14:textId="77777777" w:rsidTr="00625DFF">
        <w:trPr>
          <w:cantSplit/>
          <w:trHeight w:val="1002"/>
        </w:trPr>
        <w:tc>
          <w:tcPr>
            <w:tcW w:w="506" w:type="dxa"/>
            <w:vMerge w:val="restart"/>
            <w:tcBorders>
              <w:top w:val="single" w:sz="4" w:space="0" w:color="000000"/>
              <w:left w:val="nil"/>
              <w:right w:val="single" w:sz="4" w:space="0" w:color="000000"/>
            </w:tcBorders>
            <w:vAlign w:val="center"/>
          </w:tcPr>
          <w:p w14:paraId="608DAA00"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right w:val="single" w:sz="4" w:space="0" w:color="000000"/>
            </w:tcBorders>
            <w:vAlign w:val="center"/>
          </w:tcPr>
          <w:p w14:paraId="35BFA894"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Description of the financial instrument, type of instrument</w:t>
            </w:r>
          </w:p>
        </w:tc>
        <w:tc>
          <w:tcPr>
            <w:tcW w:w="6530" w:type="dxa"/>
            <w:tcBorders>
              <w:top w:val="single" w:sz="4" w:space="0" w:color="000000"/>
              <w:left w:val="single" w:sz="4" w:space="0" w:color="000000"/>
              <w:right w:val="nil"/>
            </w:tcBorders>
            <w:vAlign w:val="center"/>
          </w:tcPr>
          <w:p w14:paraId="14B302CB" w14:textId="4664F951" w:rsidR="0067041C" w:rsidRPr="00E95233" w:rsidRDefault="0067041C" w:rsidP="00625DFF">
            <w:pPr>
              <w:widowControl w:val="0"/>
              <w:tabs>
                <w:tab w:val="left" w:pos="724"/>
              </w:tabs>
              <w:kinsoku w:val="0"/>
              <w:overflowPunct w:val="0"/>
              <w:autoSpaceDE w:val="0"/>
              <w:autoSpaceDN w:val="0"/>
              <w:adjustRightInd w:val="0"/>
              <w:spacing w:before="60" w:after="60"/>
              <w:ind w:left="153"/>
              <w:rPr>
                <w:rFonts w:eastAsiaTheme="minorEastAsia" w:cs="Arial"/>
              </w:rPr>
            </w:pPr>
            <w:r w:rsidRPr="00E95233">
              <w:rPr>
                <w:rFonts w:eastAsiaTheme="minorEastAsia" w:cs="Arial"/>
              </w:rPr>
              <w:t xml:space="preserve">Ordinary shares </w:t>
            </w:r>
            <w:r w:rsidR="00E4210C">
              <w:rPr>
                <w:rFonts w:eastAsiaTheme="minorEastAsia" w:cs="Arial"/>
              </w:rPr>
              <w:t>of 21/13</w:t>
            </w:r>
            <w:r w:rsidRPr="00E95233">
              <w:rPr>
                <w:rFonts w:eastAsiaTheme="minorEastAsia" w:cs="Arial"/>
                <w:szCs w:val="24"/>
              </w:rPr>
              <w:t xml:space="preserve"> pence each </w:t>
            </w:r>
          </w:p>
        </w:tc>
      </w:tr>
      <w:tr w:rsidR="0067041C" w:rsidRPr="00E95233" w14:paraId="20A28A80" w14:textId="77777777" w:rsidTr="00625DFF">
        <w:trPr>
          <w:cantSplit/>
          <w:trHeight w:hRule="exact" w:val="680"/>
        </w:trPr>
        <w:tc>
          <w:tcPr>
            <w:tcW w:w="506" w:type="dxa"/>
            <w:vMerge/>
            <w:tcBorders>
              <w:left w:val="nil"/>
              <w:bottom w:val="single" w:sz="4" w:space="0" w:color="000000"/>
              <w:right w:val="single" w:sz="4" w:space="0" w:color="000000"/>
            </w:tcBorders>
            <w:vAlign w:val="center"/>
          </w:tcPr>
          <w:p w14:paraId="4B8D8145"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p>
        </w:tc>
        <w:tc>
          <w:tcPr>
            <w:tcW w:w="2175" w:type="dxa"/>
            <w:tcBorders>
              <w:left w:val="single" w:sz="4" w:space="0" w:color="000000"/>
              <w:bottom w:val="single" w:sz="4" w:space="0" w:color="000000"/>
              <w:right w:val="single" w:sz="4" w:space="0" w:color="000000"/>
            </w:tcBorders>
            <w:vAlign w:val="center"/>
          </w:tcPr>
          <w:p w14:paraId="0EA50EF5"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Identification</w:t>
            </w:r>
            <w:r w:rsidRPr="00E95233">
              <w:rPr>
                <w:rFonts w:eastAsiaTheme="minorEastAsia" w:cs="Arial"/>
                <w:spacing w:val="-23"/>
              </w:rPr>
              <w:t xml:space="preserve"> </w:t>
            </w:r>
            <w:r w:rsidRPr="00E95233">
              <w:rPr>
                <w:rFonts w:eastAsiaTheme="minorEastAsia" w:cs="Arial"/>
              </w:rPr>
              <w:t>code</w:t>
            </w:r>
          </w:p>
        </w:tc>
        <w:tc>
          <w:tcPr>
            <w:tcW w:w="6530" w:type="dxa"/>
            <w:tcBorders>
              <w:left w:val="single" w:sz="4" w:space="0" w:color="000000"/>
              <w:bottom w:val="single" w:sz="4" w:space="0" w:color="000000"/>
              <w:right w:val="nil"/>
            </w:tcBorders>
            <w:vAlign w:val="center"/>
          </w:tcPr>
          <w:p w14:paraId="6D3B8D24" w14:textId="42005EED" w:rsidR="0067041C" w:rsidRPr="00E95233" w:rsidRDefault="00E4210C" w:rsidP="00625DFF">
            <w:pPr>
              <w:widowControl w:val="0"/>
              <w:tabs>
                <w:tab w:val="left" w:pos="724"/>
              </w:tabs>
              <w:kinsoku w:val="0"/>
              <w:overflowPunct w:val="0"/>
              <w:autoSpaceDE w:val="0"/>
              <w:autoSpaceDN w:val="0"/>
              <w:adjustRightInd w:val="0"/>
              <w:spacing w:before="60" w:after="60"/>
              <w:ind w:left="154"/>
              <w:rPr>
                <w:rFonts w:eastAsiaTheme="minorEastAsia" w:cs="Arial"/>
              </w:rPr>
            </w:pPr>
            <w:r>
              <w:rPr>
                <w:rFonts w:cs="Arial"/>
                <w:color w:val="000000"/>
              </w:rPr>
              <w:t>GB00BN0SMB92</w:t>
            </w:r>
          </w:p>
        </w:tc>
      </w:tr>
      <w:tr w:rsidR="0067041C" w:rsidRPr="00E95233" w14:paraId="0D34B645" w14:textId="77777777" w:rsidTr="00625DFF">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14:paraId="16A8240C"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lastRenderedPageBreak/>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4B7BA824"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Nature of the</w:t>
            </w:r>
            <w:r w:rsidRPr="00E95233">
              <w:rPr>
                <w:rFonts w:eastAsiaTheme="minorEastAsia" w:cs="Arial"/>
                <w:spacing w:val="24"/>
              </w:rPr>
              <w:t xml:space="preserve"> </w:t>
            </w:r>
            <w:r w:rsidRPr="00E95233">
              <w:rPr>
                <w:rFonts w:eastAsiaTheme="minorEastAsia" w:cs="Arial"/>
              </w:rPr>
              <w:t>transaction</w:t>
            </w:r>
          </w:p>
        </w:tc>
        <w:tc>
          <w:tcPr>
            <w:tcW w:w="6530" w:type="dxa"/>
            <w:tcBorders>
              <w:top w:val="single" w:sz="4" w:space="0" w:color="000000"/>
              <w:left w:val="single" w:sz="4" w:space="0" w:color="000000"/>
              <w:bottom w:val="single" w:sz="4" w:space="0" w:color="000000"/>
              <w:right w:val="nil"/>
            </w:tcBorders>
            <w:vAlign w:val="center"/>
          </w:tcPr>
          <w:p w14:paraId="61EE475D"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Partnership shares purchased under the Company’s all-employee Share Incentive Plan (2010)</w:t>
            </w:r>
            <w:r w:rsidR="001A5EDF">
              <w:rPr>
                <w:rFonts w:eastAsiaTheme="minorEastAsia" w:cs="Arial"/>
              </w:rPr>
              <w:t>.</w:t>
            </w:r>
          </w:p>
        </w:tc>
      </w:tr>
      <w:tr w:rsidR="0067041C" w:rsidRPr="00E95233" w14:paraId="53D23F47" w14:textId="77777777" w:rsidTr="00625DFF">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14:paraId="3A4135BB"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c)</w:t>
            </w:r>
          </w:p>
        </w:tc>
        <w:tc>
          <w:tcPr>
            <w:tcW w:w="2175" w:type="dxa"/>
            <w:tcBorders>
              <w:top w:val="single" w:sz="4" w:space="0" w:color="000000"/>
              <w:left w:val="single" w:sz="4" w:space="0" w:color="000000"/>
              <w:bottom w:val="single" w:sz="4" w:space="0" w:color="000000"/>
              <w:right w:val="single" w:sz="4" w:space="0" w:color="000000"/>
            </w:tcBorders>
            <w:vAlign w:val="center"/>
          </w:tcPr>
          <w:p w14:paraId="72B71767"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1"/>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67041C" w:rsidRPr="00E95233" w14:paraId="544D4611" w14:textId="77777777" w:rsidTr="00625DFF">
              <w:tc>
                <w:tcPr>
                  <w:tcW w:w="3255" w:type="dxa"/>
                  <w:vAlign w:val="center"/>
                </w:tcPr>
                <w:p w14:paraId="7509CDC4"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Price(s)</w:t>
                  </w:r>
                </w:p>
              </w:tc>
              <w:tc>
                <w:tcPr>
                  <w:tcW w:w="3255" w:type="dxa"/>
                  <w:vAlign w:val="center"/>
                </w:tcPr>
                <w:p w14:paraId="1427C214"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Volume(s)</w:t>
                  </w:r>
                </w:p>
              </w:tc>
            </w:tr>
            <w:tr w:rsidR="0067041C" w:rsidRPr="00E95233" w14:paraId="69FF6FD8" w14:textId="77777777" w:rsidTr="00625DFF">
              <w:tc>
                <w:tcPr>
                  <w:tcW w:w="3255" w:type="dxa"/>
                  <w:vAlign w:val="center"/>
                </w:tcPr>
                <w:p w14:paraId="3385DAFC" w14:textId="561BC8FC" w:rsidR="0067041C" w:rsidRPr="00E95233" w:rsidRDefault="0067041C" w:rsidP="00A62EAF">
                  <w:pPr>
                    <w:widowControl w:val="0"/>
                    <w:kinsoku w:val="0"/>
                    <w:overflowPunct w:val="0"/>
                    <w:autoSpaceDE w:val="0"/>
                    <w:autoSpaceDN w:val="0"/>
                    <w:adjustRightInd w:val="0"/>
                    <w:spacing w:before="60" w:after="60"/>
                    <w:jc w:val="center"/>
                    <w:rPr>
                      <w:rFonts w:eastAsiaTheme="minorEastAsia" w:cs="Arial"/>
                    </w:rPr>
                  </w:pPr>
                  <w:r w:rsidRPr="00E95233">
                    <w:rPr>
                      <w:rFonts w:eastAsiaTheme="minorEastAsia" w:cs="Arial"/>
                    </w:rPr>
                    <w:t>£</w:t>
                  </w:r>
                  <w:r w:rsidR="008C3D5B">
                    <w:rPr>
                      <w:rFonts w:eastAsiaTheme="minorEastAsia" w:cs="Arial"/>
                    </w:rPr>
                    <w:t>1.</w:t>
                  </w:r>
                  <w:r w:rsidR="00E4210C">
                    <w:rPr>
                      <w:rFonts w:eastAsiaTheme="minorEastAsia" w:cs="Arial"/>
                    </w:rPr>
                    <w:t>734</w:t>
                  </w:r>
                </w:p>
              </w:tc>
              <w:tc>
                <w:tcPr>
                  <w:tcW w:w="3255" w:type="dxa"/>
                  <w:vAlign w:val="center"/>
                </w:tcPr>
                <w:p w14:paraId="312EC319" w14:textId="2A7E432E" w:rsidR="0067041C" w:rsidRPr="00E95233" w:rsidRDefault="008C3D5B" w:rsidP="00625DFF">
                  <w:pPr>
                    <w:widowControl w:val="0"/>
                    <w:kinsoku w:val="0"/>
                    <w:overflowPunct w:val="0"/>
                    <w:autoSpaceDE w:val="0"/>
                    <w:autoSpaceDN w:val="0"/>
                    <w:adjustRightInd w:val="0"/>
                    <w:spacing w:before="60" w:after="60"/>
                    <w:jc w:val="center"/>
                    <w:rPr>
                      <w:rFonts w:eastAsiaTheme="minorEastAsia" w:cs="Arial"/>
                    </w:rPr>
                  </w:pPr>
                  <w:r>
                    <w:rPr>
                      <w:rFonts w:eastAsiaTheme="minorEastAsia" w:cs="Arial"/>
                    </w:rPr>
                    <w:t>1,</w:t>
                  </w:r>
                  <w:r w:rsidR="00E4210C">
                    <w:rPr>
                      <w:rFonts w:eastAsiaTheme="minorEastAsia" w:cs="Arial"/>
                    </w:rPr>
                    <w:t>038</w:t>
                  </w:r>
                </w:p>
              </w:tc>
            </w:tr>
          </w:tbl>
          <w:p w14:paraId="0772A28A"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tc>
      </w:tr>
      <w:tr w:rsidR="0067041C" w:rsidRPr="00E95233" w14:paraId="5532B525" w14:textId="77777777" w:rsidTr="00625DFF">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14:paraId="43D27B02"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d)</w:t>
            </w:r>
          </w:p>
        </w:tc>
        <w:tc>
          <w:tcPr>
            <w:tcW w:w="2175" w:type="dxa"/>
            <w:tcBorders>
              <w:top w:val="single" w:sz="4" w:space="0" w:color="000000"/>
              <w:left w:val="single" w:sz="4" w:space="0" w:color="000000"/>
              <w:bottom w:val="single" w:sz="4" w:space="0" w:color="000000"/>
              <w:right w:val="single" w:sz="4" w:space="0" w:color="000000"/>
            </w:tcBorders>
            <w:vAlign w:val="center"/>
          </w:tcPr>
          <w:p w14:paraId="7CC5CAFF"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Aggregated information</w:t>
            </w:r>
          </w:p>
          <w:p w14:paraId="4B099F95" w14:textId="77777777" w:rsidR="0067041C" w:rsidRPr="00E95233" w:rsidRDefault="0067041C" w:rsidP="0067041C">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Aggregated volume</w:t>
            </w:r>
          </w:p>
          <w:p w14:paraId="4B3BF636" w14:textId="77777777" w:rsidR="0067041C" w:rsidRPr="00E95233" w:rsidRDefault="0067041C" w:rsidP="0067041C">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Price</w:t>
            </w:r>
          </w:p>
        </w:tc>
        <w:tc>
          <w:tcPr>
            <w:tcW w:w="6530" w:type="dxa"/>
            <w:tcBorders>
              <w:top w:val="single" w:sz="4" w:space="0" w:color="000000"/>
              <w:left w:val="single" w:sz="4" w:space="0" w:color="000000"/>
              <w:bottom w:val="single" w:sz="4" w:space="0" w:color="000000"/>
              <w:right w:val="nil"/>
            </w:tcBorders>
          </w:tcPr>
          <w:p w14:paraId="566162B6"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7114CBF0"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45E09EA3"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Not applicable</w:t>
            </w:r>
          </w:p>
        </w:tc>
      </w:tr>
      <w:tr w:rsidR="0067041C" w:rsidRPr="00E95233" w14:paraId="56EF14FA"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55C35CB"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e)</w:t>
            </w:r>
          </w:p>
        </w:tc>
        <w:tc>
          <w:tcPr>
            <w:tcW w:w="2175" w:type="dxa"/>
            <w:tcBorders>
              <w:top w:val="single" w:sz="4" w:space="0" w:color="000000"/>
              <w:left w:val="single" w:sz="4" w:space="0" w:color="000000"/>
              <w:bottom w:val="single" w:sz="4" w:space="0" w:color="000000"/>
              <w:right w:val="single" w:sz="4" w:space="0" w:color="000000"/>
            </w:tcBorders>
            <w:vAlign w:val="center"/>
          </w:tcPr>
          <w:p w14:paraId="0D886F10"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Date of the transaction</w:t>
            </w:r>
          </w:p>
        </w:tc>
        <w:tc>
          <w:tcPr>
            <w:tcW w:w="6530" w:type="dxa"/>
            <w:tcBorders>
              <w:top w:val="single" w:sz="4" w:space="0" w:color="000000"/>
              <w:left w:val="single" w:sz="4" w:space="0" w:color="000000"/>
              <w:bottom w:val="single" w:sz="4" w:space="0" w:color="000000"/>
              <w:right w:val="nil"/>
            </w:tcBorders>
            <w:vAlign w:val="center"/>
          </w:tcPr>
          <w:p w14:paraId="461962C6" w14:textId="2DBA8A72" w:rsidR="0067041C" w:rsidRPr="00E95233" w:rsidRDefault="00E4210C" w:rsidP="0026042B">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2021</w:t>
            </w:r>
            <w:r w:rsidR="00DD60E9">
              <w:rPr>
                <w:rFonts w:eastAsiaTheme="minorEastAsia" w:cs="Arial"/>
              </w:rPr>
              <w:t>-05-</w:t>
            </w:r>
            <w:r w:rsidR="009D01B4">
              <w:rPr>
                <w:rFonts w:eastAsiaTheme="minorEastAsia" w:cs="Arial"/>
              </w:rPr>
              <w:t>0</w:t>
            </w:r>
            <w:r>
              <w:rPr>
                <w:rFonts w:eastAsiaTheme="minorEastAsia" w:cs="Arial"/>
              </w:rPr>
              <w:t>6</w:t>
            </w:r>
          </w:p>
        </w:tc>
      </w:tr>
      <w:tr w:rsidR="0067041C" w:rsidRPr="00E95233" w14:paraId="67FC5C64" w14:textId="77777777" w:rsidTr="00625DFF">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14:paraId="2D04ACDD"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f)</w:t>
            </w:r>
          </w:p>
        </w:tc>
        <w:tc>
          <w:tcPr>
            <w:tcW w:w="2175" w:type="dxa"/>
            <w:tcBorders>
              <w:top w:val="single" w:sz="4" w:space="0" w:color="000000"/>
              <w:left w:val="single" w:sz="4" w:space="0" w:color="000000"/>
              <w:bottom w:val="single" w:sz="4" w:space="0" w:color="000000"/>
              <w:right w:val="single" w:sz="4" w:space="0" w:color="000000"/>
            </w:tcBorders>
            <w:vAlign w:val="center"/>
          </w:tcPr>
          <w:p w14:paraId="27685F4C"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Place of the transaction</w:t>
            </w:r>
          </w:p>
        </w:tc>
        <w:tc>
          <w:tcPr>
            <w:tcW w:w="6530" w:type="dxa"/>
            <w:tcBorders>
              <w:top w:val="single" w:sz="4" w:space="0" w:color="000000"/>
              <w:left w:val="single" w:sz="4" w:space="0" w:color="000000"/>
              <w:bottom w:val="single" w:sz="4" w:space="0" w:color="000000"/>
              <w:right w:val="nil"/>
            </w:tcBorders>
            <w:vAlign w:val="center"/>
          </w:tcPr>
          <w:p w14:paraId="6A1CA53F"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London Stock Exchange</w:t>
            </w:r>
          </w:p>
        </w:tc>
      </w:tr>
      <w:tr w:rsidR="0067041C" w:rsidRPr="00E95233" w14:paraId="7D0A4EA3"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577167DB"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4</w:t>
            </w:r>
          </w:p>
        </w:tc>
        <w:tc>
          <w:tcPr>
            <w:tcW w:w="8705" w:type="dxa"/>
            <w:gridSpan w:val="2"/>
            <w:tcBorders>
              <w:top w:val="single" w:sz="4" w:space="0" w:color="000000"/>
              <w:left w:val="single" w:sz="4" w:space="0" w:color="000000"/>
              <w:bottom w:val="single" w:sz="4" w:space="0" w:color="000000"/>
              <w:right w:val="nil"/>
            </w:tcBorders>
            <w:vAlign w:val="center"/>
          </w:tcPr>
          <w:p w14:paraId="34AA1C3E"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Details of the transaction(s): section to be repeated for (i) each type of instrument; (ii) each type of transaction; (iii) each date; and (iv) each place where transactions have been conducted</w:t>
            </w:r>
          </w:p>
        </w:tc>
      </w:tr>
      <w:tr w:rsidR="0067041C" w:rsidRPr="00E95233" w14:paraId="2408662E" w14:textId="77777777" w:rsidTr="00625DFF">
        <w:trPr>
          <w:cantSplit/>
          <w:trHeight w:val="1002"/>
        </w:trPr>
        <w:tc>
          <w:tcPr>
            <w:tcW w:w="506" w:type="dxa"/>
            <w:vMerge w:val="restart"/>
            <w:tcBorders>
              <w:top w:val="single" w:sz="4" w:space="0" w:color="000000"/>
              <w:left w:val="nil"/>
              <w:right w:val="single" w:sz="4" w:space="0" w:color="000000"/>
            </w:tcBorders>
            <w:vAlign w:val="center"/>
          </w:tcPr>
          <w:p w14:paraId="0F77B46F"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right w:val="single" w:sz="4" w:space="0" w:color="000000"/>
            </w:tcBorders>
            <w:vAlign w:val="center"/>
          </w:tcPr>
          <w:p w14:paraId="7E51CB7B"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Description of the financial instrument, type of instrument</w:t>
            </w:r>
          </w:p>
        </w:tc>
        <w:tc>
          <w:tcPr>
            <w:tcW w:w="6530" w:type="dxa"/>
            <w:tcBorders>
              <w:top w:val="single" w:sz="4" w:space="0" w:color="000000"/>
              <w:left w:val="single" w:sz="4" w:space="0" w:color="000000"/>
              <w:right w:val="nil"/>
            </w:tcBorders>
            <w:vAlign w:val="center"/>
          </w:tcPr>
          <w:p w14:paraId="22F820A0" w14:textId="34457ED7" w:rsidR="0067041C" w:rsidRPr="00E95233" w:rsidRDefault="0067041C" w:rsidP="00625DFF">
            <w:pPr>
              <w:widowControl w:val="0"/>
              <w:tabs>
                <w:tab w:val="left" w:pos="724"/>
              </w:tabs>
              <w:kinsoku w:val="0"/>
              <w:overflowPunct w:val="0"/>
              <w:autoSpaceDE w:val="0"/>
              <w:autoSpaceDN w:val="0"/>
              <w:adjustRightInd w:val="0"/>
              <w:spacing w:before="60" w:after="60"/>
              <w:ind w:left="153"/>
              <w:rPr>
                <w:rFonts w:eastAsiaTheme="minorEastAsia" w:cs="Arial"/>
              </w:rPr>
            </w:pPr>
            <w:r w:rsidRPr="00E95233">
              <w:rPr>
                <w:rFonts w:eastAsiaTheme="minorEastAsia" w:cs="Arial"/>
              </w:rPr>
              <w:t xml:space="preserve">Ordinary shares of </w:t>
            </w:r>
            <w:r>
              <w:rPr>
                <w:rFonts w:eastAsiaTheme="minorEastAsia" w:cs="Arial"/>
              </w:rPr>
              <w:t>21/1</w:t>
            </w:r>
            <w:r w:rsidR="00E4210C">
              <w:rPr>
                <w:rFonts w:eastAsiaTheme="minorEastAsia" w:cs="Arial"/>
              </w:rPr>
              <w:t>3</w:t>
            </w:r>
            <w:r>
              <w:rPr>
                <w:rFonts w:eastAsiaTheme="minorEastAsia" w:cs="Arial"/>
              </w:rPr>
              <w:t xml:space="preserve"> </w:t>
            </w:r>
            <w:r w:rsidRPr="00E95233">
              <w:rPr>
                <w:rFonts w:eastAsiaTheme="minorEastAsia" w:cs="Arial"/>
                <w:szCs w:val="24"/>
              </w:rPr>
              <w:t xml:space="preserve">pence each </w:t>
            </w:r>
          </w:p>
        </w:tc>
      </w:tr>
      <w:tr w:rsidR="0067041C" w:rsidRPr="00E95233" w14:paraId="50AB7066" w14:textId="77777777" w:rsidTr="00625DFF">
        <w:trPr>
          <w:cantSplit/>
          <w:trHeight w:hRule="exact" w:val="680"/>
        </w:trPr>
        <w:tc>
          <w:tcPr>
            <w:tcW w:w="506" w:type="dxa"/>
            <w:vMerge/>
            <w:tcBorders>
              <w:left w:val="nil"/>
              <w:bottom w:val="single" w:sz="4" w:space="0" w:color="000000"/>
              <w:right w:val="single" w:sz="4" w:space="0" w:color="000000"/>
            </w:tcBorders>
            <w:vAlign w:val="center"/>
          </w:tcPr>
          <w:p w14:paraId="7144B432"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p>
        </w:tc>
        <w:tc>
          <w:tcPr>
            <w:tcW w:w="2175" w:type="dxa"/>
            <w:tcBorders>
              <w:left w:val="single" w:sz="4" w:space="0" w:color="000000"/>
              <w:bottom w:val="single" w:sz="4" w:space="0" w:color="000000"/>
              <w:right w:val="single" w:sz="4" w:space="0" w:color="000000"/>
            </w:tcBorders>
            <w:vAlign w:val="center"/>
          </w:tcPr>
          <w:p w14:paraId="73C1D8EC"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Identification</w:t>
            </w:r>
            <w:r w:rsidRPr="00E95233">
              <w:rPr>
                <w:rFonts w:eastAsiaTheme="minorEastAsia" w:cs="Arial"/>
                <w:spacing w:val="-23"/>
              </w:rPr>
              <w:t xml:space="preserve"> </w:t>
            </w:r>
            <w:r w:rsidRPr="00E95233">
              <w:rPr>
                <w:rFonts w:eastAsiaTheme="minorEastAsia" w:cs="Arial"/>
              </w:rPr>
              <w:t>code</w:t>
            </w:r>
          </w:p>
        </w:tc>
        <w:tc>
          <w:tcPr>
            <w:tcW w:w="6530" w:type="dxa"/>
            <w:tcBorders>
              <w:left w:val="single" w:sz="4" w:space="0" w:color="000000"/>
              <w:bottom w:val="single" w:sz="4" w:space="0" w:color="000000"/>
              <w:right w:val="nil"/>
            </w:tcBorders>
            <w:vAlign w:val="center"/>
          </w:tcPr>
          <w:p w14:paraId="6EABD230" w14:textId="0613ABEF" w:rsidR="0067041C" w:rsidRPr="00E95233" w:rsidRDefault="00E4210C" w:rsidP="00625DFF">
            <w:pPr>
              <w:widowControl w:val="0"/>
              <w:tabs>
                <w:tab w:val="left" w:pos="724"/>
              </w:tabs>
              <w:kinsoku w:val="0"/>
              <w:overflowPunct w:val="0"/>
              <w:autoSpaceDE w:val="0"/>
              <w:autoSpaceDN w:val="0"/>
              <w:adjustRightInd w:val="0"/>
              <w:spacing w:before="60" w:after="60"/>
              <w:ind w:left="154"/>
              <w:rPr>
                <w:rFonts w:eastAsiaTheme="minorEastAsia" w:cs="Arial"/>
              </w:rPr>
            </w:pPr>
            <w:r>
              <w:rPr>
                <w:rFonts w:cs="Arial"/>
                <w:color w:val="000000"/>
              </w:rPr>
              <w:t>GB00BN0SMB92</w:t>
            </w:r>
          </w:p>
        </w:tc>
      </w:tr>
      <w:tr w:rsidR="0067041C" w:rsidRPr="00E95233" w14:paraId="42A15A71" w14:textId="77777777" w:rsidTr="00625DFF">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14:paraId="5C03E7B9"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1CDD88EA"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Nature of the</w:t>
            </w:r>
            <w:r w:rsidRPr="00E95233">
              <w:rPr>
                <w:rFonts w:eastAsiaTheme="minorEastAsia" w:cs="Arial"/>
                <w:spacing w:val="24"/>
              </w:rPr>
              <w:t xml:space="preserve"> </w:t>
            </w:r>
            <w:r w:rsidRPr="00E95233">
              <w:rPr>
                <w:rFonts w:eastAsiaTheme="minorEastAsia" w:cs="Arial"/>
              </w:rPr>
              <w:t>transaction</w:t>
            </w:r>
          </w:p>
        </w:tc>
        <w:tc>
          <w:tcPr>
            <w:tcW w:w="6530" w:type="dxa"/>
            <w:tcBorders>
              <w:top w:val="single" w:sz="4" w:space="0" w:color="000000"/>
              <w:left w:val="single" w:sz="4" w:space="0" w:color="000000"/>
              <w:bottom w:val="single" w:sz="4" w:space="0" w:color="000000"/>
              <w:right w:val="nil"/>
            </w:tcBorders>
            <w:vAlign w:val="center"/>
          </w:tcPr>
          <w:p w14:paraId="79DA3147" w14:textId="77777777" w:rsidR="0067041C" w:rsidRPr="00E95233" w:rsidRDefault="001A5EDF" w:rsidP="00625DFF">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Matching shares awarded under the Company’s all-employee Share Incentive Plan (2010) on the basis of two free matching shares for every one partnership share purchased.</w:t>
            </w:r>
          </w:p>
        </w:tc>
      </w:tr>
      <w:tr w:rsidR="0067041C" w:rsidRPr="00E95233" w14:paraId="7AF162AE" w14:textId="77777777" w:rsidTr="00625DFF">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14:paraId="43177F63"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c)</w:t>
            </w:r>
          </w:p>
        </w:tc>
        <w:tc>
          <w:tcPr>
            <w:tcW w:w="2175" w:type="dxa"/>
            <w:tcBorders>
              <w:top w:val="single" w:sz="4" w:space="0" w:color="000000"/>
              <w:left w:val="single" w:sz="4" w:space="0" w:color="000000"/>
              <w:bottom w:val="single" w:sz="4" w:space="0" w:color="000000"/>
              <w:right w:val="single" w:sz="4" w:space="0" w:color="000000"/>
            </w:tcBorders>
            <w:vAlign w:val="center"/>
          </w:tcPr>
          <w:p w14:paraId="777EC6BD"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1"/>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67041C" w:rsidRPr="00E95233" w14:paraId="1526B8DA" w14:textId="77777777" w:rsidTr="00625DFF">
              <w:tc>
                <w:tcPr>
                  <w:tcW w:w="3255" w:type="dxa"/>
                  <w:vAlign w:val="center"/>
                </w:tcPr>
                <w:p w14:paraId="559B2F54"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Price(s)</w:t>
                  </w:r>
                </w:p>
              </w:tc>
              <w:tc>
                <w:tcPr>
                  <w:tcW w:w="3255" w:type="dxa"/>
                  <w:vAlign w:val="center"/>
                </w:tcPr>
                <w:p w14:paraId="3D738E4B"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Volume(s)</w:t>
                  </w:r>
                </w:p>
              </w:tc>
            </w:tr>
            <w:tr w:rsidR="0067041C" w:rsidRPr="00E95233" w14:paraId="2E16FCDE" w14:textId="77777777" w:rsidTr="00625DFF">
              <w:tc>
                <w:tcPr>
                  <w:tcW w:w="3255" w:type="dxa"/>
                  <w:vAlign w:val="center"/>
                </w:tcPr>
                <w:p w14:paraId="098E425D"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rPr>
                  </w:pPr>
                  <w:r w:rsidRPr="00E95233">
                    <w:rPr>
                      <w:rFonts w:eastAsiaTheme="minorEastAsia" w:cs="Arial"/>
                    </w:rPr>
                    <w:t>£0</w:t>
                  </w:r>
                  <w:r w:rsidR="00784E8D">
                    <w:rPr>
                      <w:rFonts w:eastAsiaTheme="minorEastAsia" w:cs="Arial"/>
                    </w:rPr>
                    <w:t>.00</w:t>
                  </w:r>
                </w:p>
              </w:tc>
              <w:tc>
                <w:tcPr>
                  <w:tcW w:w="3255" w:type="dxa"/>
                  <w:vAlign w:val="center"/>
                </w:tcPr>
                <w:p w14:paraId="3194A1FC" w14:textId="1664E391" w:rsidR="0067041C" w:rsidRPr="00E95233" w:rsidRDefault="008C3D5B" w:rsidP="00625DFF">
                  <w:pPr>
                    <w:widowControl w:val="0"/>
                    <w:kinsoku w:val="0"/>
                    <w:overflowPunct w:val="0"/>
                    <w:autoSpaceDE w:val="0"/>
                    <w:autoSpaceDN w:val="0"/>
                    <w:adjustRightInd w:val="0"/>
                    <w:spacing w:before="60" w:after="60"/>
                    <w:jc w:val="center"/>
                    <w:rPr>
                      <w:rFonts w:eastAsiaTheme="minorEastAsia" w:cs="Arial"/>
                    </w:rPr>
                  </w:pPr>
                  <w:r>
                    <w:rPr>
                      <w:rFonts w:eastAsiaTheme="minorEastAsia" w:cs="Arial"/>
                    </w:rPr>
                    <w:t>2,</w:t>
                  </w:r>
                  <w:r w:rsidR="00E4210C">
                    <w:rPr>
                      <w:rFonts w:eastAsiaTheme="minorEastAsia" w:cs="Arial"/>
                    </w:rPr>
                    <w:t>076</w:t>
                  </w:r>
                </w:p>
              </w:tc>
            </w:tr>
          </w:tbl>
          <w:p w14:paraId="42EF8C97"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tc>
      </w:tr>
      <w:tr w:rsidR="0067041C" w:rsidRPr="00E95233" w14:paraId="43139A55" w14:textId="77777777" w:rsidTr="00625DFF">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14:paraId="1963A7A5"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d)</w:t>
            </w:r>
          </w:p>
        </w:tc>
        <w:tc>
          <w:tcPr>
            <w:tcW w:w="2175" w:type="dxa"/>
            <w:tcBorders>
              <w:top w:val="single" w:sz="4" w:space="0" w:color="000000"/>
              <w:left w:val="single" w:sz="4" w:space="0" w:color="000000"/>
              <w:bottom w:val="single" w:sz="4" w:space="0" w:color="000000"/>
              <w:right w:val="single" w:sz="4" w:space="0" w:color="000000"/>
            </w:tcBorders>
            <w:vAlign w:val="center"/>
          </w:tcPr>
          <w:p w14:paraId="1F23374A"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Aggregated information</w:t>
            </w:r>
          </w:p>
          <w:p w14:paraId="250CDD43" w14:textId="77777777" w:rsidR="0067041C" w:rsidRPr="00E95233" w:rsidRDefault="0067041C" w:rsidP="00625DFF">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Aggregated volume</w:t>
            </w:r>
          </w:p>
          <w:p w14:paraId="799122D6" w14:textId="77777777" w:rsidR="0067041C" w:rsidRPr="00E95233" w:rsidRDefault="0067041C" w:rsidP="00625DFF">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Price</w:t>
            </w:r>
          </w:p>
        </w:tc>
        <w:tc>
          <w:tcPr>
            <w:tcW w:w="6530" w:type="dxa"/>
            <w:tcBorders>
              <w:top w:val="single" w:sz="4" w:space="0" w:color="000000"/>
              <w:left w:val="single" w:sz="4" w:space="0" w:color="000000"/>
              <w:bottom w:val="single" w:sz="4" w:space="0" w:color="000000"/>
              <w:right w:val="nil"/>
            </w:tcBorders>
          </w:tcPr>
          <w:p w14:paraId="4FF2613B"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2088E715"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3F15D184"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Not applicable</w:t>
            </w:r>
          </w:p>
        </w:tc>
      </w:tr>
      <w:tr w:rsidR="0067041C" w:rsidRPr="00E95233" w14:paraId="05611E42"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62147F80"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e)</w:t>
            </w:r>
          </w:p>
        </w:tc>
        <w:tc>
          <w:tcPr>
            <w:tcW w:w="2175" w:type="dxa"/>
            <w:tcBorders>
              <w:top w:val="single" w:sz="4" w:space="0" w:color="000000"/>
              <w:left w:val="single" w:sz="4" w:space="0" w:color="000000"/>
              <w:bottom w:val="single" w:sz="4" w:space="0" w:color="000000"/>
              <w:right w:val="single" w:sz="4" w:space="0" w:color="000000"/>
            </w:tcBorders>
            <w:vAlign w:val="center"/>
          </w:tcPr>
          <w:p w14:paraId="476C3C6C"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Date of the transaction</w:t>
            </w:r>
          </w:p>
        </w:tc>
        <w:tc>
          <w:tcPr>
            <w:tcW w:w="6530" w:type="dxa"/>
            <w:tcBorders>
              <w:top w:val="single" w:sz="4" w:space="0" w:color="000000"/>
              <w:left w:val="single" w:sz="4" w:space="0" w:color="000000"/>
              <w:bottom w:val="single" w:sz="4" w:space="0" w:color="000000"/>
              <w:right w:val="nil"/>
            </w:tcBorders>
            <w:vAlign w:val="center"/>
          </w:tcPr>
          <w:p w14:paraId="1E56DCCB" w14:textId="7401F4AE" w:rsidR="0067041C" w:rsidRPr="00E95233" w:rsidRDefault="00E4210C" w:rsidP="0026042B">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2021</w:t>
            </w:r>
            <w:r w:rsidR="00DD60E9">
              <w:rPr>
                <w:rFonts w:eastAsiaTheme="minorEastAsia" w:cs="Arial"/>
              </w:rPr>
              <w:t>-05-</w:t>
            </w:r>
            <w:r w:rsidR="009D01B4">
              <w:rPr>
                <w:rFonts w:eastAsiaTheme="minorEastAsia" w:cs="Arial"/>
              </w:rPr>
              <w:t>0</w:t>
            </w:r>
            <w:r>
              <w:rPr>
                <w:rFonts w:eastAsiaTheme="minorEastAsia" w:cs="Arial"/>
              </w:rPr>
              <w:t>6</w:t>
            </w:r>
          </w:p>
        </w:tc>
      </w:tr>
      <w:tr w:rsidR="0067041C" w:rsidRPr="00E95233" w14:paraId="7F4AF6D3" w14:textId="77777777" w:rsidTr="00625DFF">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14:paraId="79D27A87"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lastRenderedPageBreak/>
              <w:t>f)</w:t>
            </w:r>
          </w:p>
        </w:tc>
        <w:tc>
          <w:tcPr>
            <w:tcW w:w="2175" w:type="dxa"/>
            <w:tcBorders>
              <w:top w:val="single" w:sz="4" w:space="0" w:color="000000"/>
              <w:left w:val="single" w:sz="4" w:space="0" w:color="000000"/>
              <w:bottom w:val="single" w:sz="4" w:space="0" w:color="000000"/>
              <w:right w:val="single" w:sz="4" w:space="0" w:color="000000"/>
            </w:tcBorders>
            <w:vAlign w:val="center"/>
          </w:tcPr>
          <w:p w14:paraId="1AB381DC"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Place of the transaction</w:t>
            </w:r>
          </w:p>
        </w:tc>
        <w:tc>
          <w:tcPr>
            <w:tcW w:w="6530" w:type="dxa"/>
            <w:tcBorders>
              <w:top w:val="single" w:sz="4" w:space="0" w:color="000000"/>
              <w:left w:val="single" w:sz="4" w:space="0" w:color="000000"/>
              <w:bottom w:val="single" w:sz="4" w:space="0" w:color="000000"/>
              <w:right w:val="nil"/>
            </w:tcBorders>
            <w:vAlign w:val="center"/>
          </w:tcPr>
          <w:p w14:paraId="73898F4A"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London Stock Exchange</w:t>
            </w:r>
          </w:p>
        </w:tc>
      </w:tr>
    </w:tbl>
    <w:p w14:paraId="79EC010C" w14:textId="77777777" w:rsidR="0067041C" w:rsidRPr="00E95233" w:rsidRDefault="0067041C" w:rsidP="0067041C"/>
    <w:p w14:paraId="6DF12810" w14:textId="77777777" w:rsidR="0067041C" w:rsidRPr="00E95233" w:rsidRDefault="0067041C" w:rsidP="0067041C"/>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67041C" w:rsidRPr="00E95233" w14:paraId="125E911F"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579ACDA5"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1</w:t>
            </w:r>
          </w:p>
        </w:tc>
        <w:tc>
          <w:tcPr>
            <w:tcW w:w="8705" w:type="dxa"/>
            <w:gridSpan w:val="2"/>
            <w:tcBorders>
              <w:top w:val="single" w:sz="4" w:space="0" w:color="000000"/>
              <w:left w:val="single" w:sz="4" w:space="0" w:color="000000"/>
              <w:bottom w:val="single" w:sz="4" w:space="0" w:color="000000"/>
              <w:right w:val="nil"/>
            </w:tcBorders>
            <w:vAlign w:val="center"/>
          </w:tcPr>
          <w:p w14:paraId="68D01911"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b/>
              </w:rPr>
            </w:pPr>
            <w:r w:rsidRPr="00E95233">
              <w:rPr>
                <w:b/>
                <w:lang w:eastAsia="en-US"/>
              </w:rPr>
              <w:t>Details of the person discharging managerial responsibilities/person closely associated</w:t>
            </w:r>
          </w:p>
        </w:tc>
      </w:tr>
      <w:tr w:rsidR="0067041C" w:rsidRPr="00E95233" w14:paraId="08CD86E5"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50F213F9"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71F51CC2"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635D2E7E" w14:textId="77777777" w:rsidR="0067041C" w:rsidRPr="00E95233" w:rsidRDefault="003C0C45" w:rsidP="00625DFF">
            <w:pPr>
              <w:widowControl w:val="0"/>
              <w:kinsoku w:val="0"/>
              <w:overflowPunct w:val="0"/>
              <w:autoSpaceDE w:val="0"/>
              <w:autoSpaceDN w:val="0"/>
              <w:adjustRightInd w:val="0"/>
              <w:spacing w:before="60" w:after="60"/>
              <w:ind w:left="154"/>
              <w:rPr>
                <w:rFonts w:eastAsiaTheme="minorEastAsia" w:cs="Arial"/>
              </w:rPr>
            </w:pPr>
            <w:r>
              <w:rPr>
                <w:rFonts w:eastAsiaTheme="minorEastAsia" w:cs="Arial"/>
              </w:rPr>
              <w:t>Eric Hathon</w:t>
            </w:r>
          </w:p>
        </w:tc>
      </w:tr>
      <w:tr w:rsidR="0067041C" w:rsidRPr="00E95233" w14:paraId="2C031541"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4FBCC0FA"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2</w:t>
            </w:r>
          </w:p>
        </w:tc>
        <w:tc>
          <w:tcPr>
            <w:tcW w:w="8705" w:type="dxa"/>
            <w:gridSpan w:val="2"/>
            <w:tcBorders>
              <w:top w:val="single" w:sz="4" w:space="0" w:color="000000"/>
              <w:left w:val="single" w:sz="4" w:space="0" w:color="000000"/>
              <w:bottom w:val="single" w:sz="4" w:space="0" w:color="000000"/>
              <w:right w:val="nil"/>
            </w:tcBorders>
            <w:vAlign w:val="center"/>
          </w:tcPr>
          <w:p w14:paraId="17442318"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Reason for the notification</w:t>
            </w:r>
          </w:p>
        </w:tc>
      </w:tr>
      <w:tr w:rsidR="0067041C" w:rsidRPr="00E95233" w14:paraId="31BDC873"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0D5327AC"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4A25A8C8"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Position/status</w:t>
            </w:r>
          </w:p>
        </w:tc>
        <w:tc>
          <w:tcPr>
            <w:tcW w:w="6530" w:type="dxa"/>
            <w:tcBorders>
              <w:top w:val="single" w:sz="4" w:space="0" w:color="000000"/>
              <w:left w:val="single" w:sz="4" w:space="0" w:color="000000"/>
              <w:bottom w:val="single" w:sz="4" w:space="0" w:color="000000"/>
              <w:right w:val="nil"/>
            </w:tcBorders>
            <w:vAlign w:val="center"/>
          </w:tcPr>
          <w:p w14:paraId="21C8DC72"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Director of Exploration</w:t>
            </w:r>
          </w:p>
        </w:tc>
      </w:tr>
      <w:tr w:rsidR="0067041C" w:rsidRPr="00E95233" w14:paraId="40784C26"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58BF9EBF"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4A39DD5A" w14:textId="77777777" w:rsidR="0067041C" w:rsidRPr="00E95233" w:rsidRDefault="0067041C" w:rsidP="00625DFF">
            <w:pPr>
              <w:widowControl w:val="0"/>
              <w:kinsoku w:val="0"/>
              <w:overflowPunct w:val="0"/>
              <w:autoSpaceDE w:val="0"/>
              <w:autoSpaceDN w:val="0"/>
              <w:adjustRightInd w:val="0"/>
              <w:spacing w:before="60" w:after="60"/>
              <w:ind w:left="84" w:right="662"/>
              <w:rPr>
                <w:rFonts w:eastAsiaTheme="minorEastAsia" w:cs="Arial"/>
              </w:rPr>
            </w:pPr>
            <w:r w:rsidRPr="00E95233">
              <w:rPr>
                <w:rFonts w:eastAsiaTheme="minorEastAsia" w:cs="Arial"/>
              </w:rPr>
              <w:t>Initial</w:t>
            </w:r>
            <w:r w:rsidRPr="00E95233">
              <w:rPr>
                <w:rFonts w:eastAsiaTheme="minorEastAsia" w:cs="Arial"/>
                <w:spacing w:val="-15"/>
              </w:rPr>
              <w:t xml:space="preserve"> </w:t>
            </w:r>
            <w:r w:rsidRPr="00E95233">
              <w:rPr>
                <w:rFonts w:eastAsiaTheme="minorEastAsia" w:cs="Arial"/>
              </w:rPr>
              <w:t>notification/ Amendment</w:t>
            </w:r>
          </w:p>
        </w:tc>
        <w:tc>
          <w:tcPr>
            <w:tcW w:w="6530" w:type="dxa"/>
            <w:tcBorders>
              <w:top w:val="single" w:sz="4" w:space="0" w:color="000000"/>
              <w:left w:val="single" w:sz="4" w:space="0" w:color="000000"/>
              <w:bottom w:val="single" w:sz="4" w:space="0" w:color="000000"/>
              <w:right w:val="nil"/>
            </w:tcBorders>
            <w:vAlign w:val="center"/>
          </w:tcPr>
          <w:p w14:paraId="28EDA8FA"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Initial Notification</w:t>
            </w:r>
          </w:p>
        </w:tc>
      </w:tr>
      <w:tr w:rsidR="0067041C" w:rsidRPr="00E95233" w14:paraId="764DAD09"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620E12A9"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3</w:t>
            </w:r>
          </w:p>
        </w:tc>
        <w:tc>
          <w:tcPr>
            <w:tcW w:w="8705" w:type="dxa"/>
            <w:gridSpan w:val="2"/>
            <w:tcBorders>
              <w:top w:val="single" w:sz="4" w:space="0" w:color="000000"/>
              <w:left w:val="single" w:sz="4" w:space="0" w:color="000000"/>
              <w:bottom w:val="single" w:sz="4" w:space="0" w:color="000000"/>
              <w:right w:val="nil"/>
            </w:tcBorders>
            <w:vAlign w:val="center"/>
          </w:tcPr>
          <w:p w14:paraId="50EEDAD3"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Details of the issuer, emission allowance market participant, auction platform, auctioneer or auction monitor</w:t>
            </w:r>
          </w:p>
        </w:tc>
      </w:tr>
      <w:tr w:rsidR="0067041C" w:rsidRPr="00E95233" w14:paraId="3571CC1D"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CF4310D"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5F0A8016"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30E0A6F5"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Cairn Energy PLC</w:t>
            </w:r>
          </w:p>
        </w:tc>
      </w:tr>
      <w:tr w:rsidR="0067041C" w:rsidRPr="00E95233" w14:paraId="20E1D2CB"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69B03678"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282693CE"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LEI</w:t>
            </w:r>
          </w:p>
        </w:tc>
        <w:tc>
          <w:tcPr>
            <w:tcW w:w="6530" w:type="dxa"/>
            <w:tcBorders>
              <w:top w:val="single" w:sz="4" w:space="0" w:color="000000"/>
              <w:left w:val="single" w:sz="4" w:space="0" w:color="000000"/>
              <w:bottom w:val="single" w:sz="4" w:space="0" w:color="000000"/>
              <w:right w:val="nil"/>
            </w:tcBorders>
            <w:vAlign w:val="center"/>
          </w:tcPr>
          <w:p w14:paraId="6B010320" w14:textId="77777777" w:rsidR="0067041C" w:rsidRPr="00E95233" w:rsidRDefault="0067041C" w:rsidP="00625DFF">
            <w:pPr>
              <w:ind w:left="154"/>
              <w:jc w:val="both"/>
              <w:rPr>
                <w:rFonts w:cs="Arial"/>
                <w:sz w:val="16"/>
                <w:szCs w:val="16"/>
                <w:lang w:val="en-US"/>
              </w:rPr>
            </w:pPr>
            <w:r w:rsidRPr="00E95233">
              <w:rPr>
                <w:rFonts w:eastAsia="Arial Unicode MS" w:cs="Arial" w:hint="eastAsia"/>
                <w:lang w:val="en-US"/>
              </w:rPr>
              <w:t>213800ZJEUQ8ZOC9AL24</w:t>
            </w:r>
          </w:p>
        </w:tc>
      </w:tr>
      <w:tr w:rsidR="0067041C" w:rsidRPr="00E95233" w14:paraId="0503A83E"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12608C71"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4</w:t>
            </w:r>
          </w:p>
        </w:tc>
        <w:tc>
          <w:tcPr>
            <w:tcW w:w="8705" w:type="dxa"/>
            <w:gridSpan w:val="2"/>
            <w:tcBorders>
              <w:top w:val="single" w:sz="4" w:space="0" w:color="000000"/>
              <w:left w:val="single" w:sz="4" w:space="0" w:color="000000"/>
              <w:bottom w:val="single" w:sz="4" w:space="0" w:color="000000"/>
              <w:right w:val="nil"/>
            </w:tcBorders>
            <w:vAlign w:val="center"/>
          </w:tcPr>
          <w:p w14:paraId="1CF88499"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Details of the transaction(s): section to be repeated for (i) each type of instrument; (ii) each type of transaction; (iii) each date; and (iv) each place where transactions have been conducted</w:t>
            </w:r>
          </w:p>
        </w:tc>
      </w:tr>
      <w:tr w:rsidR="0067041C" w:rsidRPr="00E95233" w14:paraId="5B744747" w14:textId="77777777" w:rsidTr="00625DFF">
        <w:trPr>
          <w:cantSplit/>
          <w:trHeight w:val="1002"/>
        </w:trPr>
        <w:tc>
          <w:tcPr>
            <w:tcW w:w="506" w:type="dxa"/>
            <w:vMerge w:val="restart"/>
            <w:tcBorders>
              <w:top w:val="single" w:sz="4" w:space="0" w:color="000000"/>
              <w:left w:val="nil"/>
              <w:right w:val="single" w:sz="4" w:space="0" w:color="000000"/>
            </w:tcBorders>
            <w:vAlign w:val="center"/>
          </w:tcPr>
          <w:p w14:paraId="785A1103"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right w:val="single" w:sz="4" w:space="0" w:color="000000"/>
            </w:tcBorders>
            <w:vAlign w:val="center"/>
          </w:tcPr>
          <w:p w14:paraId="324B8CA9"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Description of the financial instrument, type of instrument</w:t>
            </w:r>
          </w:p>
        </w:tc>
        <w:tc>
          <w:tcPr>
            <w:tcW w:w="6530" w:type="dxa"/>
            <w:tcBorders>
              <w:top w:val="single" w:sz="4" w:space="0" w:color="000000"/>
              <w:left w:val="single" w:sz="4" w:space="0" w:color="000000"/>
              <w:right w:val="nil"/>
            </w:tcBorders>
            <w:vAlign w:val="center"/>
          </w:tcPr>
          <w:p w14:paraId="176010E1" w14:textId="4EE1C8FB" w:rsidR="0067041C" w:rsidRPr="00E95233" w:rsidRDefault="0067041C" w:rsidP="00625DFF">
            <w:pPr>
              <w:widowControl w:val="0"/>
              <w:tabs>
                <w:tab w:val="left" w:pos="724"/>
              </w:tabs>
              <w:kinsoku w:val="0"/>
              <w:overflowPunct w:val="0"/>
              <w:autoSpaceDE w:val="0"/>
              <w:autoSpaceDN w:val="0"/>
              <w:adjustRightInd w:val="0"/>
              <w:spacing w:before="60" w:after="60"/>
              <w:ind w:left="153"/>
              <w:rPr>
                <w:rFonts w:eastAsiaTheme="minorEastAsia" w:cs="Arial"/>
              </w:rPr>
            </w:pPr>
            <w:r w:rsidRPr="00E95233">
              <w:rPr>
                <w:rFonts w:eastAsiaTheme="minorEastAsia" w:cs="Arial"/>
              </w:rPr>
              <w:t xml:space="preserve">Ordinary shares of </w:t>
            </w:r>
            <w:r>
              <w:rPr>
                <w:rFonts w:eastAsiaTheme="minorEastAsia" w:cs="Arial"/>
              </w:rPr>
              <w:t>21/1</w:t>
            </w:r>
            <w:r w:rsidR="00E4210C">
              <w:rPr>
                <w:rFonts w:eastAsiaTheme="minorEastAsia" w:cs="Arial"/>
              </w:rPr>
              <w:t>3</w:t>
            </w:r>
            <w:r>
              <w:rPr>
                <w:rFonts w:eastAsiaTheme="minorEastAsia" w:cs="Arial"/>
              </w:rPr>
              <w:t xml:space="preserve"> </w:t>
            </w:r>
            <w:r w:rsidRPr="00E95233">
              <w:rPr>
                <w:rFonts w:eastAsiaTheme="minorEastAsia" w:cs="Arial"/>
                <w:szCs w:val="24"/>
              </w:rPr>
              <w:t xml:space="preserve">pence each </w:t>
            </w:r>
          </w:p>
        </w:tc>
      </w:tr>
      <w:tr w:rsidR="0067041C" w:rsidRPr="00E95233" w14:paraId="63933A02" w14:textId="77777777" w:rsidTr="00625DFF">
        <w:trPr>
          <w:cantSplit/>
          <w:trHeight w:hRule="exact" w:val="680"/>
        </w:trPr>
        <w:tc>
          <w:tcPr>
            <w:tcW w:w="506" w:type="dxa"/>
            <w:vMerge/>
            <w:tcBorders>
              <w:left w:val="nil"/>
              <w:bottom w:val="single" w:sz="4" w:space="0" w:color="000000"/>
              <w:right w:val="single" w:sz="4" w:space="0" w:color="000000"/>
            </w:tcBorders>
            <w:vAlign w:val="center"/>
          </w:tcPr>
          <w:p w14:paraId="16DF49D5"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p>
        </w:tc>
        <w:tc>
          <w:tcPr>
            <w:tcW w:w="2175" w:type="dxa"/>
            <w:tcBorders>
              <w:left w:val="single" w:sz="4" w:space="0" w:color="000000"/>
              <w:bottom w:val="single" w:sz="4" w:space="0" w:color="000000"/>
              <w:right w:val="single" w:sz="4" w:space="0" w:color="000000"/>
            </w:tcBorders>
            <w:vAlign w:val="center"/>
          </w:tcPr>
          <w:p w14:paraId="0F203E75"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Identification</w:t>
            </w:r>
            <w:r w:rsidRPr="00E95233">
              <w:rPr>
                <w:rFonts w:eastAsiaTheme="minorEastAsia" w:cs="Arial"/>
                <w:spacing w:val="-23"/>
              </w:rPr>
              <w:t xml:space="preserve"> </w:t>
            </w:r>
            <w:r w:rsidRPr="00E95233">
              <w:rPr>
                <w:rFonts w:eastAsiaTheme="minorEastAsia" w:cs="Arial"/>
              </w:rPr>
              <w:t>code</w:t>
            </w:r>
          </w:p>
        </w:tc>
        <w:tc>
          <w:tcPr>
            <w:tcW w:w="6530" w:type="dxa"/>
            <w:tcBorders>
              <w:left w:val="single" w:sz="4" w:space="0" w:color="000000"/>
              <w:bottom w:val="single" w:sz="4" w:space="0" w:color="000000"/>
              <w:right w:val="nil"/>
            </w:tcBorders>
            <w:vAlign w:val="center"/>
          </w:tcPr>
          <w:p w14:paraId="6308CC51" w14:textId="7D844300" w:rsidR="0067041C" w:rsidRPr="00E95233" w:rsidRDefault="00E4210C" w:rsidP="00625DFF">
            <w:pPr>
              <w:widowControl w:val="0"/>
              <w:tabs>
                <w:tab w:val="left" w:pos="724"/>
              </w:tabs>
              <w:kinsoku w:val="0"/>
              <w:overflowPunct w:val="0"/>
              <w:autoSpaceDE w:val="0"/>
              <w:autoSpaceDN w:val="0"/>
              <w:adjustRightInd w:val="0"/>
              <w:spacing w:before="60" w:after="60"/>
              <w:ind w:left="154"/>
              <w:rPr>
                <w:rFonts w:eastAsiaTheme="minorEastAsia" w:cs="Arial"/>
              </w:rPr>
            </w:pPr>
            <w:r>
              <w:rPr>
                <w:rFonts w:cs="Arial"/>
                <w:color w:val="000000"/>
              </w:rPr>
              <w:t>GB00BN0SMB92</w:t>
            </w:r>
          </w:p>
        </w:tc>
      </w:tr>
      <w:tr w:rsidR="0067041C" w:rsidRPr="00E95233" w14:paraId="15A5EF78" w14:textId="77777777" w:rsidTr="00625DFF">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14:paraId="22253EDD"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09E9597D"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Nature of the</w:t>
            </w:r>
            <w:r w:rsidRPr="00E95233">
              <w:rPr>
                <w:rFonts w:eastAsiaTheme="minorEastAsia" w:cs="Arial"/>
                <w:spacing w:val="24"/>
              </w:rPr>
              <w:t xml:space="preserve"> </w:t>
            </w:r>
            <w:r w:rsidRPr="00E95233">
              <w:rPr>
                <w:rFonts w:eastAsiaTheme="minorEastAsia" w:cs="Arial"/>
              </w:rPr>
              <w:t>transaction</w:t>
            </w:r>
          </w:p>
        </w:tc>
        <w:tc>
          <w:tcPr>
            <w:tcW w:w="6530" w:type="dxa"/>
            <w:tcBorders>
              <w:top w:val="single" w:sz="4" w:space="0" w:color="000000"/>
              <w:left w:val="single" w:sz="4" w:space="0" w:color="000000"/>
              <w:bottom w:val="single" w:sz="4" w:space="0" w:color="000000"/>
              <w:right w:val="nil"/>
            </w:tcBorders>
            <w:vAlign w:val="center"/>
          </w:tcPr>
          <w:p w14:paraId="581AC289"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Partnership shares purchased under the Company’s all-employee Share Incentive Plan (2010)</w:t>
            </w:r>
            <w:r w:rsidR="001A5EDF">
              <w:rPr>
                <w:rFonts w:eastAsiaTheme="minorEastAsia" w:cs="Arial"/>
              </w:rPr>
              <w:t>.</w:t>
            </w:r>
          </w:p>
        </w:tc>
      </w:tr>
      <w:tr w:rsidR="0067041C" w:rsidRPr="00E95233" w14:paraId="29E69486" w14:textId="77777777" w:rsidTr="00625DFF">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14:paraId="19E07F13"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c)</w:t>
            </w:r>
          </w:p>
        </w:tc>
        <w:tc>
          <w:tcPr>
            <w:tcW w:w="2175" w:type="dxa"/>
            <w:tcBorders>
              <w:top w:val="single" w:sz="4" w:space="0" w:color="000000"/>
              <w:left w:val="single" w:sz="4" w:space="0" w:color="000000"/>
              <w:bottom w:val="single" w:sz="4" w:space="0" w:color="000000"/>
              <w:right w:val="single" w:sz="4" w:space="0" w:color="000000"/>
            </w:tcBorders>
            <w:vAlign w:val="center"/>
          </w:tcPr>
          <w:p w14:paraId="5477C362"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1"/>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67041C" w:rsidRPr="00E95233" w14:paraId="071216A3" w14:textId="77777777" w:rsidTr="00625DFF">
              <w:tc>
                <w:tcPr>
                  <w:tcW w:w="3255" w:type="dxa"/>
                  <w:vAlign w:val="center"/>
                </w:tcPr>
                <w:p w14:paraId="118F6B62"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Price(s)</w:t>
                  </w:r>
                </w:p>
              </w:tc>
              <w:tc>
                <w:tcPr>
                  <w:tcW w:w="3255" w:type="dxa"/>
                  <w:vAlign w:val="center"/>
                </w:tcPr>
                <w:p w14:paraId="46174DD7"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Volume(s)</w:t>
                  </w:r>
                </w:p>
              </w:tc>
            </w:tr>
            <w:tr w:rsidR="0067041C" w:rsidRPr="00E95233" w14:paraId="720B61F5" w14:textId="77777777" w:rsidTr="00625DFF">
              <w:tc>
                <w:tcPr>
                  <w:tcW w:w="3255" w:type="dxa"/>
                  <w:vAlign w:val="center"/>
                </w:tcPr>
                <w:p w14:paraId="5BFB2369" w14:textId="5CEF8656" w:rsidR="0067041C" w:rsidRPr="00E95233" w:rsidRDefault="009D01B4" w:rsidP="003C0C45">
                  <w:pPr>
                    <w:widowControl w:val="0"/>
                    <w:kinsoku w:val="0"/>
                    <w:overflowPunct w:val="0"/>
                    <w:autoSpaceDE w:val="0"/>
                    <w:autoSpaceDN w:val="0"/>
                    <w:adjustRightInd w:val="0"/>
                    <w:spacing w:before="60" w:after="60"/>
                    <w:jc w:val="center"/>
                    <w:rPr>
                      <w:rFonts w:eastAsiaTheme="minorEastAsia" w:cs="Arial"/>
                    </w:rPr>
                  </w:pPr>
                  <w:r>
                    <w:rPr>
                      <w:rFonts w:eastAsiaTheme="minorEastAsia" w:cs="Arial"/>
                    </w:rPr>
                    <w:t>£</w:t>
                  </w:r>
                  <w:r w:rsidR="008C3D5B">
                    <w:rPr>
                      <w:rFonts w:eastAsiaTheme="minorEastAsia" w:cs="Arial"/>
                    </w:rPr>
                    <w:t>1.</w:t>
                  </w:r>
                  <w:r w:rsidR="00E4210C">
                    <w:rPr>
                      <w:rFonts w:eastAsiaTheme="minorEastAsia" w:cs="Arial"/>
                    </w:rPr>
                    <w:t>734</w:t>
                  </w:r>
                </w:p>
              </w:tc>
              <w:tc>
                <w:tcPr>
                  <w:tcW w:w="3255" w:type="dxa"/>
                  <w:vAlign w:val="center"/>
                </w:tcPr>
                <w:p w14:paraId="4C8A55D3" w14:textId="2E2957BB" w:rsidR="0067041C" w:rsidRPr="00E95233" w:rsidRDefault="008C3D5B" w:rsidP="00567BB7">
                  <w:pPr>
                    <w:widowControl w:val="0"/>
                    <w:kinsoku w:val="0"/>
                    <w:overflowPunct w:val="0"/>
                    <w:autoSpaceDE w:val="0"/>
                    <w:autoSpaceDN w:val="0"/>
                    <w:adjustRightInd w:val="0"/>
                    <w:spacing w:before="60" w:after="60"/>
                    <w:jc w:val="center"/>
                    <w:rPr>
                      <w:rFonts w:eastAsiaTheme="minorEastAsia" w:cs="Arial"/>
                    </w:rPr>
                  </w:pPr>
                  <w:r>
                    <w:rPr>
                      <w:rFonts w:eastAsiaTheme="minorEastAsia" w:cs="Arial"/>
                    </w:rPr>
                    <w:t>1,</w:t>
                  </w:r>
                  <w:r w:rsidR="00E4210C">
                    <w:rPr>
                      <w:rFonts w:eastAsiaTheme="minorEastAsia" w:cs="Arial"/>
                    </w:rPr>
                    <w:t>038</w:t>
                  </w:r>
                </w:p>
              </w:tc>
            </w:tr>
          </w:tbl>
          <w:p w14:paraId="39B9D9D5"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tc>
      </w:tr>
      <w:tr w:rsidR="0067041C" w:rsidRPr="00E95233" w14:paraId="0414C903" w14:textId="77777777" w:rsidTr="00625DFF">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14:paraId="0DDCB1D9"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lastRenderedPageBreak/>
              <w:t>d)</w:t>
            </w:r>
          </w:p>
        </w:tc>
        <w:tc>
          <w:tcPr>
            <w:tcW w:w="2175" w:type="dxa"/>
            <w:tcBorders>
              <w:top w:val="single" w:sz="4" w:space="0" w:color="000000"/>
              <w:left w:val="single" w:sz="4" w:space="0" w:color="000000"/>
              <w:bottom w:val="single" w:sz="4" w:space="0" w:color="000000"/>
              <w:right w:val="single" w:sz="4" w:space="0" w:color="000000"/>
            </w:tcBorders>
            <w:vAlign w:val="center"/>
          </w:tcPr>
          <w:p w14:paraId="669F8B26"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Aggregated information</w:t>
            </w:r>
          </w:p>
          <w:p w14:paraId="11AA2F49" w14:textId="77777777" w:rsidR="0067041C" w:rsidRPr="00E95233" w:rsidRDefault="0067041C" w:rsidP="0067041C">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Aggregated volume</w:t>
            </w:r>
          </w:p>
          <w:p w14:paraId="48E4CE5F" w14:textId="77777777" w:rsidR="0067041C" w:rsidRPr="00E95233" w:rsidRDefault="0067041C" w:rsidP="0067041C">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Price</w:t>
            </w:r>
          </w:p>
        </w:tc>
        <w:tc>
          <w:tcPr>
            <w:tcW w:w="6530" w:type="dxa"/>
            <w:tcBorders>
              <w:top w:val="single" w:sz="4" w:space="0" w:color="000000"/>
              <w:left w:val="single" w:sz="4" w:space="0" w:color="000000"/>
              <w:bottom w:val="single" w:sz="4" w:space="0" w:color="000000"/>
              <w:right w:val="nil"/>
            </w:tcBorders>
          </w:tcPr>
          <w:p w14:paraId="0CCDFDF6"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55948BF9"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3ECAC5D8"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Not applicable</w:t>
            </w:r>
          </w:p>
        </w:tc>
      </w:tr>
      <w:tr w:rsidR="0067041C" w:rsidRPr="00E95233" w14:paraId="712813B7"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2C702DE4"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e)</w:t>
            </w:r>
          </w:p>
        </w:tc>
        <w:tc>
          <w:tcPr>
            <w:tcW w:w="2175" w:type="dxa"/>
            <w:tcBorders>
              <w:top w:val="single" w:sz="4" w:space="0" w:color="000000"/>
              <w:left w:val="single" w:sz="4" w:space="0" w:color="000000"/>
              <w:bottom w:val="single" w:sz="4" w:space="0" w:color="000000"/>
              <w:right w:val="single" w:sz="4" w:space="0" w:color="000000"/>
            </w:tcBorders>
            <w:vAlign w:val="center"/>
          </w:tcPr>
          <w:p w14:paraId="669D4756"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Date of the transaction</w:t>
            </w:r>
          </w:p>
        </w:tc>
        <w:tc>
          <w:tcPr>
            <w:tcW w:w="6530" w:type="dxa"/>
            <w:tcBorders>
              <w:top w:val="single" w:sz="4" w:space="0" w:color="000000"/>
              <w:left w:val="single" w:sz="4" w:space="0" w:color="000000"/>
              <w:bottom w:val="single" w:sz="4" w:space="0" w:color="000000"/>
              <w:right w:val="nil"/>
            </w:tcBorders>
            <w:vAlign w:val="center"/>
          </w:tcPr>
          <w:p w14:paraId="3AC6A155" w14:textId="43771A09" w:rsidR="0067041C" w:rsidRPr="00E95233" w:rsidRDefault="00E4210C" w:rsidP="0026042B">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2021</w:t>
            </w:r>
            <w:r w:rsidR="00DD60E9">
              <w:rPr>
                <w:rFonts w:eastAsiaTheme="minorEastAsia" w:cs="Arial"/>
              </w:rPr>
              <w:t>-05-</w:t>
            </w:r>
            <w:r w:rsidR="0026042B">
              <w:rPr>
                <w:rFonts w:eastAsiaTheme="minorEastAsia" w:cs="Arial"/>
              </w:rPr>
              <w:t>0</w:t>
            </w:r>
            <w:r>
              <w:rPr>
                <w:rFonts w:eastAsiaTheme="minorEastAsia" w:cs="Arial"/>
              </w:rPr>
              <w:t>6</w:t>
            </w:r>
          </w:p>
        </w:tc>
      </w:tr>
      <w:tr w:rsidR="0067041C" w:rsidRPr="00E95233" w14:paraId="118843B3" w14:textId="77777777" w:rsidTr="00625DFF">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14:paraId="29894B84"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f)</w:t>
            </w:r>
          </w:p>
        </w:tc>
        <w:tc>
          <w:tcPr>
            <w:tcW w:w="2175" w:type="dxa"/>
            <w:tcBorders>
              <w:top w:val="single" w:sz="4" w:space="0" w:color="000000"/>
              <w:left w:val="single" w:sz="4" w:space="0" w:color="000000"/>
              <w:bottom w:val="single" w:sz="4" w:space="0" w:color="000000"/>
              <w:right w:val="single" w:sz="4" w:space="0" w:color="000000"/>
            </w:tcBorders>
            <w:vAlign w:val="center"/>
          </w:tcPr>
          <w:p w14:paraId="1322E07F"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Place of the transaction</w:t>
            </w:r>
          </w:p>
        </w:tc>
        <w:tc>
          <w:tcPr>
            <w:tcW w:w="6530" w:type="dxa"/>
            <w:tcBorders>
              <w:top w:val="single" w:sz="4" w:space="0" w:color="000000"/>
              <w:left w:val="single" w:sz="4" w:space="0" w:color="000000"/>
              <w:bottom w:val="single" w:sz="4" w:space="0" w:color="000000"/>
              <w:right w:val="nil"/>
            </w:tcBorders>
            <w:vAlign w:val="center"/>
          </w:tcPr>
          <w:p w14:paraId="3C0B1DF0"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London Stock Exchange</w:t>
            </w:r>
          </w:p>
        </w:tc>
      </w:tr>
      <w:tr w:rsidR="0067041C" w:rsidRPr="00E95233" w14:paraId="651C194F"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3399F6C1"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4</w:t>
            </w:r>
          </w:p>
        </w:tc>
        <w:tc>
          <w:tcPr>
            <w:tcW w:w="8705" w:type="dxa"/>
            <w:gridSpan w:val="2"/>
            <w:tcBorders>
              <w:top w:val="single" w:sz="4" w:space="0" w:color="000000"/>
              <w:left w:val="single" w:sz="4" w:space="0" w:color="000000"/>
              <w:bottom w:val="single" w:sz="4" w:space="0" w:color="000000"/>
              <w:right w:val="nil"/>
            </w:tcBorders>
            <w:vAlign w:val="center"/>
          </w:tcPr>
          <w:p w14:paraId="349C23F4"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Details of the transaction(s): section to be repeated for (i) each type of instrument; (ii) each type of transaction; (iii) each date; and (iv) each place where transactions have been conducted</w:t>
            </w:r>
          </w:p>
        </w:tc>
      </w:tr>
      <w:tr w:rsidR="0067041C" w:rsidRPr="00E95233" w14:paraId="202884E7" w14:textId="77777777" w:rsidTr="00625DFF">
        <w:trPr>
          <w:cantSplit/>
          <w:trHeight w:val="1002"/>
        </w:trPr>
        <w:tc>
          <w:tcPr>
            <w:tcW w:w="506" w:type="dxa"/>
            <w:vMerge w:val="restart"/>
            <w:tcBorders>
              <w:top w:val="single" w:sz="4" w:space="0" w:color="000000"/>
              <w:left w:val="nil"/>
              <w:right w:val="single" w:sz="4" w:space="0" w:color="000000"/>
            </w:tcBorders>
            <w:vAlign w:val="center"/>
          </w:tcPr>
          <w:p w14:paraId="0203EB75"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right w:val="single" w:sz="4" w:space="0" w:color="000000"/>
            </w:tcBorders>
            <w:vAlign w:val="center"/>
          </w:tcPr>
          <w:p w14:paraId="6B6C8F5D"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Description of the financial instrument, type of instrument</w:t>
            </w:r>
          </w:p>
        </w:tc>
        <w:tc>
          <w:tcPr>
            <w:tcW w:w="6530" w:type="dxa"/>
            <w:tcBorders>
              <w:top w:val="single" w:sz="4" w:space="0" w:color="000000"/>
              <w:left w:val="single" w:sz="4" w:space="0" w:color="000000"/>
              <w:right w:val="nil"/>
            </w:tcBorders>
            <w:vAlign w:val="center"/>
          </w:tcPr>
          <w:p w14:paraId="3EC4D4E7" w14:textId="46E82E02" w:rsidR="0067041C" w:rsidRPr="00E95233" w:rsidRDefault="0067041C" w:rsidP="00625DFF">
            <w:pPr>
              <w:widowControl w:val="0"/>
              <w:tabs>
                <w:tab w:val="left" w:pos="724"/>
              </w:tabs>
              <w:kinsoku w:val="0"/>
              <w:overflowPunct w:val="0"/>
              <w:autoSpaceDE w:val="0"/>
              <w:autoSpaceDN w:val="0"/>
              <w:adjustRightInd w:val="0"/>
              <w:spacing w:before="60" w:after="60"/>
              <w:ind w:left="153"/>
              <w:rPr>
                <w:rFonts w:eastAsiaTheme="minorEastAsia" w:cs="Arial"/>
              </w:rPr>
            </w:pPr>
            <w:r w:rsidRPr="00E95233">
              <w:rPr>
                <w:rFonts w:eastAsiaTheme="minorEastAsia" w:cs="Arial"/>
              </w:rPr>
              <w:t xml:space="preserve">Ordinary shares of </w:t>
            </w:r>
            <w:r>
              <w:rPr>
                <w:rFonts w:eastAsiaTheme="minorEastAsia" w:cs="Arial"/>
              </w:rPr>
              <w:t>21/1</w:t>
            </w:r>
            <w:r w:rsidR="00E4210C">
              <w:rPr>
                <w:rFonts w:eastAsiaTheme="minorEastAsia" w:cs="Arial"/>
              </w:rPr>
              <w:t>3</w:t>
            </w:r>
            <w:r>
              <w:rPr>
                <w:rFonts w:eastAsiaTheme="minorEastAsia" w:cs="Arial"/>
              </w:rPr>
              <w:t xml:space="preserve"> </w:t>
            </w:r>
            <w:r w:rsidRPr="00E95233">
              <w:rPr>
                <w:rFonts w:eastAsiaTheme="minorEastAsia" w:cs="Arial"/>
                <w:szCs w:val="24"/>
              </w:rPr>
              <w:t xml:space="preserve">pence each </w:t>
            </w:r>
          </w:p>
        </w:tc>
      </w:tr>
      <w:tr w:rsidR="0067041C" w:rsidRPr="00E95233" w14:paraId="5D130919" w14:textId="77777777" w:rsidTr="00625DFF">
        <w:trPr>
          <w:cantSplit/>
          <w:trHeight w:hRule="exact" w:val="680"/>
        </w:trPr>
        <w:tc>
          <w:tcPr>
            <w:tcW w:w="506" w:type="dxa"/>
            <w:vMerge/>
            <w:tcBorders>
              <w:left w:val="nil"/>
              <w:bottom w:val="single" w:sz="4" w:space="0" w:color="000000"/>
              <w:right w:val="single" w:sz="4" w:space="0" w:color="000000"/>
            </w:tcBorders>
            <w:vAlign w:val="center"/>
          </w:tcPr>
          <w:p w14:paraId="4D7F435F"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p>
        </w:tc>
        <w:tc>
          <w:tcPr>
            <w:tcW w:w="2175" w:type="dxa"/>
            <w:tcBorders>
              <w:left w:val="single" w:sz="4" w:space="0" w:color="000000"/>
              <w:bottom w:val="single" w:sz="4" w:space="0" w:color="000000"/>
              <w:right w:val="single" w:sz="4" w:space="0" w:color="000000"/>
            </w:tcBorders>
            <w:vAlign w:val="center"/>
          </w:tcPr>
          <w:p w14:paraId="264868DB"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Identification</w:t>
            </w:r>
            <w:r w:rsidRPr="00E95233">
              <w:rPr>
                <w:rFonts w:eastAsiaTheme="minorEastAsia" w:cs="Arial"/>
                <w:spacing w:val="-23"/>
              </w:rPr>
              <w:t xml:space="preserve"> </w:t>
            </w:r>
            <w:r w:rsidRPr="00E95233">
              <w:rPr>
                <w:rFonts w:eastAsiaTheme="minorEastAsia" w:cs="Arial"/>
              </w:rPr>
              <w:t>code</w:t>
            </w:r>
          </w:p>
        </w:tc>
        <w:tc>
          <w:tcPr>
            <w:tcW w:w="6530" w:type="dxa"/>
            <w:tcBorders>
              <w:left w:val="single" w:sz="4" w:space="0" w:color="000000"/>
              <w:bottom w:val="single" w:sz="4" w:space="0" w:color="000000"/>
              <w:right w:val="nil"/>
            </w:tcBorders>
            <w:vAlign w:val="center"/>
          </w:tcPr>
          <w:p w14:paraId="42EB6F20" w14:textId="3458D4E3" w:rsidR="0067041C" w:rsidRPr="00E95233" w:rsidRDefault="00E4210C" w:rsidP="00625DFF">
            <w:pPr>
              <w:widowControl w:val="0"/>
              <w:tabs>
                <w:tab w:val="left" w:pos="724"/>
              </w:tabs>
              <w:kinsoku w:val="0"/>
              <w:overflowPunct w:val="0"/>
              <w:autoSpaceDE w:val="0"/>
              <w:autoSpaceDN w:val="0"/>
              <w:adjustRightInd w:val="0"/>
              <w:spacing w:before="60" w:after="60"/>
              <w:ind w:left="154"/>
              <w:rPr>
                <w:rFonts w:eastAsiaTheme="minorEastAsia" w:cs="Arial"/>
              </w:rPr>
            </w:pPr>
            <w:r>
              <w:rPr>
                <w:rFonts w:cs="Arial"/>
                <w:color w:val="000000"/>
              </w:rPr>
              <w:t>GB00BN0SMB92</w:t>
            </w:r>
          </w:p>
        </w:tc>
      </w:tr>
      <w:tr w:rsidR="0067041C" w:rsidRPr="00E95233" w14:paraId="70A3CCC4" w14:textId="77777777" w:rsidTr="00625DFF">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14:paraId="3E50E231"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40025109"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Nature of the</w:t>
            </w:r>
            <w:r w:rsidRPr="00E95233">
              <w:rPr>
                <w:rFonts w:eastAsiaTheme="minorEastAsia" w:cs="Arial"/>
                <w:spacing w:val="24"/>
              </w:rPr>
              <w:t xml:space="preserve"> </w:t>
            </w:r>
            <w:r w:rsidRPr="00E95233">
              <w:rPr>
                <w:rFonts w:eastAsiaTheme="minorEastAsia" w:cs="Arial"/>
              </w:rPr>
              <w:t>transaction</w:t>
            </w:r>
          </w:p>
        </w:tc>
        <w:tc>
          <w:tcPr>
            <w:tcW w:w="6530" w:type="dxa"/>
            <w:tcBorders>
              <w:top w:val="single" w:sz="4" w:space="0" w:color="000000"/>
              <w:left w:val="single" w:sz="4" w:space="0" w:color="000000"/>
              <w:bottom w:val="single" w:sz="4" w:space="0" w:color="000000"/>
              <w:right w:val="nil"/>
            </w:tcBorders>
            <w:vAlign w:val="center"/>
          </w:tcPr>
          <w:p w14:paraId="33EB9AF1" w14:textId="77777777" w:rsidR="0067041C" w:rsidRPr="00E95233" w:rsidRDefault="001A5EDF" w:rsidP="00625DFF">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Matching shares awarded under the Company’s all-employee Share Incentive Plan (2010) on the basis of two free matching shares for every one partnership share purchased.</w:t>
            </w:r>
          </w:p>
        </w:tc>
      </w:tr>
      <w:tr w:rsidR="0067041C" w:rsidRPr="00E95233" w14:paraId="759A1D03" w14:textId="77777777" w:rsidTr="00625DFF">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14:paraId="56F36467"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c)</w:t>
            </w:r>
          </w:p>
        </w:tc>
        <w:tc>
          <w:tcPr>
            <w:tcW w:w="2175" w:type="dxa"/>
            <w:tcBorders>
              <w:top w:val="single" w:sz="4" w:space="0" w:color="000000"/>
              <w:left w:val="single" w:sz="4" w:space="0" w:color="000000"/>
              <w:bottom w:val="single" w:sz="4" w:space="0" w:color="000000"/>
              <w:right w:val="single" w:sz="4" w:space="0" w:color="000000"/>
            </w:tcBorders>
            <w:vAlign w:val="center"/>
          </w:tcPr>
          <w:p w14:paraId="525F9E28"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1"/>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67041C" w:rsidRPr="00E95233" w14:paraId="01E0A054" w14:textId="77777777" w:rsidTr="00625DFF">
              <w:tc>
                <w:tcPr>
                  <w:tcW w:w="3255" w:type="dxa"/>
                  <w:vAlign w:val="center"/>
                </w:tcPr>
                <w:p w14:paraId="39433D19"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Price(s)</w:t>
                  </w:r>
                </w:p>
              </w:tc>
              <w:tc>
                <w:tcPr>
                  <w:tcW w:w="3255" w:type="dxa"/>
                  <w:vAlign w:val="center"/>
                </w:tcPr>
                <w:p w14:paraId="638BB661"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Volume(s)</w:t>
                  </w:r>
                </w:p>
              </w:tc>
            </w:tr>
            <w:tr w:rsidR="0067041C" w:rsidRPr="00E95233" w14:paraId="77321C8B" w14:textId="77777777" w:rsidTr="00625DFF">
              <w:tc>
                <w:tcPr>
                  <w:tcW w:w="3255" w:type="dxa"/>
                  <w:vAlign w:val="center"/>
                </w:tcPr>
                <w:p w14:paraId="21735803"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rPr>
                  </w:pPr>
                  <w:r w:rsidRPr="00E95233">
                    <w:rPr>
                      <w:rFonts w:eastAsiaTheme="minorEastAsia" w:cs="Arial"/>
                    </w:rPr>
                    <w:t>£0</w:t>
                  </w:r>
                  <w:r w:rsidR="00784E8D">
                    <w:rPr>
                      <w:rFonts w:eastAsiaTheme="minorEastAsia" w:cs="Arial"/>
                    </w:rPr>
                    <w:t>.00</w:t>
                  </w:r>
                </w:p>
              </w:tc>
              <w:tc>
                <w:tcPr>
                  <w:tcW w:w="3255" w:type="dxa"/>
                  <w:vAlign w:val="center"/>
                </w:tcPr>
                <w:p w14:paraId="610425FC" w14:textId="1CC0DD55" w:rsidR="0067041C" w:rsidRPr="00E95233" w:rsidRDefault="008C3D5B" w:rsidP="00625DFF">
                  <w:pPr>
                    <w:widowControl w:val="0"/>
                    <w:kinsoku w:val="0"/>
                    <w:overflowPunct w:val="0"/>
                    <w:autoSpaceDE w:val="0"/>
                    <w:autoSpaceDN w:val="0"/>
                    <w:adjustRightInd w:val="0"/>
                    <w:spacing w:before="60" w:after="60"/>
                    <w:jc w:val="center"/>
                    <w:rPr>
                      <w:rFonts w:eastAsiaTheme="minorEastAsia" w:cs="Arial"/>
                    </w:rPr>
                  </w:pPr>
                  <w:r>
                    <w:rPr>
                      <w:rFonts w:eastAsiaTheme="minorEastAsia" w:cs="Arial"/>
                    </w:rPr>
                    <w:t>2,</w:t>
                  </w:r>
                  <w:r w:rsidR="00E4210C">
                    <w:rPr>
                      <w:rFonts w:eastAsiaTheme="minorEastAsia" w:cs="Arial"/>
                    </w:rPr>
                    <w:t>076</w:t>
                  </w:r>
                </w:p>
              </w:tc>
            </w:tr>
          </w:tbl>
          <w:p w14:paraId="587E0531"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tc>
      </w:tr>
      <w:tr w:rsidR="0067041C" w:rsidRPr="00E95233" w14:paraId="130A46B6" w14:textId="77777777" w:rsidTr="00625DFF">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14:paraId="3457F1BA"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d)</w:t>
            </w:r>
          </w:p>
        </w:tc>
        <w:tc>
          <w:tcPr>
            <w:tcW w:w="2175" w:type="dxa"/>
            <w:tcBorders>
              <w:top w:val="single" w:sz="4" w:space="0" w:color="000000"/>
              <w:left w:val="single" w:sz="4" w:space="0" w:color="000000"/>
              <w:bottom w:val="single" w:sz="4" w:space="0" w:color="000000"/>
              <w:right w:val="single" w:sz="4" w:space="0" w:color="000000"/>
            </w:tcBorders>
            <w:vAlign w:val="center"/>
          </w:tcPr>
          <w:p w14:paraId="2CE14D4E"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Aggregated information</w:t>
            </w:r>
          </w:p>
          <w:p w14:paraId="5A5F6FEB" w14:textId="77777777" w:rsidR="0067041C" w:rsidRPr="00E95233" w:rsidRDefault="0067041C" w:rsidP="00625DFF">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Aggregated volume</w:t>
            </w:r>
          </w:p>
          <w:p w14:paraId="1A556842" w14:textId="77777777" w:rsidR="0067041C" w:rsidRPr="00E95233" w:rsidRDefault="0067041C" w:rsidP="00625DFF">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Price</w:t>
            </w:r>
          </w:p>
        </w:tc>
        <w:tc>
          <w:tcPr>
            <w:tcW w:w="6530" w:type="dxa"/>
            <w:tcBorders>
              <w:top w:val="single" w:sz="4" w:space="0" w:color="000000"/>
              <w:left w:val="single" w:sz="4" w:space="0" w:color="000000"/>
              <w:bottom w:val="single" w:sz="4" w:space="0" w:color="000000"/>
              <w:right w:val="nil"/>
            </w:tcBorders>
          </w:tcPr>
          <w:p w14:paraId="598D764E"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23006F5F"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62BD4B9A"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Not applicable</w:t>
            </w:r>
          </w:p>
        </w:tc>
      </w:tr>
      <w:tr w:rsidR="0067041C" w:rsidRPr="00E95233" w14:paraId="0EAAD379"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0C477FF3"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e)</w:t>
            </w:r>
          </w:p>
        </w:tc>
        <w:tc>
          <w:tcPr>
            <w:tcW w:w="2175" w:type="dxa"/>
            <w:tcBorders>
              <w:top w:val="single" w:sz="4" w:space="0" w:color="000000"/>
              <w:left w:val="single" w:sz="4" w:space="0" w:color="000000"/>
              <w:bottom w:val="single" w:sz="4" w:space="0" w:color="000000"/>
              <w:right w:val="single" w:sz="4" w:space="0" w:color="000000"/>
            </w:tcBorders>
            <w:vAlign w:val="center"/>
          </w:tcPr>
          <w:p w14:paraId="2E0439DC"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Date of the transaction</w:t>
            </w:r>
          </w:p>
        </w:tc>
        <w:tc>
          <w:tcPr>
            <w:tcW w:w="6530" w:type="dxa"/>
            <w:tcBorders>
              <w:top w:val="single" w:sz="4" w:space="0" w:color="000000"/>
              <w:left w:val="single" w:sz="4" w:space="0" w:color="000000"/>
              <w:bottom w:val="single" w:sz="4" w:space="0" w:color="000000"/>
              <w:right w:val="nil"/>
            </w:tcBorders>
            <w:vAlign w:val="center"/>
          </w:tcPr>
          <w:p w14:paraId="732C89AE" w14:textId="71D62CB2" w:rsidR="0067041C" w:rsidRPr="00E95233" w:rsidRDefault="00E4210C" w:rsidP="0026042B">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2021</w:t>
            </w:r>
            <w:r w:rsidR="00DD60E9">
              <w:rPr>
                <w:rFonts w:eastAsiaTheme="minorEastAsia" w:cs="Arial"/>
              </w:rPr>
              <w:t>-05-</w:t>
            </w:r>
            <w:r w:rsidR="0026042B">
              <w:rPr>
                <w:rFonts w:eastAsiaTheme="minorEastAsia" w:cs="Arial"/>
              </w:rPr>
              <w:t>0</w:t>
            </w:r>
            <w:r>
              <w:rPr>
                <w:rFonts w:eastAsiaTheme="minorEastAsia" w:cs="Arial"/>
              </w:rPr>
              <w:t>6</w:t>
            </w:r>
          </w:p>
        </w:tc>
      </w:tr>
      <w:tr w:rsidR="0067041C" w:rsidRPr="00E95233" w14:paraId="56F66D16" w14:textId="77777777" w:rsidTr="00625DFF">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14:paraId="4A7F74CA"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f)</w:t>
            </w:r>
          </w:p>
        </w:tc>
        <w:tc>
          <w:tcPr>
            <w:tcW w:w="2175" w:type="dxa"/>
            <w:tcBorders>
              <w:top w:val="single" w:sz="4" w:space="0" w:color="000000"/>
              <w:left w:val="single" w:sz="4" w:space="0" w:color="000000"/>
              <w:bottom w:val="single" w:sz="4" w:space="0" w:color="000000"/>
              <w:right w:val="single" w:sz="4" w:space="0" w:color="000000"/>
            </w:tcBorders>
            <w:vAlign w:val="center"/>
          </w:tcPr>
          <w:p w14:paraId="16B04D31"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Place of the transaction</w:t>
            </w:r>
          </w:p>
        </w:tc>
        <w:tc>
          <w:tcPr>
            <w:tcW w:w="6530" w:type="dxa"/>
            <w:tcBorders>
              <w:top w:val="single" w:sz="4" w:space="0" w:color="000000"/>
              <w:left w:val="single" w:sz="4" w:space="0" w:color="000000"/>
              <w:bottom w:val="single" w:sz="4" w:space="0" w:color="000000"/>
              <w:right w:val="nil"/>
            </w:tcBorders>
            <w:vAlign w:val="center"/>
          </w:tcPr>
          <w:p w14:paraId="048E022F"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London Stock Exchange</w:t>
            </w:r>
          </w:p>
        </w:tc>
      </w:tr>
    </w:tbl>
    <w:p w14:paraId="46C3BEAE" w14:textId="77777777" w:rsidR="0067041C" w:rsidRPr="00E95233" w:rsidRDefault="0067041C" w:rsidP="0067041C"/>
    <w:p w14:paraId="5E77034F" w14:textId="77777777" w:rsidR="0067041C" w:rsidRPr="00E95233" w:rsidRDefault="0067041C" w:rsidP="0067041C"/>
    <w:tbl>
      <w:tblPr>
        <w:tblW w:w="9211" w:type="dxa"/>
        <w:tblLayout w:type="fixed"/>
        <w:tblCellMar>
          <w:left w:w="0" w:type="dxa"/>
          <w:right w:w="0" w:type="dxa"/>
        </w:tblCellMar>
        <w:tblLook w:val="0000" w:firstRow="0" w:lastRow="0" w:firstColumn="0" w:lastColumn="0" w:noHBand="0" w:noVBand="0"/>
      </w:tblPr>
      <w:tblGrid>
        <w:gridCol w:w="506"/>
        <w:gridCol w:w="2175"/>
        <w:gridCol w:w="6530"/>
      </w:tblGrid>
      <w:tr w:rsidR="0067041C" w:rsidRPr="00E95233" w14:paraId="57C91EDA"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16C6CF55"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1</w:t>
            </w:r>
          </w:p>
        </w:tc>
        <w:tc>
          <w:tcPr>
            <w:tcW w:w="8705" w:type="dxa"/>
            <w:gridSpan w:val="2"/>
            <w:tcBorders>
              <w:top w:val="single" w:sz="4" w:space="0" w:color="000000"/>
              <w:left w:val="single" w:sz="4" w:space="0" w:color="000000"/>
              <w:bottom w:val="single" w:sz="4" w:space="0" w:color="000000"/>
              <w:right w:val="nil"/>
            </w:tcBorders>
            <w:vAlign w:val="center"/>
          </w:tcPr>
          <w:p w14:paraId="640CBD5A"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b/>
              </w:rPr>
            </w:pPr>
            <w:r w:rsidRPr="00E95233">
              <w:rPr>
                <w:b/>
                <w:lang w:eastAsia="en-US"/>
              </w:rPr>
              <w:t>Details of the person discharging managerial responsibilities/person closely associated</w:t>
            </w:r>
          </w:p>
        </w:tc>
      </w:tr>
      <w:tr w:rsidR="0067041C" w:rsidRPr="00E95233" w14:paraId="0A7CB4CA"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59B18662"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lastRenderedPageBreak/>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0A7D3ABE"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01433609"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Paul Mayland</w:t>
            </w:r>
          </w:p>
        </w:tc>
      </w:tr>
      <w:tr w:rsidR="0067041C" w:rsidRPr="00E95233" w14:paraId="5B1A00C3"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6D3061BA"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2</w:t>
            </w:r>
          </w:p>
        </w:tc>
        <w:tc>
          <w:tcPr>
            <w:tcW w:w="8705" w:type="dxa"/>
            <w:gridSpan w:val="2"/>
            <w:tcBorders>
              <w:top w:val="single" w:sz="4" w:space="0" w:color="000000"/>
              <w:left w:val="single" w:sz="4" w:space="0" w:color="000000"/>
              <w:bottom w:val="single" w:sz="4" w:space="0" w:color="000000"/>
              <w:right w:val="nil"/>
            </w:tcBorders>
            <w:vAlign w:val="center"/>
          </w:tcPr>
          <w:p w14:paraId="742218B0"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Reason for the notification</w:t>
            </w:r>
          </w:p>
        </w:tc>
      </w:tr>
      <w:tr w:rsidR="0067041C" w:rsidRPr="00E95233" w14:paraId="661E553D"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0F9C172E"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7231E71F"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Position/status</w:t>
            </w:r>
          </w:p>
        </w:tc>
        <w:tc>
          <w:tcPr>
            <w:tcW w:w="6530" w:type="dxa"/>
            <w:tcBorders>
              <w:top w:val="single" w:sz="4" w:space="0" w:color="000000"/>
              <w:left w:val="single" w:sz="4" w:space="0" w:color="000000"/>
              <w:bottom w:val="single" w:sz="4" w:space="0" w:color="000000"/>
              <w:right w:val="nil"/>
            </w:tcBorders>
            <w:vAlign w:val="center"/>
          </w:tcPr>
          <w:p w14:paraId="7F7C7EED"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Chief Operating Officer</w:t>
            </w:r>
          </w:p>
        </w:tc>
      </w:tr>
      <w:tr w:rsidR="0067041C" w:rsidRPr="00E95233" w14:paraId="221B16A4"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34B8EAD7"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3516003D" w14:textId="77777777" w:rsidR="0067041C" w:rsidRPr="00E95233" w:rsidRDefault="0067041C" w:rsidP="00625DFF">
            <w:pPr>
              <w:widowControl w:val="0"/>
              <w:kinsoku w:val="0"/>
              <w:overflowPunct w:val="0"/>
              <w:autoSpaceDE w:val="0"/>
              <w:autoSpaceDN w:val="0"/>
              <w:adjustRightInd w:val="0"/>
              <w:spacing w:before="60" w:after="60"/>
              <w:ind w:left="84" w:right="662"/>
              <w:rPr>
                <w:rFonts w:eastAsiaTheme="minorEastAsia" w:cs="Arial"/>
              </w:rPr>
            </w:pPr>
            <w:r w:rsidRPr="00E95233">
              <w:rPr>
                <w:rFonts w:eastAsiaTheme="minorEastAsia" w:cs="Arial"/>
              </w:rPr>
              <w:t>Initial</w:t>
            </w:r>
            <w:r w:rsidRPr="00E95233">
              <w:rPr>
                <w:rFonts w:eastAsiaTheme="minorEastAsia" w:cs="Arial"/>
                <w:spacing w:val="-15"/>
              </w:rPr>
              <w:t xml:space="preserve"> </w:t>
            </w:r>
            <w:r w:rsidRPr="00E95233">
              <w:rPr>
                <w:rFonts w:eastAsiaTheme="minorEastAsia" w:cs="Arial"/>
              </w:rPr>
              <w:t>notification/ Amendment</w:t>
            </w:r>
          </w:p>
        </w:tc>
        <w:tc>
          <w:tcPr>
            <w:tcW w:w="6530" w:type="dxa"/>
            <w:tcBorders>
              <w:top w:val="single" w:sz="4" w:space="0" w:color="000000"/>
              <w:left w:val="single" w:sz="4" w:space="0" w:color="000000"/>
              <w:bottom w:val="single" w:sz="4" w:space="0" w:color="000000"/>
              <w:right w:val="nil"/>
            </w:tcBorders>
            <w:vAlign w:val="center"/>
          </w:tcPr>
          <w:p w14:paraId="2813FE9A"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Initial Notification</w:t>
            </w:r>
          </w:p>
        </w:tc>
      </w:tr>
      <w:tr w:rsidR="0067041C" w:rsidRPr="00E95233" w14:paraId="58DF67A6"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04404A01"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3</w:t>
            </w:r>
          </w:p>
        </w:tc>
        <w:tc>
          <w:tcPr>
            <w:tcW w:w="8705" w:type="dxa"/>
            <w:gridSpan w:val="2"/>
            <w:tcBorders>
              <w:top w:val="single" w:sz="4" w:space="0" w:color="000000"/>
              <w:left w:val="single" w:sz="4" w:space="0" w:color="000000"/>
              <w:bottom w:val="single" w:sz="4" w:space="0" w:color="000000"/>
              <w:right w:val="nil"/>
            </w:tcBorders>
            <w:vAlign w:val="center"/>
          </w:tcPr>
          <w:p w14:paraId="3163B339"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Details of the issuer, emission allowance market participant, auction platform, auctioneer or auction monitor</w:t>
            </w:r>
          </w:p>
        </w:tc>
      </w:tr>
      <w:tr w:rsidR="0067041C" w:rsidRPr="00E95233" w14:paraId="11D4B0CF"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0D983242"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bottom w:val="single" w:sz="4" w:space="0" w:color="000000"/>
              <w:right w:val="single" w:sz="4" w:space="0" w:color="000000"/>
            </w:tcBorders>
            <w:vAlign w:val="center"/>
          </w:tcPr>
          <w:p w14:paraId="22CCD77C"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Name</w:t>
            </w:r>
          </w:p>
        </w:tc>
        <w:tc>
          <w:tcPr>
            <w:tcW w:w="6530" w:type="dxa"/>
            <w:tcBorders>
              <w:top w:val="single" w:sz="4" w:space="0" w:color="000000"/>
              <w:left w:val="single" w:sz="4" w:space="0" w:color="000000"/>
              <w:bottom w:val="single" w:sz="4" w:space="0" w:color="000000"/>
              <w:right w:val="nil"/>
            </w:tcBorders>
            <w:vAlign w:val="center"/>
          </w:tcPr>
          <w:p w14:paraId="27736ACB" w14:textId="77777777" w:rsidR="0067041C" w:rsidRPr="00E95233" w:rsidRDefault="0067041C" w:rsidP="00625DFF">
            <w:pPr>
              <w:widowControl w:val="0"/>
              <w:kinsoku w:val="0"/>
              <w:overflowPunct w:val="0"/>
              <w:autoSpaceDE w:val="0"/>
              <w:autoSpaceDN w:val="0"/>
              <w:adjustRightInd w:val="0"/>
              <w:spacing w:before="60" w:after="60"/>
              <w:ind w:left="154"/>
              <w:rPr>
                <w:rFonts w:eastAsiaTheme="minorEastAsia" w:cs="Arial"/>
              </w:rPr>
            </w:pPr>
            <w:r w:rsidRPr="00E95233">
              <w:rPr>
                <w:rFonts w:eastAsiaTheme="minorEastAsia" w:cs="Arial"/>
              </w:rPr>
              <w:t>Cairn Energy PLC</w:t>
            </w:r>
          </w:p>
        </w:tc>
      </w:tr>
      <w:tr w:rsidR="0067041C" w:rsidRPr="00E95233" w14:paraId="3A18D9FC"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278FBE7B"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508B40E3"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LEI</w:t>
            </w:r>
          </w:p>
        </w:tc>
        <w:tc>
          <w:tcPr>
            <w:tcW w:w="6530" w:type="dxa"/>
            <w:tcBorders>
              <w:top w:val="single" w:sz="4" w:space="0" w:color="000000"/>
              <w:left w:val="single" w:sz="4" w:space="0" w:color="000000"/>
              <w:bottom w:val="single" w:sz="4" w:space="0" w:color="000000"/>
              <w:right w:val="nil"/>
            </w:tcBorders>
            <w:vAlign w:val="center"/>
          </w:tcPr>
          <w:p w14:paraId="094513E4" w14:textId="77777777" w:rsidR="0067041C" w:rsidRPr="00E95233" w:rsidRDefault="0067041C" w:rsidP="00625DFF">
            <w:pPr>
              <w:ind w:left="154"/>
              <w:jc w:val="both"/>
              <w:rPr>
                <w:rFonts w:cs="Arial"/>
                <w:sz w:val="16"/>
                <w:szCs w:val="16"/>
                <w:lang w:val="en-US"/>
              </w:rPr>
            </w:pPr>
            <w:r w:rsidRPr="00E95233">
              <w:rPr>
                <w:rFonts w:eastAsia="Arial Unicode MS" w:cs="Arial" w:hint="eastAsia"/>
                <w:lang w:val="en-US"/>
              </w:rPr>
              <w:t>213800ZJEUQ8ZOC9AL24</w:t>
            </w:r>
          </w:p>
        </w:tc>
      </w:tr>
      <w:tr w:rsidR="0067041C" w:rsidRPr="00E95233" w14:paraId="285E7E17"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666F6F50"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4</w:t>
            </w:r>
          </w:p>
        </w:tc>
        <w:tc>
          <w:tcPr>
            <w:tcW w:w="8705" w:type="dxa"/>
            <w:gridSpan w:val="2"/>
            <w:tcBorders>
              <w:top w:val="single" w:sz="4" w:space="0" w:color="000000"/>
              <w:left w:val="single" w:sz="4" w:space="0" w:color="000000"/>
              <w:bottom w:val="single" w:sz="4" w:space="0" w:color="000000"/>
              <w:right w:val="nil"/>
            </w:tcBorders>
            <w:vAlign w:val="center"/>
          </w:tcPr>
          <w:p w14:paraId="5C0E36F0"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Details of the transaction(s): section to be repeated for (i) each type of instrument; (ii) each type of transaction; (iii) each date; and (iv) each place where transactions have been conducted</w:t>
            </w:r>
          </w:p>
        </w:tc>
      </w:tr>
      <w:tr w:rsidR="0067041C" w:rsidRPr="00E95233" w14:paraId="54C1DD94" w14:textId="77777777" w:rsidTr="00625DFF">
        <w:trPr>
          <w:cantSplit/>
          <w:trHeight w:val="1002"/>
        </w:trPr>
        <w:tc>
          <w:tcPr>
            <w:tcW w:w="506" w:type="dxa"/>
            <w:vMerge w:val="restart"/>
            <w:tcBorders>
              <w:top w:val="single" w:sz="4" w:space="0" w:color="000000"/>
              <w:left w:val="nil"/>
              <w:right w:val="single" w:sz="4" w:space="0" w:color="000000"/>
            </w:tcBorders>
            <w:vAlign w:val="center"/>
          </w:tcPr>
          <w:p w14:paraId="4C17F738"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right w:val="single" w:sz="4" w:space="0" w:color="000000"/>
            </w:tcBorders>
            <w:vAlign w:val="center"/>
          </w:tcPr>
          <w:p w14:paraId="4E740865"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Description of the financial instrument, type of instrument</w:t>
            </w:r>
          </w:p>
        </w:tc>
        <w:tc>
          <w:tcPr>
            <w:tcW w:w="6530" w:type="dxa"/>
            <w:tcBorders>
              <w:top w:val="single" w:sz="4" w:space="0" w:color="000000"/>
              <w:left w:val="single" w:sz="4" w:space="0" w:color="000000"/>
              <w:right w:val="nil"/>
            </w:tcBorders>
            <w:vAlign w:val="center"/>
          </w:tcPr>
          <w:p w14:paraId="5472D77E" w14:textId="2ABFB110" w:rsidR="0067041C" w:rsidRPr="00E95233" w:rsidRDefault="0067041C" w:rsidP="00625DFF">
            <w:pPr>
              <w:widowControl w:val="0"/>
              <w:tabs>
                <w:tab w:val="left" w:pos="724"/>
              </w:tabs>
              <w:kinsoku w:val="0"/>
              <w:overflowPunct w:val="0"/>
              <w:autoSpaceDE w:val="0"/>
              <w:autoSpaceDN w:val="0"/>
              <w:adjustRightInd w:val="0"/>
              <w:spacing w:before="60" w:after="60"/>
              <w:ind w:left="153"/>
              <w:rPr>
                <w:rFonts w:eastAsiaTheme="minorEastAsia" w:cs="Arial"/>
              </w:rPr>
            </w:pPr>
            <w:r w:rsidRPr="00E95233">
              <w:rPr>
                <w:rFonts w:eastAsiaTheme="minorEastAsia" w:cs="Arial"/>
              </w:rPr>
              <w:t xml:space="preserve">Ordinary shares of </w:t>
            </w:r>
            <w:r>
              <w:rPr>
                <w:rFonts w:eastAsiaTheme="minorEastAsia" w:cs="Arial"/>
              </w:rPr>
              <w:t>21/1</w:t>
            </w:r>
            <w:r w:rsidR="00E4210C">
              <w:rPr>
                <w:rFonts w:eastAsiaTheme="minorEastAsia" w:cs="Arial"/>
              </w:rPr>
              <w:t>3</w:t>
            </w:r>
            <w:r>
              <w:rPr>
                <w:rFonts w:eastAsiaTheme="minorEastAsia" w:cs="Arial"/>
              </w:rPr>
              <w:t xml:space="preserve"> </w:t>
            </w:r>
            <w:r w:rsidRPr="00E95233">
              <w:rPr>
                <w:rFonts w:eastAsiaTheme="minorEastAsia" w:cs="Arial"/>
                <w:szCs w:val="24"/>
              </w:rPr>
              <w:t>pence each</w:t>
            </w:r>
          </w:p>
        </w:tc>
      </w:tr>
      <w:tr w:rsidR="0067041C" w:rsidRPr="00E95233" w14:paraId="127BED31" w14:textId="77777777" w:rsidTr="00625DFF">
        <w:trPr>
          <w:cantSplit/>
          <w:trHeight w:hRule="exact" w:val="680"/>
        </w:trPr>
        <w:tc>
          <w:tcPr>
            <w:tcW w:w="506" w:type="dxa"/>
            <w:vMerge/>
            <w:tcBorders>
              <w:left w:val="nil"/>
              <w:bottom w:val="single" w:sz="4" w:space="0" w:color="000000"/>
              <w:right w:val="single" w:sz="4" w:space="0" w:color="000000"/>
            </w:tcBorders>
            <w:vAlign w:val="center"/>
          </w:tcPr>
          <w:p w14:paraId="2C5E6AAE"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p>
        </w:tc>
        <w:tc>
          <w:tcPr>
            <w:tcW w:w="2175" w:type="dxa"/>
            <w:tcBorders>
              <w:left w:val="single" w:sz="4" w:space="0" w:color="000000"/>
              <w:bottom w:val="single" w:sz="4" w:space="0" w:color="000000"/>
              <w:right w:val="single" w:sz="4" w:space="0" w:color="000000"/>
            </w:tcBorders>
            <w:vAlign w:val="center"/>
          </w:tcPr>
          <w:p w14:paraId="3D2F6EFA"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Identification</w:t>
            </w:r>
            <w:r w:rsidRPr="00E95233">
              <w:rPr>
                <w:rFonts w:eastAsiaTheme="minorEastAsia" w:cs="Arial"/>
                <w:spacing w:val="-23"/>
              </w:rPr>
              <w:t xml:space="preserve"> </w:t>
            </w:r>
            <w:r w:rsidRPr="00E95233">
              <w:rPr>
                <w:rFonts w:eastAsiaTheme="minorEastAsia" w:cs="Arial"/>
              </w:rPr>
              <w:t>code</w:t>
            </w:r>
          </w:p>
        </w:tc>
        <w:tc>
          <w:tcPr>
            <w:tcW w:w="6530" w:type="dxa"/>
            <w:tcBorders>
              <w:left w:val="single" w:sz="4" w:space="0" w:color="000000"/>
              <w:bottom w:val="single" w:sz="4" w:space="0" w:color="000000"/>
              <w:right w:val="nil"/>
            </w:tcBorders>
            <w:vAlign w:val="center"/>
          </w:tcPr>
          <w:p w14:paraId="5FC13786" w14:textId="556B158D" w:rsidR="0067041C" w:rsidRPr="00E95233" w:rsidRDefault="00E4210C" w:rsidP="00625DFF">
            <w:pPr>
              <w:widowControl w:val="0"/>
              <w:tabs>
                <w:tab w:val="left" w:pos="724"/>
              </w:tabs>
              <w:kinsoku w:val="0"/>
              <w:overflowPunct w:val="0"/>
              <w:autoSpaceDE w:val="0"/>
              <w:autoSpaceDN w:val="0"/>
              <w:adjustRightInd w:val="0"/>
              <w:spacing w:before="60" w:after="60"/>
              <w:ind w:left="154"/>
              <w:rPr>
                <w:rFonts w:eastAsiaTheme="minorEastAsia" w:cs="Arial"/>
              </w:rPr>
            </w:pPr>
            <w:r>
              <w:rPr>
                <w:rFonts w:cs="Arial"/>
                <w:color w:val="000000"/>
              </w:rPr>
              <w:t>GB00BN0SMB92</w:t>
            </w:r>
          </w:p>
        </w:tc>
      </w:tr>
      <w:tr w:rsidR="0067041C" w:rsidRPr="00E95233" w14:paraId="425BB05C" w14:textId="77777777" w:rsidTr="00625DFF">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14:paraId="37473EA7"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433B5BF1"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Nature of the</w:t>
            </w:r>
            <w:r w:rsidRPr="00E95233">
              <w:rPr>
                <w:rFonts w:eastAsiaTheme="minorEastAsia" w:cs="Arial"/>
                <w:spacing w:val="24"/>
              </w:rPr>
              <w:t xml:space="preserve"> </w:t>
            </w:r>
            <w:r w:rsidRPr="00E95233">
              <w:rPr>
                <w:rFonts w:eastAsiaTheme="minorEastAsia" w:cs="Arial"/>
              </w:rPr>
              <w:t>transaction</w:t>
            </w:r>
          </w:p>
        </w:tc>
        <w:tc>
          <w:tcPr>
            <w:tcW w:w="6530" w:type="dxa"/>
            <w:tcBorders>
              <w:top w:val="single" w:sz="4" w:space="0" w:color="000000"/>
              <w:left w:val="single" w:sz="4" w:space="0" w:color="000000"/>
              <w:bottom w:val="single" w:sz="4" w:space="0" w:color="000000"/>
              <w:right w:val="nil"/>
            </w:tcBorders>
            <w:vAlign w:val="center"/>
          </w:tcPr>
          <w:p w14:paraId="57430D22"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Partnership shares purchased under the Company’s all-employee Share Incentive Plan (2010)</w:t>
            </w:r>
            <w:r w:rsidR="001A5EDF">
              <w:rPr>
                <w:rFonts w:eastAsiaTheme="minorEastAsia" w:cs="Arial"/>
              </w:rPr>
              <w:t>.</w:t>
            </w:r>
          </w:p>
        </w:tc>
      </w:tr>
      <w:tr w:rsidR="0067041C" w:rsidRPr="00E95233" w14:paraId="5B43A2C3" w14:textId="77777777" w:rsidTr="00625DFF">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14:paraId="52899F8C"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c)</w:t>
            </w:r>
          </w:p>
        </w:tc>
        <w:tc>
          <w:tcPr>
            <w:tcW w:w="2175" w:type="dxa"/>
            <w:tcBorders>
              <w:top w:val="single" w:sz="4" w:space="0" w:color="000000"/>
              <w:left w:val="single" w:sz="4" w:space="0" w:color="000000"/>
              <w:bottom w:val="single" w:sz="4" w:space="0" w:color="000000"/>
              <w:right w:val="single" w:sz="4" w:space="0" w:color="000000"/>
            </w:tcBorders>
            <w:vAlign w:val="center"/>
          </w:tcPr>
          <w:p w14:paraId="04BAADCE"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1"/>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67041C" w:rsidRPr="00E95233" w14:paraId="6DCF75E9" w14:textId="77777777" w:rsidTr="00625DFF">
              <w:tc>
                <w:tcPr>
                  <w:tcW w:w="3255" w:type="dxa"/>
                  <w:vAlign w:val="center"/>
                </w:tcPr>
                <w:p w14:paraId="08AA798D"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Price(s)</w:t>
                  </w:r>
                </w:p>
              </w:tc>
              <w:tc>
                <w:tcPr>
                  <w:tcW w:w="3255" w:type="dxa"/>
                  <w:vAlign w:val="center"/>
                </w:tcPr>
                <w:p w14:paraId="0F05D52A"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Volume(s)</w:t>
                  </w:r>
                </w:p>
              </w:tc>
            </w:tr>
            <w:tr w:rsidR="0067041C" w:rsidRPr="00E95233" w14:paraId="063B7609" w14:textId="77777777" w:rsidTr="00625DFF">
              <w:tc>
                <w:tcPr>
                  <w:tcW w:w="3255" w:type="dxa"/>
                  <w:vAlign w:val="center"/>
                </w:tcPr>
                <w:p w14:paraId="4AEB5AB0" w14:textId="0FC383CD" w:rsidR="0067041C" w:rsidRPr="00E95233" w:rsidRDefault="0067041C" w:rsidP="003C0C45">
                  <w:pPr>
                    <w:widowControl w:val="0"/>
                    <w:kinsoku w:val="0"/>
                    <w:overflowPunct w:val="0"/>
                    <w:autoSpaceDE w:val="0"/>
                    <w:autoSpaceDN w:val="0"/>
                    <w:adjustRightInd w:val="0"/>
                    <w:spacing w:before="60" w:after="60"/>
                    <w:jc w:val="center"/>
                    <w:rPr>
                      <w:rFonts w:eastAsiaTheme="minorEastAsia" w:cs="Arial"/>
                    </w:rPr>
                  </w:pPr>
                  <w:r w:rsidRPr="00E95233">
                    <w:rPr>
                      <w:rFonts w:eastAsiaTheme="minorEastAsia" w:cs="Arial"/>
                    </w:rPr>
                    <w:t>£</w:t>
                  </w:r>
                  <w:r w:rsidR="008C3D5B">
                    <w:rPr>
                      <w:rFonts w:eastAsiaTheme="minorEastAsia" w:cs="Arial"/>
                    </w:rPr>
                    <w:t>1.</w:t>
                  </w:r>
                  <w:r w:rsidR="00E4210C">
                    <w:rPr>
                      <w:rFonts w:eastAsiaTheme="minorEastAsia" w:cs="Arial"/>
                    </w:rPr>
                    <w:t>734</w:t>
                  </w:r>
                </w:p>
              </w:tc>
              <w:tc>
                <w:tcPr>
                  <w:tcW w:w="3255" w:type="dxa"/>
                  <w:vAlign w:val="center"/>
                </w:tcPr>
                <w:p w14:paraId="4202F345" w14:textId="5F1FA736" w:rsidR="0067041C" w:rsidRPr="00E95233" w:rsidRDefault="008C3D5B" w:rsidP="00625DFF">
                  <w:pPr>
                    <w:widowControl w:val="0"/>
                    <w:kinsoku w:val="0"/>
                    <w:overflowPunct w:val="0"/>
                    <w:autoSpaceDE w:val="0"/>
                    <w:autoSpaceDN w:val="0"/>
                    <w:adjustRightInd w:val="0"/>
                    <w:spacing w:before="60" w:after="60"/>
                    <w:jc w:val="center"/>
                    <w:rPr>
                      <w:rFonts w:eastAsiaTheme="minorEastAsia" w:cs="Arial"/>
                    </w:rPr>
                  </w:pPr>
                  <w:r>
                    <w:rPr>
                      <w:rFonts w:eastAsiaTheme="minorEastAsia" w:cs="Arial"/>
                    </w:rPr>
                    <w:t>1,</w:t>
                  </w:r>
                  <w:r w:rsidR="00E4210C">
                    <w:rPr>
                      <w:rFonts w:eastAsiaTheme="minorEastAsia" w:cs="Arial"/>
                    </w:rPr>
                    <w:t>038</w:t>
                  </w:r>
                </w:p>
              </w:tc>
            </w:tr>
          </w:tbl>
          <w:p w14:paraId="322BF430"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tc>
      </w:tr>
      <w:tr w:rsidR="0067041C" w:rsidRPr="00E95233" w14:paraId="139ABFA9" w14:textId="77777777" w:rsidTr="00625DFF">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14:paraId="4CC7FE10"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d)</w:t>
            </w:r>
          </w:p>
        </w:tc>
        <w:tc>
          <w:tcPr>
            <w:tcW w:w="2175" w:type="dxa"/>
            <w:tcBorders>
              <w:top w:val="single" w:sz="4" w:space="0" w:color="000000"/>
              <w:left w:val="single" w:sz="4" w:space="0" w:color="000000"/>
              <w:bottom w:val="single" w:sz="4" w:space="0" w:color="000000"/>
              <w:right w:val="single" w:sz="4" w:space="0" w:color="000000"/>
            </w:tcBorders>
            <w:vAlign w:val="center"/>
          </w:tcPr>
          <w:p w14:paraId="2F6A82E1"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Aggregated information</w:t>
            </w:r>
          </w:p>
          <w:p w14:paraId="242BCE20" w14:textId="77777777" w:rsidR="0067041C" w:rsidRPr="00E95233" w:rsidRDefault="0067041C" w:rsidP="0067041C">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Aggregated volume</w:t>
            </w:r>
          </w:p>
          <w:p w14:paraId="3F8F7A0A" w14:textId="77777777" w:rsidR="0067041C" w:rsidRPr="00E95233" w:rsidRDefault="0067041C" w:rsidP="0067041C">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Price</w:t>
            </w:r>
          </w:p>
        </w:tc>
        <w:tc>
          <w:tcPr>
            <w:tcW w:w="6530" w:type="dxa"/>
            <w:tcBorders>
              <w:top w:val="single" w:sz="4" w:space="0" w:color="000000"/>
              <w:left w:val="single" w:sz="4" w:space="0" w:color="000000"/>
              <w:bottom w:val="single" w:sz="4" w:space="0" w:color="000000"/>
              <w:right w:val="nil"/>
            </w:tcBorders>
          </w:tcPr>
          <w:p w14:paraId="7E49B85B"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6D327C62"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44DAA939"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Not applicable</w:t>
            </w:r>
          </w:p>
        </w:tc>
      </w:tr>
      <w:tr w:rsidR="0067041C" w:rsidRPr="00E95233" w14:paraId="155B214A"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32B7629A"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e)</w:t>
            </w:r>
          </w:p>
        </w:tc>
        <w:tc>
          <w:tcPr>
            <w:tcW w:w="2175" w:type="dxa"/>
            <w:tcBorders>
              <w:top w:val="single" w:sz="4" w:space="0" w:color="000000"/>
              <w:left w:val="single" w:sz="4" w:space="0" w:color="000000"/>
              <w:bottom w:val="single" w:sz="4" w:space="0" w:color="000000"/>
              <w:right w:val="single" w:sz="4" w:space="0" w:color="000000"/>
            </w:tcBorders>
            <w:vAlign w:val="center"/>
          </w:tcPr>
          <w:p w14:paraId="404E8E3A"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Date of the transaction</w:t>
            </w:r>
          </w:p>
        </w:tc>
        <w:tc>
          <w:tcPr>
            <w:tcW w:w="6530" w:type="dxa"/>
            <w:tcBorders>
              <w:top w:val="single" w:sz="4" w:space="0" w:color="000000"/>
              <w:left w:val="single" w:sz="4" w:space="0" w:color="000000"/>
              <w:bottom w:val="single" w:sz="4" w:space="0" w:color="000000"/>
              <w:right w:val="nil"/>
            </w:tcBorders>
            <w:vAlign w:val="center"/>
          </w:tcPr>
          <w:p w14:paraId="20B33092" w14:textId="5ACD81A7" w:rsidR="0067041C" w:rsidRPr="00E95233" w:rsidRDefault="00E4210C" w:rsidP="0026042B">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2021</w:t>
            </w:r>
            <w:r w:rsidR="00A62EAF">
              <w:rPr>
                <w:rFonts w:eastAsiaTheme="minorEastAsia" w:cs="Arial"/>
              </w:rPr>
              <w:t>-05-</w:t>
            </w:r>
            <w:r w:rsidR="0026042B">
              <w:rPr>
                <w:rFonts w:eastAsiaTheme="minorEastAsia" w:cs="Arial"/>
              </w:rPr>
              <w:t>0</w:t>
            </w:r>
            <w:r>
              <w:rPr>
                <w:rFonts w:eastAsiaTheme="minorEastAsia" w:cs="Arial"/>
              </w:rPr>
              <w:t>6</w:t>
            </w:r>
          </w:p>
        </w:tc>
      </w:tr>
      <w:tr w:rsidR="0067041C" w:rsidRPr="00E95233" w14:paraId="52372828" w14:textId="77777777" w:rsidTr="00625DFF">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14:paraId="6418DBF6"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lastRenderedPageBreak/>
              <w:t>f)</w:t>
            </w:r>
          </w:p>
        </w:tc>
        <w:tc>
          <w:tcPr>
            <w:tcW w:w="2175" w:type="dxa"/>
            <w:tcBorders>
              <w:top w:val="single" w:sz="4" w:space="0" w:color="000000"/>
              <w:left w:val="single" w:sz="4" w:space="0" w:color="000000"/>
              <w:bottom w:val="single" w:sz="4" w:space="0" w:color="000000"/>
              <w:right w:val="single" w:sz="4" w:space="0" w:color="000000"/>
            </w:tcBorders>
            <w:vAlign w:val="center"/>
          </w:tcPr>
          <w:p w14:paraId="28BB6288"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Place of the transaction</w:t>
            </w:r>
          </w:p>
        </w:tc>
        <w:tc>
          <w:tcPr>
            <w:tcW w:w="6530" w:type="dxa"/>
            <w:tcBorders>
              <w:top w:val="single" w:sz="4" w:space="0" w:color="000000"/>
              <w:left w:val="single" w:sz="4" w:space="0" w:color="000000"/>
              <w:bottom w:val="single" w:sz="4" w:space="0" w:color="000000"/>
              <w:right w:val="nil"/>
            </w:tcBorders>
            <w:vAlign w:val="center"/>
          </w:tcPr>
          <w:p w14:paraId="37BFC00B"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London Stock Exchange</w:t>
            </w:r>
          </w:p>
        </w:tc>
      </w:tr>
      <w:tr w:rsidR="0067041C" w:rsidRPr="00E95233" w14:paraId="2E4FAAB5" w14:textId="77777777" w:rsidTr="00625DFF">
        <w:trPr>
          <w:cantSplit/>
          <w:trHeight w:hRule="exact" w:val="868"/>
        </w:trPr>
        <w:tc>
          <w:tcPr>
            <w:tcW w:w="506" w:type="dxa"/>
            <w:tcBorders>
              <w:top w:val="single" w:sz="4" w:space="0" w:color="000000"/>
              <w:left w:val="nil"/>
              <w:bottom w:val="single" w:sz="4" w:space="0" w:color="000000"/>
              <w:right w:val="single" w:sz="4" w:space="0" w:color="000000"/>
            </w:tcBorders>
            <w:vAlign w:val="center"/>
          </w:tcPr>
          <w:p w14:paraId="290C6F48" w14:textId="77777777" w:rsidR="0067041C" w:rsidRPr="00E95233" w:rsidRDefault="0067041C" w:rsidP="00625DFF">
            <w:pPr>
              <w:widowControl w:val="0"/>
              <w:kinsoku w:val="0"/>
              <w:overflowPunct w:val="0"/>
              <w:autoSpaceDE w:val="0"/>
              <w:autoSpaceDN w:val="0"/>
              <w:adjustRightInd w:val="0"/>
              <w:spacing w:before="60" w:after="60"/>
              <w:ind w:left="156"/>
              <w:rPr>
                <w:rFonts w:eastAsiaTheme="minorEastAsia" w:cs="Arial"/>
              </w:rPr>
            </w:pPr>
            <w:r w:rsidRPr="00E95233">
              <w:rPr>
                <w:rFonts w:eastAsiaTheme="minorEastAsia" w:cs="Arial"/>
                <w:b/>
                <w:bCs/>
                <w:w w:val="110"/>
              </w:rPr>
              <w:t>4</w:t>
            </w:r>
          </w:p>
        </w:tc>
        <w:tc>
          <w:tcPr>
            <w:tcW w:w="8705" w:type="dxa"/>
            <w:gridSpan w:val="2"/>
            <w:tcBorders>
              <w:top w:val="single" w:sz="4" w:space="0" w:color="000000"/>
              <w:left w:val="single" w:sz="4" w:space="0" w:color="000000"/>
              <w:bottom w:val="single" w:sz="4" w:space="0" w:color="000000"/>
              <w:right w:val="nil"/>
            </w:tcBorders>
            <w:vAlign w:val="center"/>
          </w:tcPr>
          <w:p w14:paraId="5D15F472"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b/>
                <w:lang w:eastAsia="en-US"/>
              </w:rPr>
              <w:t>Details of the transaction(s): section to be repeated for (i) each type of instrument; (ii) each type of transaction; (iii) each date; and (iv) each place where transactions have been conducted</w:t>
            </w:r>
          </w:p>
        </w:tc>
      </w:tr>
      <w:tr w:rsidR="0067041C" w:rsidRPr="00E95233" w14:paraId="2ED20043" w14:textId="77777777" w:rsidTr="00625DFF">
        <w:trPr>
          <w:cantSplit/>
          <w:trHeight w:val="1002"/>
        </w:trPr>
        <w:tc>
          <w:tcPr>
            <w:tcW w:w="506" w:type="dxa"/>
            <w:vMerge w:val="restart"/>
            <w:tcBorders>
              <w:top w:val="single" w:sz="4" w:space="0" w:color="000000"/>
              <w:left w:val="nil"/>
              <w:right w:val="single" w:sz="4" w:space="0" w:color="000000"/>
            </w:tcBorders>
            <w:vAlign w:val="center"/>
          </w:tcPr>
          <w:p w14:paraId="4154ADCE"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r w:rsidRPr="00E95233">
              <w:rPr>
                <w:rFonts w:eastAsiaTheme="minorEastAsia" w:cs="Arial"/>
              </w:rPr>
              <w:t>a)</w:t>
            </w:r>
          </w:p>
        </w:tc>
        <w:tc>
          <w:tcPr>
            <w:tcW w:w="2175" w:type="dxa"/>
            <w:tcBorders>
              <w:top w:val="single" w:sz="4" w:space="0" w:color="000000"/>
              <w:left w:val="single" w:sz="4" w:space="0" w:color="000000"/>
              <w:right w:val="single" w:sz="4" w:space="0" w:color="000000"/>
            </w:tcBorders>
            <w:vAlign w:val="center"/>
          </w:tcPr>
          <w:p w14:paraId="689C9FAF"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Description of the financial instrument, type of instrument</w:t>
            </w:r>
          </w:p>
        </w:tc>
        <w:tc>
          <w:tcPr>
            <w:tcW w:w="6530" w:type="dxa"/>
            <w:tcBorders>
              <w:top w:val="single" w:sz="4" w:space="0" w:color="000000"/>
              <w:left w:val="single" w:sz="4" w:space="0" w:color="000000"/>
              <w:right w:val="nil"/>
            </w:tcBorders>
            <w:vAlign w:val="center"/>
          </w:tcPr>
          <w:p w14:paraId="5BA6F356" w14:textId="5439E0FC" w:rsidR="0067041C" w:rsidRPr="00E95233" w:rsidRDefault="0067041C" w:rsidP="00625DFF">
            <w:pPr>
              <w:widowControl w:val="0"/>
              <w:tabs>
                <w:tab w:val="left" w:pos="724"/>
              </w:tabs>
              <w:kinsoku w:val="0"/>
              <w:overflowPunct w:val="0"/>
              <w:autoSpaceDE w:val="0"/>
              <w:autoSpaceDN w:val="0"/>
              <w:adjustRightInd w:val="0"/>
              <w:spacing w:before="60" w:after="60"/>
              <w:ind w:left="153"/>
              <w:rPr>
                <w:rFonts w:eastAsiaTheme="minorEastAsia" w:cs="Arial"/>
              </w:rPr>
            </w:pPr>
            <w:r w:rsidRPr="00E95233">
              <w:rPr>
                <w:rFonts w:eastAsiaTheme="minorEastAsia" w:cs="Arial"/>
              </w:rPr>
              <w:t xml:space="preserve">Ordinary shares of </w:t>
            </w:r>
            <w:r>
              <w:rPr>
                <w:rFonts w:eastAsiaTheme="minorEastAsia" w:cs="Arial"/>
              </w:rPr>
              <w:t>21/1</w:t>
            </w:r>
            <w:r w:rsidR="0074397E">
              <w:rPr>
                <w:rFonts w:eastAsiaTheme="minorEastAsia" w:cs="Arial"/>
              </w:rPr>
              <w:t>3</w:t>
            </w:r>
            <w:r>
              <w:rPr>
                <w:rFonts w:eastAsiaTheme="minorEastAsia" w:cs="Arial"/>
              </w:rPr>
              <w:t xml:space="preserve"> </w:t>
            </w:r>
            <w:r w:rsidRPr="00E95233">
              <w:rPr>
                <w:rFonts w:eastAsiaTheme="minorEastAsia" w:cs="Arial"/>
                <w:szCs w:val="24"/>
              </w:rPr>
              <w:t xml:space="preserve">pence each </w:t>
            </w:r>
          </w:p>
        </w:tc>
      </w:tr>
      <w:tr w:rsidR="0067041C" w:rsidRPr="00E95233" w14:paraId="0C832F07" w14:textId="77777777" w:rsidTr="00625DFF">
        <w:trPr>
          <w:cantSplit/>
          <w:trHeight w:hRule="exact" w:val="680"/>
        </w:trPr>
        <w:tc>
          <w:tcPr>
            <w:tcW w:w="506" w:type="dxa"/>
            <w:vMerge/>
            <w:tcBorders>
              <w:left w:val="nil"/>
              <w:bottom w:val="single" w:sz="4" w:space="0" w:color="000000"/>
              <w:right w:val="single" w:sz="4" w:space="0" w:color="000000"/>
            </w:tcBorders>
            <w:vAlign w:val="center"/>
          </w:tcPr>
          <w:p w14:paraId="4960D1E5" w14:textId="77777777" w:rsidR="0067041C" w:rsidRPr="00E95233" w:rsidRDefault="0067041C" w:rsidP="00625DFF">
            <w:pPr>
              <w:widowControl w:val="0"/>
              <w:kinsoku w:val="0"/>
              <w:overflowPunct w:val="0"/>
              <w:autoSpaceDE w:val="0"/>
              <w:autoSpaceDN w:val="0"/>
              <w:adjustRightInd w:val="0"/>
              <w:spacing w:before="60" w:after="60"/>
              <w:ind w:left="141"/>
              <w:rPr>
                <w:rFonts w:eastAsiaTheme="minorEastAsia" w:cs="Arial"/>
              </w:rPr>
            </w:pPr>
          </w:p>
        </w:tc>
        <w:tc>
          <w:tcPr>
            <w:tcW w:w="2175" w:type="dxa"/>
            <w:tcBorders>
              <w:left w:val="single" w:sz="4" w:space="0" w:color="000000"/>
              <w:bottom w:val="single" w:sz="4" w:space="0" w:color="000000"/>
              <w:right w:val="single" w:sz="4" w:space="0" w:color="000000"/>
            </w:tcBorders>
            <w:vAlign w:val="center"/>
          </w:tcPr>
          <w:p w14:paraId="226129F1" w14:textId="77777777" w:rsidR="0067041C" w:rsidRPr="00E95233" w:rsidRDefault="0067041C" w:rsidP="00625DFF">
            <w:pPr>
              <w:widowControl w:val="0"/>
              <w:kinsoku w:val="0"/>
              <w:overflowPunct w:val="0"/>
              <w:autoSpaceDE w:val="0"/>
              <w:autoSpaceDN w:val="0"/>
              <w:adjustRightInd w:val="0"/>
              <w:spacing w:before="60" w:after="60"/>
              <w:ind w:left="84" w:right="83"/>
              <w:rPr>
                <w:rFonts w:eastAsiaTheme="minorEastAsia" w:cs="Arial"/>
              </w:rPr>
            </w:pPr>
            <w:r w:rsidRPr="00E95233">
              <w:rPr>
                <w:rFonts w:eastAsiaTheme="minorEastAsia" w:cs="Arial"/>
              </w:rPr>
              <w:t>Identification</w:t>
            </w:r>
            <w:r w:rsidRPr="00E95233">
              <w:rPr>
                <w:rFonts w:eastAsiaTheme="minorEastAsia" w:cs="Arial"/>
                <w:spacing w:val="-23"/>
              </w:rPr>
              <w:t xml:space="preserve"> </w:t>
            </w:r>
            <w:r w:rsidRPr="00E95233">
              <w:rPr>
                <w:rFonts w:eastAsiaTheme="minorEastAsia" w:cs="Arial"/>
              </w:rPr>
              <w:t>code</w:t>
            </w:r>
          </w:p>
        </w:tc>
        <w:tc>
          <w:tcPr>
            <w:tcW w:w="6530" w:type="dxa"/>
            <w:tcBorders>
              <w:left w:val="single" w:sz="4" w:space="0" w:color="000000"/>
              <w:bottom w:val="single" w:sz="4" w:space="0" w:color="000000"/>
              <w:right w:val="nil"/>
            </w:tcBorders>
            <w:vAlign w:val="center"/>
          </w:tcPr>
          <w:p w14:paraId="0492BDAC" w14:textId="545BE0D4" w:rsidR="0067041C" w:rsidRPr="00E95233" w:rsidRDefault="00E4210C" w:rsidP="00625DFF">
            <w:pPr>
              <w:widowControl w:val="0"/>
              <w:tabs>
                <w:tab w:val="left" w:pos="724"/>
              </w:tabs>
              <w:kinsoku w:val="0"/>
              <w:overflowPunct w:val="0"/>
              <w:autoSpaceDE w:val="0"/>
              <w:autoSpaceDN w:val="0"/>
              <w:adjustRightInd w:val="0"/>
              <w:spacing w:before="60" w:after="60"/>
              <w:ind w:left="154"/>
              <w:rPr>
                <w:rFonts w:eastAsiaTheme="minorEastAsia" w:cs="Arial"/>
              </w:rPr>
            </w:pPr>
            <w:r>
              <w:rPr>
                <w:rFonts w:cs="Arial"/>
                <w:color w:val="000000"/>
              </w:rPr>
              <w:t>GB00BN0SMB92</w:t>
            </w:r>
          </w:p>
        </w:tc>
      </w:tr>
      <w:tr w:rsidR="0067041C" w:rsidRPr="00E95233" w14:paraId="2F5C45F2" w14:textId="77777777" w:rsidTr="00625DFF">
        <w:trPr>
          <w:cantSplit/>
          <w:trHeight w:hRule="exact" w:val="1138"/>
        </w:trPr>
        <w:tc>
          <w:tcPr>
            <w:tcW w:w="506" w:type="dxa"/>
            <w:tcBorders>
              <w:top w:val="single" w:sz="4" w:space="0" w:color="000000"/>
              <w:left w:val="nil"/>
              <w:bottom w:val="single" w:sz="4" w:space="0" w:color="000000"/>
              <w:right w:val="single" w:sz="4" w:space="0" w:color="000000"/>
            </w:tcBorders>
            <w:vAlign w:val="center"/>
          </w:tcPr>
          <w:p w14:paraId="1FAFD438"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b)</w:t>
            </w:r>
          </w:p>
        </w:tc>
        <w:tc>
          <w:tcPr>
            <w:tcW w:w="2175" w:type="dxa"/>
            <w:tcBorders>
              <w:top w:val="single" w:sz="4" w:space="0" w:color="000000"/>
              <w:left w:val="single" w:sz="4" w:space="0" w:color="000000"/>
              <w:bottom w:val="single" w:sz="4" w:space="0" w:color="000000"/>
              <w:right w:val="single" w:sz="4" w:space="0" w:color="000000"/>
            </w:tcBorders>
            <w:vAlign w:val="center"/>
          </w:tcPr>
          <w:p w14:paraId="376D366B"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Nature of the</w:t>
            </w:r>
            <w:r w:rsidRPr="00E95233">
              <w:rPr>
                <w:rFonts w:eastAsiaTheme="minorEastAsia" w:cs="Arial"/>
                <w:spacing w:val="24"/>
              </w:rPr>
              <w:t xml:space="preserve"> </w:t>
            </w:r>
            <w:r w:rsidRPr="00E95233">
              <w:rPr>
                <w:rFonts w:eastAsiaTheme="minorEastAsia" w:cs="Arial"/>
              </w:rPr>
              <w:t>transaction</w:t>
            </w:r>
          </w:p>
        </w:tc>
        <w:tc>
          <w:tcPr>
            <w:tcW w:w="6530" w:type="dxa"/>
            <w:tcBorders>
              <w:top w:val="single" w:sz="4" w:space="0" w:color="000000"/>
              <w:left w:val="single" w:sz="4" w:space="0" w:color="000000"/>
              <w:bottom w:val="single" w:sz="4" w:space="0" w:color="000000"/>
              <w:right w:val="nil"/>
            </w:tcBorders>
            <w:vAlign w:val="center"/>
          </w:tcPr>
          <w:p w14:paraId="73CD8B0C" w14:textId="77777777" w:rsidR="0067041C" w:rsidRPr="00E95233" w:rsidRDefault="001A5EDF" w:rsidP="00625DFF">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Matching shares awarded under the Company’s all-employee Share Incentive Plan (2010) on the basis of two free matching shares for every one partnership share purchased.</w:t>
            </w:r>
          </w:p>
        </w:tc>
      </w:tr>
      <w:tr w:rsidR="0067041C" w:rsidRPr="00E95233" w14:paraId="3CB5F06A" w14:textId="77777777" w:rsidTr="00625DFF">
        <w:trPr>
          <w:cantSplit/>
          <w:trHeight w:hRule="exact" w:val="1282"/>
        </w:trPr>
        <w:tc>
          <w:tcPr>
            <w:tcW w:w="506" w:type="dxa"/>
            <w:tcBorders>
              <w:top w:val="single" w:sz="4" w:space="0" w:color="000000"/>
              <w:left w:val="nil"/>
              <w:bottom w:val="single" w:sz="4" w:space="0" w:color="000000"/>
              <w:right w:val="single" w:sz="4" w:space="0" w:color="000000"/>
            </w:tcBorders>
            <w:vAlign w:val="center"/>
          </w:tcPr>
          <w:p w14:paraId="01F40EB0"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c)</w:t>
            </w:r>
          </w:p>
        </w:tc>
        <w:tc>
          <w:tcPr>
            <w:tcW w:w="2175" w:type="dxa"/>
            <w:tcBorders>
              <w:top w:val="single" w:sz="4" w:space="0" w:color="000000"/>
              <w:left w:val="single" w:sz="4" w:space="0" w:color="000000"/>
              <w:bottom w:val="single" w:sz="4" w:space="0" w:color="000000"/>
              <w:right w:val="single" w:sz="4" w:space="0" w:color="000000"/>
            </w:tcBorders>
            <w:vAlign w:val="center"/>
          </w:tcPr>
          <w:p w14:paraId="0AE42B24"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Price(s) and volume(s)</w:t>
            </w:r>
          </w:p>
        </w:tc>
        <w:tc>
          <w:tcPr>
            <w:tcW w:w="6530" w:type="dxa"/>
            <w:tcBorders>
              <w:top w:val="single" w:sz="4" w:space="0" w:color="000000"/>
              <w:left w:val="single" w:sz="4" w:space="0" w:color="000000"/>
              <w:bottom w:val="single" w:sz="4" w:space="0" w:color="000000"/>
              <w:right w:val="nil"/>
            </w:tcBorders>
            <w:vAlign w:val="center"/>
          </w:tcPr>
          <w:tbl>
            <w:tblPr>
              <w:tblStyle w:val="TableGrid1"/>
              <w:tblW w:w="6510" w:type="dxa"/>
              <w:tblInd w:w="85" w:type="dxa"/>
              <w:tblBorders>
                <w:left w:val="none" w:sz="0" w:space="0" w:color="auto"/>
                <w:right w:val="none" w:sz="0" w:space="0" w:color="auto"/>
              </w:tblBorders>
              <w:tblLayout w:type="fixed"/>
              <w:tblLook w:val="04A0" w:firstRow="1" w:lastRow="0" w:firstColumn="1" w:lastColumn="0" w:noHBand="0" w:noVBand="1"/>
            </w:tblPr>
            <w:tblGrid>
              <w:gridCol w:w="3255"/>
              <w:gridCol w:w="3255"/>
            </w:tblGrid>
            <w:tr w:rsidR="0067041C" w:rsidRPr="00E95233" w14:paraId="36A82BB2" w14:textId="77777777" w:rsidTr="00625DFF">
              <w:tc>
                <w:tcPr>
                  <w:tcW w:w="3255" w:type="dxa"/>
                  <w:vAlign w:val="center"/>
                </w:tcPr>
                <w:p w14:paraId="6E57B634"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Price(s)</w:t>
                  </w:r>
                </w:p>
              </w:tc>
              <w:tc>
                <w:tcPr>
                  <w:tcW w:w="3255" w:type="dxa"/>
                  <w:vAlign w:val="center"/>
                </w:tcPr>
                <w:p w14:paraId="35F5ED95"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b/>
                    </w:rPr>
                  </w:pPr>
                  <w:r w:rsidRPr="00E95233">
                    <w:rPr>
                      <w:rFonts w:eastAsiaTheme="minorEastAsia" w:cs="Arial"/>
                      <w:b/>
                    </w:rPr>
                    <w:t>Volume(s)</w:t>
                  </w:r>
                </w:p>
              </w:tc>
            </w:tr>
            <w:tr w:rsidR="0067041C" w:rsidRPr="00E95233" w14:paraId="4CCE54B6" w14:textId="77777777" w:rsidTr="00625DFF">
              <w:tc>
                <w:tcPr>
                  <w:tcW w:w="3255" w:type="dxa"/>
                  <w:vAlign w:val="center"/>
                </w:tcPr>
                <w:p w14:paraId="6CA118D6" w14:textId="77777777" w:rsidR="0067041C" w:rsidRPr="00E95233" w:rsidRDefault="0067041C" w:rsidP="00625DFF">
                  <w:pPr>
                    <w:widowControl w:val="0"/>
                    <w:kinsoku w:val="0"/>
                    <w:overflowPunct w:val="0"/>
                    <w:autoSpaceDE w:val="0"/>
                    <w:autoSpaceDN w:val="0"/>
                    <w:adjustRightInd w:val="0"/>
                    <w:spacing w:before="60" w:after="60"/>
                    <w:jc w:val="center"/>
                    <w:rPr>
                      <w:rFonts w:eastAsiaTheme="minorEastAsia" w:cs="Arial"/>
                    </w:rPr>
                  </w:pPr>
                  <w:r w:rsidRPr="00E95233">
                    <w:rPr>
                      <w:rFonts w:eastAsiaTheme="minorEastAsia" w:cs="Arial"/>
                    </w:rPr>
                    <w:t>£0</w:t>
                  </w:r>
                  <w:r w:rsidR="00784E8D">
                    <w:rPr>
                      <w:rFonts w:eastAsiaTheme="minorEastAsia" w:cs="Arial"/>
                    </w:rPr>
                    <w:t>.00</w:t>
                  </w:r>
                </w:p>
              </w:tc>
              <w:tc>
                <w:tcPr>
                  <w:tcW w:w="3255" w:type="dxa"/>
                  <w:vAlign w:val="center"/>
                </w:tcPr>
                <w:p w14:paraId="7B42CD63" w14:textId="67336094" w:rsidR="0067041C" w:rsidRPr="00E95233" w:rsidRDefault="008C3D5B" w:rsidP="00625DFF">
                  <w:pPr>
                    <w:widowControl w:val="0"/>
                    <w:kinsoku w:val="0"/>
                    <w:overflowPunct w:val="0"/>
                    <w:autoSpaceDE w:val="0"/>
                    <w:autoSpaceDN w:val="0"/>
                    <w:adjustRightInd w:val="0"/>
                    <w:spacing w:before="60" w:after="60"/>
                    <w:jc w:val="center"/>
                    <w:rPr>
                      <w:rFonts w:eastAsiaTheme="minorEastAsia" w:cs="Arial"/>
                    </w:rPr>
                  </w:pPr>
                  <w:r>
                    <w:rPr>
                      <w:rFonts w:eastAsiaTheme="minorEastAsia" w:cs="Arial"/>
                    </w:rPr>
                    <w:t>2,</w:t>
                  </w:r>
                  <w:r w:rsidR="00E4210C">
                    <w:rPr>
                      <w:rFonts w:eastAsiaTheme="minorEastAsia" w:cs="Arial"/>
                    </w:rPr>
                    <w:t>076</w:t>
                  </w:r>
                </w:p>
              </w:tc>
            </w:tr>
          </w:tbl>
          <w:p w14:paraId="2294ACCD"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tc>
      </w:tr>
      <w:tr w:rsidR="0067041C" w:rsidRPr="00E95233" w14:paraId="69A8DB24" w14:textId="77777777" w:rsidTr="00625DFF">
        <w:trPr>
          <w:cantSplit/>
          <w:trHeight w:hRule="exact" w:val="1414"/>
        </w:trPr>
        <w:tc>
          <w:tcPr>
            <w:tcW w:w="506" w:type="dxa"/>
            <w:tcBorders>
              <w:top w:val="single" w:sz="4" w:space="0" w:color="000000"/>
              <w:left w:val="nil"/>
              <w:bottom w:val="single" w:sz="4" w:space="0" w:color="000000"/>
              <w:right w:val="single" w:sz="4" w:space="0" w:color="000000"/>
            </w:tcBorders>
            <w:vAlign w:val="center"/>
          </w:tcPr>
          <w:p w14:paraId="2AD4F856"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d)</w:t>
            </w:r>
          </w:p>
        </w:tc>
        <w:tc>
          <w:tcPr>
            <w:tcW w:w="2175" w:type="dxa"/>
            <w:tcBorders>
              <w:top w:val="single" w:sz="4" w:space="0" w:color="000000"/>
              <w:left w:val="single" w:sz="4" w:space="0" w:color="000000"/>
              <w:bottom w:val="single" w:sz="4" w:space="0" w:color="000000"/>
              <w:right w:val="single" w:sz="4" w:space="0" w:color="000000"/>
            </w:tcBorders>
            <w:vAlign w:val="center"/>
          </w:tcPr>
          <w:p w14:paraId="4747CF50" w14:textId="77777777" w:rsidR="0067041C" w:rsidRPr="00E95233" w:rsidRDefault="0067041C" w:rsidP="00625DFF">
            <w:pPr>
              <w:widowControl w:val="0"/>
              <w:kinsoku w:val="0"/>
              <w:overflowPunct w:val="0"/>
              <w:autoSpaceDE w:val="0"/>
              <w:autoSpaceDN w:val="0"/>
              <w:adjustRightInd w:val="0"/>
              <w:spacing w:before="60" w:after="60"/>
              <w:ind w:left="84" w:right="129"/>
              <w:rPr>
                <w:rFonts w:eastAsiaTheme="minorEastAsia" w:cs="Arial"/>
              </w:rPr>
            </w:pPr>
            <w:r w:rsidRPr="00E95233">
              <w:rPr>
                <w:rFonts w:eastAsiaTheme="minorEastAsia" w:cs="Arial"/>
              </w:rPr>
              <w:t>Aggregated information</w:t>
            </w:r>
          </w:p>
          <w:p w14:paraId="28E90243" w14:textId="77777777" w:rsidR="0067041C" w:rsidRPr="00E95233" w:rsidRDefault="0067041C" w:rsidP="00625DFF">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Aggregated volume</w:t>
            </w:r>
          </w:p>
          <w:p w14:paraId="0E0881C9" w14:textId="77777777" w:rsidR="0067041C" w:rsidRPr="00E95233" w:rsidRDefault="0067041C" w:rsidP="00625DFF">
            <w:pPr>
              <w:widowControl w:val="0"/>
              <w:numPr>
                <w:ilvl w:val="0"/>
                <w:numId w:val="22"/>
              </w:numPr>
              <w:tabs>
                <w:tab w:val="left" w:pos="366"/>
              </w:tabs>
              <w:kinsoku w:val="0"/>
              <w:overflowPunct w:val="0"/>
              <w:autoSpaceDE w:val="0"/>
              <w:autoSpaceDN w:val="0"/>
              <w:adjustRightInd w:val="0"/>
              <w:spacing w:before="60" w:after="60"/>
              <w:ind w:right="129"/>
              <w:rPr>
                <w:rFonts w:eastAsiaTheme="minorEastAsia" w:cs="Arial"/>
              </w:rPr>
            </w:pPr>
            <w:r w:rsidRPr="00E95233">
              <w:rPr>
                <w:rFonts w:eastAsiaTheme="minorEastAsia" w:cs="Arial"/>
              </w:rPr>
              <w:t>Price</w:t>
            </w:r>
          </w:p>
        </w:tc>
        <w:tc>
          <w:tcPr>
            <w:tcW w:w="6530" w:type="dxa"/>
            <w:tcBorders>
              <w:top w:val="single" w:sz="4" w:space="0" w:color="000000"/>
              <w:left w:val="single" w:sz="4" w:space="0" w:color="000000"/>
              <w:bottom w:val="single" w:sz="4" w:space="0" w:color="000000"/>
              <w:right w:val="nil"/>
            </w:tcBorders>
          </w:tcPr>
          <w:p w14:paraId="7767AD65"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5F73F06E"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p>
          <w:p w14:paraId="7DDB85CC"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Not applicable</w:t>
            </w:r>
          </w:p>
        </w:tc>
      </w:tr>
      <w:tr w:rsidR="0067041C" w:rsidRPr="00E95233" w14:paraId="1CC80033" w14:textId="77777777" w:rsidTr="00625DFF">
        <w:trPr>
          <w:cantSplit/>
          <w:trHeight w:hRule="exact" w:val="680"/>
        </w:trPr>
        <w:tc>
          <w:tcPr>
            <w:tcW w:w="506" w:type="dxa"/>
            <w:tcBorders>
              <w:top w:val="single" w:sz="4" w:space="0" w:color="000000"/>
              <w:left w:val="nil"/>
              <w:bottom w:val="single" w:sz="4" w:space="0" w:color="000000"/>
              <w:right w:val="single" w:sz="4" w:space="0" w:color="000000"/>
            </w:tcBorders>
            <w:vAlign w:val="center"/>
          </w:tcPr>
          <w:p w14:paraId="0DEBF3FC"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e)</w:t>
            </w:r>
          </w:p>
        </w:tc>
        <w:tc>
          <w:tcPr>
            <w:tcW w:w="2175" w:type="dxa"/>
            <w:tcBorders>
              <w:top w:val="single" w:sz="4" w:space="0" w:color="000000"/>
              <w:left w:val="single" w:sz="4" w:space="0" w:color="000000"/>
              <w:bottom w:val="single" w:sz="4" w:space="0" w:color="000000"/>
              <w:right w:val="single" w:sz="4" w:space="0" w:color="000000"/>
            </w:tcBorders>
            <w:vAlign w:val="center"/>
          </w:tcPr>
          <w:p w14:paraId="2FFBC059"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Date of the transaction</w:t>
            </w:r>
          </w:p>
        </w:tc>
        <w:tc>
          <w:tcPr>
            <w:tcW w:w="6530" w:type="dxa"/>
            <w:tcBorders>
              <w:top w:val="single" w:sz="4" w:space="0" w:color="000000"/>
              <w:left w:val="single" w:sz="4" w:space="0" w:color="000000"/>
              <w:bottom w:val="single" w:sz="4" w:space="0" w:color="000000"/>
              <w:right w:val="nil"/>
            </w:tcBorders>
            <w:vAlign w:val="center"/>
          </w:tcPr>
          <w:p w14:paraId="680ED9D7" w14:textId="015C5B2E" w:rsidR="0067041C" w:rsidRPr="00E95233" w:rsidRDefault="00E4210C" w:rsidP="0026042B">
            <w:pPr>
              <w:widowControl w:val="0"/>
              <w:kinsoku w:val="0"/>
              <w:overflowPunct w:val="0"/>
              <w:autoSpaceDE w:val="0"/>
              <w:autoSpaceDN w:val="0"/>
              <w:adjustRightInd w:val="0"/>
              <w:spacing w:before="60" w:after="60"/>
              <w:ind w:left="85"/>
              <w:rPr>
                <w:rFonts w:eastAsiaTheme="minorEastAsia" w:cs="Arial"/>
              </w:rPr>
            </w:pPr>
            <w:r>
              <w:rPr>
                <w:rFonts w:eastAsiaTheme="minorEastAsia" w:cs="Arial"/>
              </w:rPr>
              <w:t>2021</w:t>
            </w:r>
            <w:r w:rsidR="00A62EAF">
              <w:rPr>
                <w:rFonts w:eastAsiaTheme="minorEastAsia" w:cs="Arial"/>
              </w:rPr>
              <w:t>-05-</w:t>
            </w:r>
            <w:r w:rsidR="0026042B">
              <w:rPr>
                <w:rFonts w:eastAsiaTheme="minorEastAsia" w:cs="Arial"/>
              </w:rPr>
              <w:t>0</w:t>
            </w:r>
            <w:r>
              <w:rPr>
                <w:rFonts w:eastAsiaTheme="minorEastAsia" w:cs="Arial"/>
              </w:rPr>
              <w:t>6</w:t>
            </w:r>
          </w:p>
        </w:tc>
      </w:tr>
      <w:tr w:rsidR="0067041C" w:rsidRPr="00E95233" w14:paraId="4E6EBB9E" w14:textId="77777777" w:rsidTr="00625DFF">
        <w:trPr>
          <w:cantSplit/>
          <w:trHeight w:hRule="exact" w:val="888"/>
        </w:trPr>
        <w:tc>
          <w:tcPr>
            <w:tcW w:w="506" w:type="dxa"/>
            <w:tcBorders>
              <w:top w:val="single" w:sz="4" w:space="0" w:color="000000"/>
              <w:left w:val="nil"/>
              <w:bottom w:val="single" w:sz="4" w:space="0" w:color="000000"/>
              <w:right w:val="single" w:sz="4" w:space="0" w:color="000000"/>
            </w:tcBorders>
            <w:vAlign w:val="center"/>
          </w:tcPr>
          <w:p w14:paraId="3FBC5801" w14:textId="77777777" w:rsidR="0067041C" w:rsidRPr="00E95233" w:rsidRDefault="0067041C" w:rsidP="00625DFF">
            <w:pPr>
              <w:widowControl w:val="0"/>
              <w:kinsoku w:val="0"/>
              <w:overflowPunct w:val="0"/>
              <w:autoSpaceDE w:val="0"/>
              <w:autoSpaceDN w:val="0"/>
              <w:adjustRightInd w:val="0"/>
              <w:spacing w:before="60" w:after="60"/>
              <w:ind w:left="135"/>
              <w:rPr>
                <w:rFonts w:eastAsiaTheme="minorEastAsia" w:cs="Arial"/>
              </w:rPr>
            </w:pPr>
            <w:r w:rsidRPr="00E95233">
              <w:rPr>
                <w:rFonts w:eastAsiaTheme="minorEastAsia" w:cs="Arial"/>
              </w:rPr>
              <w:t>f)</w:t>
            </w:r>
          </w:p>
        </w:tc>
        <w:tc>
          <w:tcPr>
            <w:tcW w:w="2175" w:type="dxa"/>
            <w:tcBorders>
              <w:top w:val="single" w:sz="4" w:space="0" w:color="000000"/>
              <w:left w:val="single" w:sz="4" w:space="0" w:color="000000"/>
              <w:bottom w:val="single" w:sz="4" w:space="0" w:color="000000"/>
              <w:right w:val="single" w:sz="4" w:space="0" w:color="000000"/>
            </w:tcBorders>
            <w:vAlign w:val="center"/>
          </w:tcPr>
          <w:p w14:paraId="3788F009" w14:textId="77777777" w:rsidR="0067041C" w:rsidRPr="00E95233" w:rsidRDefault="0067041C" w:rsidP="00625DFF">
            <w:pPr>
              <w:widowControl w:val="0"/>
              <w:kinsoku w:val="0"/>
              <w:overflowPunct w:val="0"/>
              <w:autoSpaceDE w:val="0"/>
              <w:autoSpaceDN w:val="0"/>
              <w:adjustRightInd w:val="0"/>
              <w:spacing w:before="60" w:after="60"/>
              <w:ind w:left="84"/>
              <w:rPr>
                <w:rFonts w:eastAsiaTheme="minorEastAsia" w:cs="Arial"/>
              </w:rPr>
            </w:pPr>
            <w:r w:rsidRPr="00E95233">
              <w:rPr>
                <w:rFonts w:eastAsiaTheme="minorEastAsia" w:cs="Arial"/>
              </w:rPr>
              <w:t>Place of the transaction</w:t>
            </w:r>
          </w:p>
        </w:tc>
        <w:tc>
          <w:tcPr>
            <w:tcW w:w="6530" w:type="dxa"/>
            <w:tcBorders>
              <w:top w:val="single" w:sz="4" w:space="0" w:color="000000"/>
              <w:left w:val="single" w:sz="4" w:space="0" w:color="000000"/>
              <w:bottom w:val="single" w:sz="4" w:space="0" w:color="000000"/>
              <w:right w:val="nil"/>
            </w:tcBorders>
            <w:vAlign w:val="center"/>
          </w:tcPr>
          <w:p w14:paraId="1B6D62A9" w14:textId="77777777" w:rsidR="0067041C" w:rsidRPr="00E95233" w:rsidRDefault="0067041C" w:rsidP="00625DFF">
            <w:pPr>
              <w:widowControl w:val="0"/>
              <w:kinsoku w:val="0"/>
              <w:overflowPunct w:val="0"/>
              <w:autoSpaceDE w:val="0"/>
              <w:autoSpaceDN w:val="0"/>
              <w:adjustRightInd w:val="0"/>
              <w:spacing w:before="60" w:after="60"/>
              <w:ind w:left="85"/>
              <w:rPr>
                <w:rFonts w:eastAsiaTheme="minorEastAsia" w:cs="Arial"/>
              </w:rPr>
            </w:pPr>
            <w:r w:rsidRPr="00E95233">
              <w:rPr>
                <w:rFonts w:eastAsiaTheme="minorEastAsia" w:cs="Arial"/>
              </w:rPr>
              <w:t>London Stock Exchange</w:t>
            </w:r>
          </w:p>
        </w:tc>
      </w:tr>
    </w:tbl>
    <w:p w14:paraId="09208E85" w14:textId="77777777" w:rsidR="0067041C" w:rsidRPr="00E95233" w:rsidRDefault="0067041C" w:rsidP="0067041C"/>
    <w:p w14:paraId="410829EE" w14:textId="77777777" w:rsidR="0067041C" w:rsidRDefault="0067041C" w:rsidP="0067041C">
      <w:pPr>
        <w:jc w:val="both"/>
        <w:rPr>
          <w:rFonts w:cs="Arial"/>
          <w:sz w:val="16"/>
          <w:szCs w:val="16"/>
          <w:lang w:val="en-US"/>
        </w:rPr>
      </w:pPr>
    </w:p>
    <w:p w14:paraId="13DD7559" w14:textId="77777777" w:rsidR="0067041C" w:rsidRPr="00512BE1" w:rsidRDefault="0067041C" w:rsidP="0067041C">
      <w:pPr>
        <w:jc w:val="both"/>
        <w:rPr>
          <w:rFonts w:cs="Arial"/>
          <w:sz w:val="16"/>
          <w:szCs w:val="16"/>
          <w:lang w:val="en-US"/>
        </w:rPr>
      </w:pPr>
    </w:p>
    <w:p w14:paraId="31EB8F01" w14:textId="77777777" w:rsidR="00C41D04" w:rsidRDefault="00C41D04">
      <w:pPr>
        <w:pStyle w:val="BodyText2"/>
        <w:rPr>
          <w:rFonts w:ascii="Arial" w:hAnsi="Arial" w:cs="Arial"/>
          <w:sz w:val="20"/>
        </w:rPr>
      </w:pPr>
    </w:p>
    <w:p w14:paraId="34A9CB41" w14:textId="77777777" w:rsidR="008A649E" w:rsidRDefault="008A649E">
      <w:pPr>
        <w:pStyle w:val="BodyText2"/>
        <w:rPr>
          <w:rFonts w:ascii="Arial" w:hAnsi="Arial" w:cs="Arial"/>
          <w:sz w:val="20"/>
        </w:rPr>
      </w:pPr>
    </w:p>
    <w:p w14:paraId="70E73A6D" w14:textId="77777777" w:rsidR="00BD16A6" w:rsidRDefault="00BD16A6">
      <w:pPr>
        <w:rPr>
          <w:rFonts w:cs="Arial"/>
          <w:lang w:val="en-US"/>
        </w:rPr>
      </w:pPr>
    </w:p>
    <w:sectPr w:rsidR="00BD16A6" w:rsidSect="00773E6E">
      <w:headerReference w:type="even" r:id="rId7"/>
      <w:headerReference w:type="default" r:id="rId8"/>
      <w:footerReference w:type="even" r:id="rId9"/>
      <w:footerReference w:type="default" r:id="rId10"/>
      <w:headerReference w:type="first" r:id="rId11"/>
      <w:footerReference w:type="first" r:id="rId12"/>
      <w:pgSz w:w="12240" w:h="15840"/>
      <w:pgMar w:top="1700" w:right="1360" w:bottom="1500" w:left="1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FB926" w14:textId="77777777" w:rsidR="00911CDB" w:rsidRDefault="00911CDB">
      <w:r>
        <w:separator/>
      </w:r>
    </w:p>
  </w:endnote>
  <w:endnote w:type="continuationSeparator" w:id="0">
    <w:p w14:paraId="2F9E9741" w14:textId="77777777" w:rsidR="00911CDB" w:rsidRDefault="0091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5B400" w14:textId="77777777" w:rsidR="00911CDB" w:rsidRDefault="00911C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E70E1C" w14:textId="77777777" w:rsidR="00911CDB" w:rsidRDefault="00911C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F5955" w14:textId="77777777" w:rsidR="00911CDB" w:rsidRDefault="00911CDB">
    <w:pPr>
      <w:pStyle w:val="Footer"/>
      <w:ind w:right="360"/>
      <w:rPr>
        <w:color w:val="C0C0C0"/>
        <w:sz w:val="16"/>
        <w:szCs w:val="1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6C4ED" w14:textId="77777777" w:rsidR="003D10E6" w:rsidRDefault="003D1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9622D" w14:textId="77777777" w:rsidR="00911CDB" w:rsidRDefault="00911CDB">
      <w:r>
        <w:separator/>
      </w:r>
    </w:p>
  </w:footnote>
  <w:footnote w:type="continuationSeparator" w:id="0">
    <w:p w14:paraId="265B601C" w14:textId="77777777" w:rsidR="00911CDB" w:rsidRDefault="0091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0337E" w14:textId="77777777" w:rsidR="003D10E6" w:rsidRDefault="003D1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2B492" w14:textId="77777777" w:rsidR="00911CDB" w:rsidRDefault="00911CDB">
    <w:pPr>
      <w:pStyle w:val="Header"/>
    </w:pPr>
    <w:r>
      <w:rPr>
        <w:noProof/>
      </w:rPr>
      <w:drawing>
        <wp:anchor distT="0" distB="0" distL="114300" distR="114300" simplePos="0" relativeHeight="251658752" behindDoc="0" locked="0" layoutInCell="1" allowOverlap="1" wp14:anchorId="62879DA5" wp14:editId="07B79FDB">
          <wp:simplePos x="0" y="0"/>
          <wp:positionH relativeFrom="column">
            <wp:posOffset>5238750</wp:posOffset>
          </wp:positionH>
          <wp:positionV relativeFrom="paragraph">
            <wp:posOffset>38100</wp:posOffset>
          </wp:positionV>
          <wp:extent cx="812800" cy="431800"/>
          <wp:effectExtent l="0" t="0" r="0" b="0"/>
          <wp:wrapNone/>
          <wp:docPr id="4" name="Picture 4"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irnPLC logo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4318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8AFFE" w14:textId="77777777" w:rsidR="003D10E6" w:rsidRDefault="003D1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6"/>
    <w:multiLevelType w:val="multilevel"/>
    <w:tmpl w:val="00000889"/>
    <w:lvl w:ilvl="0">
      <w:numFmt w:val="bullet"/>
      <w:lvlText w:val="—"/>
      <w:lvlJc w:val="left"/>
      <w:pPr>
        <w:ind w:left="366" w:hanging="282"/>
      </w:pPr>
      <w:rPr>
        <w:rFonts w:ascii="Times New Roman" w:hAnsi="Times New Roman" w:cs="Times New Roman"/>
        <w:b w:val="0"/>
        <w:bCs w:val="0"/>
        <w:w w:val="95"/>
        <w:sz w:val="19"/>
        <w:szCs w:val="19"/>
      </w:rPr>
    </w:lvl>
    <w:lvl w:ilvl="1">
      <w:numFmt w:val="bullet"/>
      <w:lvlText w:val="•"/>
      <w:lvlJc w:val="left"/>
      <w:pPr>
        <w:ind w:left="540" w:hanging="282"/>
      </w:pPr>
    </w:lvl>
    <w:lvl w:ilvl="2">
      <w:numFmt w:val="bullet"/>
      <w:lvlText w:val="•"/>
      <w:lvlJc w:val="left"/>
      <w:pPr>
        <w:ind w:left="720" w:hanging="282"/>
      </w:pPr>
    </w:lvl>
    <w:lvl w:ilvl="3">
      <w:numFmt w:val="bullet"/>
      <w:lvlText w:val="•"/>
      <w:lvlJc w:val="left"/>
      <w:pPr>
        <w:ind w:left="901" w:hanging="282"/>
      </w:pPr>
    </w:lvl>
    <w:lvl w:ilvl="4">
      <w:numFmt w:val="bullet"/>
      <w:lvlText w:val="•"/>
      <w:lvlJc w:val="left"/>
      <w:pPr>
        <w:ind w:left="1081" w:hanging="282"/>
      </w:pPr>
    </w:lvl>
    <w:lvl w:ilvl="5">
      <w:numFmt w:val="bullet"/>
      <w:lvlText w:val="•"/>
      <w:lvlJc w:val="left"/>
      <w:pPr>
        <w:ind w:left="1262" w:hanging="282"/>
      </w:pPr>
    </w:lvl>
    <w:lvl w:ilvl="6">
      <w:numFmt w:val="bullet"/>
      <w:lvlText w:val="•"/>
      <w:lvlJc w:val="left"/>
      <w:pPr>
        <w:ind w:left="1442" w:hanging="282"/>
      </w:pPr>
    </w:lvl>
    <w:lvl w:ilvl="7">
      <w:numFmt w:val="bullet"/>
      <w:lvlText w:val="•"/>
      <w:lvlJc w:val="left"/>
      <w:pPr>
        <w:ind w:left="1623" w:hanging="282"/>
      </w:pPr>
    </w:lvl>
    <w:lvl w:ilvl="8">
      <w:numFmt w:val="bullet"/>
      <w:lvlText w:val="•"/>
      <w:lvlJc w:val="left"/>
      <w:pPr>
        <w:ind w:left="1803" w:hanging="282"/>
      </w:pPr>
    </w:lvl>
  </w:abstractNum>
  <w:abstractNum w:abstractNumId="1" w15:restartNumberingAfterBreak="0">
    <w:nsid w:val="004C16B9"/>
    <w:multiLevelType w:val="hybridMultilevel"/>
    <w:tmpl w:val="4F7CBB1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C0F5E"/>
    <w:multiLevelType w:val="hybridMultilevel"/>
    <w:tmpl w:val="6F5478B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57BD8"/>
    <w:multiLevelType w:val="hybridMultilevel"/>
    <w:tmpl w:val="E632D3C0"/>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F7424"/>
    <w:multiLevelType w:val="hybridMultilevel"/>
    <w:tmpl w:val="5CBCF1C8"/>
    <w:lvl w:ilvl="0" w:tplc="6A662548">
      <w:start w:val="37"/>
      <w:numFmt w:val="bullet"/>
      <w:lvlText w:val=""/>
      <w:lvlJc w:val="left"/>
      <w:pPr>
        <w:tabs>
          <w:tab w:val="num" w:pos="0"/>
        </w:tabs>
        <w:ind w:left="0" w:hanging="360"/>
      </w:pPr>
      <w:rPr>
        <w:rFonts w:ascii="Wingdings" w:eastAsia="Wingdings" w:hAnsi="Wingdings" w:cs="Arial" w:hint="default"/>
        <w:i w:val="0"/>
      </w:rPr>
    </w:lvl>
    <w:lvl w:ilvl="1" w:tplc="0809000B">
      <w:start w:val="1"/>
      <w:numFmt w:val="bullet"/>
      <w:lvlText w:val=""/>
      <w:lvlJc w:val="left"/>
      <w:pPr>
        <w:tabs>
          <w:tab w:val="num" w:pos="1440"/>
        </w:tabs>
        <w:ind w:left="1440" w:hanging="360"/>
      </w:pPr>
      <w:rPr>
        <w:rFonts w:ascii="Wingdings" w:hAnsi="Wingdings" w:hint="default"/>
        <w:i w:val="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15212"/>
    <w:multiLevelType w:val="hybridMultilevel"/>
    <w:tmpl w:val="897E4C06"/>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B511F"/>
    <w:multiLevelType w:val="hybridMultilevel"/>
    <w:tmpl w:val="8EE09686"/>
    <w:lvl w:ilvl="0" w:tplc="0228F6A2">
      <w:start w:val="1"/>
      <w:numFmt w:val="bullet"/>
      <w:lvlText w:val=""/>
      <w:lvlJc w:val="left"/>
      <w:pPr>
        <w:tabs>
          <w:tab w:val="num" w:pos="720"/>
        </w:tabs>
        <w:ind w:left="720" w:hanging="360"/>
      </w:pPr>
      <w:rPr>
        <w:rFonts w:ascii="Wingdings" w:hAnsi="Wingdings" w:hint="default"/>
      </w:rPr>
    </w:lvl>
    <w:lvl w:ilvl="1" w:tplc="42620F08" w:tentative="1">
      <w:start w:val="1"/>
      <w:numFmt w:val="bullet"/>
      <w:lvlText w:val=""/>
      <w:lvlJc w:val="left"/>
      <w:pPr>
        <w:tabs>
          <w:tab w:val="num" w:pos="1440"/>
        </w:tabs>
        <w:ind w:left="1440" w:hanging="360"/>
      </w:pPr>
      <w:rPr>
        <w:rFonts w:ascii="Wingdings" w:hAnsi="Wingdings" w:hint="default"/>
      </w:rPr>
    </w:lvl>
    <w:lvl w:ilvl="2" w:tplc="039CF238" w:tentative="1">
      <w:start w:val="1"/>
      <w:numFmt w:val="bullet"/>
      <w:lvlText w:val=""/>
      <w:lvlJc w:val="left"/>
      <w:pPr>
        <w:tabs>
          <w:tab w:val="num" w:pos="2160"/>
        </w:tabs>
        <w:ind w:left="2160" w:hanging="360"/>
      </w:pPr>
      <w:rPr>
        <w:rFonts w:ascii="Wingdings" w:hAnsi="Wingdings" w:hint="default"/>
      </w:rPr>
    </w:lvl>
    <w:lvl w:ilvl="3" w:tplc="1480EFBC" w:tentative="1">
      <w:start w:val="1"/>
      <w:numFmt w:val="bullet"/>
      <w:lvlText w:val=""/>
      <w:lvlJc w:val="left"/>
      <w:pPr>
        <w:tabs>
          <w:tab w:val="num" w:pos="2880"/>
        </w:tabs>
        <w:ind w:left="2880" w:hanging="360"/>
      </w:pPr>
      <w:rPr>
        <w:rFonts w:ascii="Wingdings" w:hAnsi="Wingdings" w:hint="default"/>
      </w:rPr>
    </w:lvl>
    <w:lvl w:ilvl="4" w:tplc="89CCC8CE" w:tentative="1">
      <w:start w:val="1"/>
      <w:numFmt w:val="bullet"/>
      <w:lvlText w:val=""/>
      <w:lvlJc w:val="left"/>
      <w:pPr>
        <w:tabs>
          <w:tab w:val="num" w:pos="3600"/>
        </w:tabs>
        <w:ind w:left="3600" w:hanging="360"/>
      </w:pPr>
      <w:rPr>
        <w:rFonts w:ascii="Wingdings" w:hAnsi="Wingdings" w:hint="default"/>
      </w:rPr>
    </w:lvl>
    <w:lvl w:ilvl="5" w:tplc="1A849F44" w:tentative="1">
      <w:start w:val="1"/>
      <w:numFmt w:val="bullet"/>
      <w:lvlText w:val=""/>
      <w:lvlJc w:val="left"/>
      <w:pPr>
        <w:tabs>
          <w:tab w:val="num" w:pos="4320"/>
        </w:tabs>
        <w:ind w:left="4320" w:hanging="360"/>
      </w:pPr>
      <w:rPr>
        <w:rFonts w:ascii="Wingdings" w:hAnsi="Wingdings" w:hint="default"/>
      </w:rPr>
    </w:lvl>
    <w:lvl w:ilvl="6" w:tplc="862836AE" w:tentative="1">
      <w:start w:val="1"/>
      <w:numFmt w:val="bullet"/>
      <w:lvlText w:val=""/>
      <w:lvlJc w:val="left"/>
      <w:pPr>
        <w:tabs>
          <w:tab w:val="num" w:pos="5040"/>
        </w:tabs>
        <w:ind w:left="5040" w:hanging="360"/>
      </w:pPr>
      <w:rPr>
        <w:rFonts w:ascii="Wingdings" w:hAnsi="Wingdings" w:hint="default"/>
      </w:rPr>
    </w:lvl>
    <w:lvl w:ilvl="7" w:tplc="3C32C8D0" w:tentative="1">
      <w:start w:val="1"/>
      <w:numFmt w:val="bullet"/>
      <w:lvlText w:val=""/>
      <w:lvlJc w:val="left"/>
      <w:pPr>
        <w:tabs>
          <w:tab w:val="num" w:pos="5760"/>
        </w:tabs>
        <w:ind w:left="5760" w:hanging="360"/>
      </w:pPr>
      <w:rPr>
        <w:rFonts w:ascii="Wingdings" w:hAnsi="Wingdings" w:hint="default"/>
      </w:rPr>
    </w:lvl>
    <w:lvl w:ilvl="8" w:tplc="632AD8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00C0"/>
    <w:multiLevelType w:val="hybridMultilevel"/>
    <w:tmpl w:val="477E12F6"/>
    <w:lvl w:ilvl="0" w:tplc="04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BC0A9A"/>
    <w:multiLevelType w:val="hybridMultilevel"/>
    <w:tmpl w:val="B824E75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5234E"/>
    <w:multiLevelType w:val="hybridMultilevel"/>
    <w:tmpl w:val="2A80BEF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163754"/>
    <w:multiLevelType w:val="hybridMultilevel"/>
    <w:tmpl w:val="EB00DC8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3189B"/>
    <w:multiLevelType w:val="hybridMultilevel"/>
    <w:tmpl w:val="41CC9342"/>
    <w:lvl w:ilvl="0" w:tplc="BC686580">
      <w:start w:val="1"/>
      <w:numFmt w:val="bullet"/>
      <w:lvlText w:val=""/>
      <w:lvlJc w:val="left"/>
      <w:pPr>
        <w:tabs>
          <w:tab w:val="num" w:pos="720"/>
        </w:tabs>
        <w:ind w:left="720" w:hanging="360"/>
      </w:pPr>
      <w:rPr>
        <w:rFonts w:ascii="Wingdings" w:hAnsi="Wingdings" w:hint="default"/>
      </w:rPr>
    </w:lvl>
    <w:lvl w:ilvl="1" w:tplc="64E046E6" w:tentative="1">
      <w:start w:val="1"/>
      <w:numFmt w:val="bullet"/>
      <w:lvlText w:val=""/>
      <w:lvlJc w:val="left"/>
      <w:pPr>
        <w:tabs>
          <w:tab w:val="num" w:pos="1440"/>
        </w:tabs>
        <w:ind w:left="1440" w:hanging="360"/>
      </w:pPr>
      <w:rPr>
        <w:rFonts w:ascii="Wingdings" w:hAnsi="Wingdings" w:hint="default"/>
      </w:rPr>
    </w:lvl>
    <w:lvl w:ilvl="2" w:tplc="6F021B52" w:tentative="1">
      <w:start w:val="1"/>
      <w:numFmt w:val="bullet"/>
      <w:lvlText w:val=""/>
      <w:lvlJc w:val="left"/>
      <w:pPr>
        <w:tabs>
          <w:tab w:val="num" w:pos="2160"/>
        </w:tabs>
        <w:ind w:left="2160" w:hanging="360"/>
      </w:pPr>
      <w:rPr>
        <w:rFonts w:ascii="Wingdings" w:hAnsi="Wingdings" w:hint="default"/>
      </w:rPr>
    </w:lvl>
    <w:lvl w:ilvl="3" w:tplc="646A8B50" w:tentative="1">
      <w:start w:val="1"/>
      <w:numFmt w:val="bullet"/>
      <w:lvlText w:val=""/>
      <w:lvlJc w:val="left"/>
      <w:pPr>
        <w:tabs>
          <w:tab w:val="num" w:pos="2880"/>
        </w:tabs>
        <w:ind w:left="2880" w:hanging="360"/>
      </w:pPr>
      <w:rPr>
        <w:rFonts w:ascii="Wingdings" w:hAnsi="Wingdings" w:hint="default"/>
      </w:rPr>
    </w:lvl>
    <w:lvl w:ilvl="4" w:tplc="1FDEF602" w:tentative="1">
      <w:start w:val="1"/>
      <w:numFmt w:val="bullet"/>
      <w:lvlText w:val=""/>
      <w:lvlJc w:val="left"/>
      <w:pPr>
        <w:tabs>
          <w:tab w:val="num" w:pos="3600"/>
        </w:tabs>
        <w:ind w:left="3600" w:hanging="360"/>
      </w:pPr>
      <w:rPr>
        <w:rFonts w:ascii="Wingdings" w:hAnsi="Wingdings" w:hint="default"/>
      </w:rPr>
    </w:lvl>
    <w:lvl w:ilvl="5" w:tplc="4440CCD6" w:tentative="1">
      <w:start w:val="1"/>
      <w:numFmt w:val="bullet"/>
      <w:lvlText w:val=""/>
      <w:lvlJc w:val="left"/>
      <w:pPr>
        <w:tabs>
          <w:tab w:val="num" w:pos="4320"/>
        </w:tabs>
        <w:ind w:left="4320" w:hanging="360"/>
      </w:pPr>
      <w:rPr>
        <w:rFonts w:ascii="Wingdings" w:hAnsi="Wingdings" w:hint="default"/>
      </w:rPr>
    </w:lvl>
    <w:lvl w:ilvl="6" w:tplc="B2643E8E" w:tentative="1">
      <w:start w:val="1"/>
      <w:numFmt w:val="bullet"/>
      <w:lvlText w:val=""/>
      <w:lvlJc w:val="left"/>
      <w:pPr>
        <w:tabs>
          <w:tab w:val="num" w:pos="5040"/>
        </w:tabs>
        <w:ind w:left="5040" w:hanging="360"/>
      </w:pPr>
      <w:rPr>
        <w:rFonts w:ascii="Wingdings" w:hAnsi="Wingdings" w:hint="default"/>
      </w:rPr>
    </w:lvl>
    <w:lvl w:ilvl="7" w:tplc="46B4B8A8" w:tentative="1">
      <w:start w:val="1"/>
      <w:numFmt w:val="bullet"/>
      <w:lvlText w:val=""/>
      <w:lvlJc w:val="left"/>
      <w:pPr>
        <w:tabs>
          <w:tab w:val="num" w:pos="5760"/>
        </w:tabs>
        <w:ind w:left="5760" w:hanging="360"/>
      </w:pPr>
      <w:rPr>
        <w:rFonts w:ascii="Wingdings" w:hAnsi="Wingdings" w:hint="default"/>
      </w:rPr>
    </w:lvl>
    <w:lvl w:ilvl="8" w:tplc="77A6C1D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A37CD"/>
    <w:multiLevelType w:val="hybridMultilevel"/>
    <w:tmpl w:val="3B660EFA"/>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Symbol" w:hint="default"/>
      </w:r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3" w15:restartNumberingAfterBreak="0">
    <w:nsid w:val="3AD54766"/>
    <w:multiLevelType w:val="hybridMultilevel"/>
    <w:tmpl w:val="D3F27EB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87544"/>
    <w:multiLevelType w:val="hybridMultilevel"/>
    <w:tmpl w:val="6CC65884"/>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972839"/>
    <w:multiLevelType w:val="hybridMultilevel"/>
    <w:tmpl w:val="74FA015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351343"/>
    <w:multiLevelType w:val="hybridMultilevel"/>
    <w:tmpl w:val="4502B7B0"/>
    <w:lvl w:ilvl="0" w:tplc="6A662548">
      <w:start w:val="37"/>
      <w:numFmt w:val="bullet"/>
      <w:lvlText w:val=""/>
      <w:lvlJc w:val="left"/>
      <w:pPr>
        <w:tabs>
          <w:tab w:val="num" w:pos="0"/>
        </w:tabs>
        <w:ind w:left="0" w:hanging="360"/>
      </w:pPr>
      <w:rPr>
        <w:rFonts w:ascii="Wingdings" w:eastAsia="Wingdings" w:hAnsi="Wingdings" w:cs="Arial" w:hint="default"/>
        <w:i w:val="0"/>
      </w:rPr>
    </w:lvl>
    <w:lvl w:ilvl="1" w:tplc="08090003" w:tentative="1">
      <w:start w:val="1"/>
      <w:numFmt w:val="bullet"/>
      <w:lvlText w:val="o"/>
      <w:lvlJc w:val="left"/>
      <w:pPr>
        <w:tabs>
          <w:tab w:val="num" w:pos="720"/>
        </w:tabs>
        <w:ind w:left="720" w:hanging="360"/>
      </w:pPr>
      <w:rPr>
        <w:rFonts w:ascii="Courier New" w:hAnsi="Courier New" w:cs="Symbol"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Symbo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Symbo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D236C74"/>
    <w:multiLevelType w:val="hybridMultilevel"/>
    <w:tmpl w:val="BDDEA90E"/>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422AB"/>
    <w:multiLevelType w:val="hybridMultilevel"/>
    <w:tmpl w:val="290050F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0558FE"/>
    <w:multiLevelType w:val="hybridMultilevel"/>
    <w:tmpl w:val="BB52CDCE"/>
    <w:lvl w:ilvl="0" w:tplc="1166CBDE">
      <w:start w:val="1"/>
      <w:numFmt w:val="bullet"/>
      <w:lvlText w:val=""/>
      <w:lvlJc w:val="left"/>
      <w:pPr>
        <w:tabs>
          <w:tab w:val="num" w:pos="720"/>
        </w:tabs>
        <w:ind w:left="720" w:hanging="360"/>
      </w:pPr>
      <w:rPr>
        <w:rFonts w:ascii="Wingdings" w:hAnsi="Wingdings" w:hint="default"/>
      </w:rPr>
    </w:lvl>
    <w:lvl w:ilvl="1" w:tplc="B2ACDC7C" w:tentative="1">
      <w:start w:val="1"/>
      <w:numFmt w:val="bullet"/>
      <w:lvlText w:val=""/>
      <w:lvlJc w:val="left"/>
      <w:pPr>
        <w:tabs>
          <w:tab w:val="num" w:pos="1440"/>
        </w:tabs>
        <w:ind w:left="1440" w:hanging="360"/>
      </w:pPr>
      <w:rPr>
        <w:rFonts w:ascii="Wingdings" w:hAnsi="Wingdings" w:hint="default"/>
      </w:rPr>
    </w:lvl>
    <w:lvl w:ilvl="2" w:tplc="12D00176" w:tentative="1">
      <w:start w:val="1"/>
      <w:numFmt w:val="bullet"/>
      <w:lvlText w:val=""/>
      <w:lvlJc w:val="left"/>
      <w:pPr>
        <w:tabs>
          <w:tab w:val="num" w:pos="2160"/>
        </w:tabs>
        <w:ind w:left="2160" w:hanging="360"/>
      </w:pPr>
      <w:rPr>
        <w:rFonts w:ascii="Wingdings" w:hAnsi="Wingdings" w:hint="default"/>
      </w:rPr>
    </w:lvl>
    <w:lvl w:ilvl="3" w:tplc="69D6C80E" w:tentative="1">
      <w:start w:val="1"/>
      <w:numFmt w:val="bullet"/>
      <w:lvlText w:val=""/>
      <w:lvlJc w:val="left"/>
      <w:pPr>
        <w:tabs>
          <w:tab w:val="num" w:pos="2880"/>
        </w:tabs>
        <w:ind w:left="2880" w:hanging="360"/>
      </w:pPr>
      <w:rPr>
        <w:rFonts w:ascii="Wingdings" w:hAnsi="Wingdings" w:hint="default"/>
      </w:rPr>
    </w:lvl>
    <w:lvl w:ilvl="4" w:tplc="6508623A" w:tentative="1">
      <w:start w:val="1"/>
      <w:numFmt w:val="bullet"/>
      <w:lvlText w:val=""/>
      <w:lvlJc w:val="left"/>
      <w:pPr>
        <w:tabs>
          <w:tab w:val="num" w:pos="3600"/>
        </w:tabs>
        <w:ind w:left="3600" w:hanging="360"/>
      </w:pPr>
      <w:rPr>
        <w:rFonts w:ascii="Wingdings" w:hAnsi="Wingdings" w:hint="default"/>
      </w:rPr>
    </w:lvl>
    <w:lvl w:ilvl="5" w:tplc="DBCCD1D4" w:tentative="1">
      <w:start w:val="1"/>
      <w:numFmt w:val="bullet"/>
      <w:lvlText w:val=""/>
      <w:lvlJc w:val="left"/>
      <w:pPr>
        <w:tabs>
          <w:tab w:val="num" w:pos="4320"/>
        </w:tabs>
        <w:ind w:left="4320" w:hanging="360"/>
      </w:pPr>
      <w:rPr>
        <w:rFonts w:ascii="Wingdings" w:hAnsi="Wingdings" w:hint="default"/>
      </w:rPr>
    </w:lvl>
    <w:lvl w:ilvl="6" w:tplc="5FB2C998" w:tentative="1">
      <w:start w:val="1"/>
      <w:numFmt w:val="bullet"/>
      <w:lvlText w:val=""/>
      <w:lvlJc w:val="left"/>
      <w:pPr>
        <w:tabs>
          <w:tab w:val="num" w:pos="5040"/>
        </w:tabs>
        <w:ind w:left="5040" w:hanging="360"/>
      </w:pPr>
      <w:rPr>
        <w:rFonts w:ascii="Wingdings" w:hAnsi="Wingdings" w:hint="default"/>
      </w:rPr>
    </w:lvl>
    <w:lvl w:ilvl="7" w:tplc="64BACA04" w:tentative="1">
      <w:start w:val="1"/>
      <w:numFmt w:val="bullet"/>
      <w:lvlText w:val=""/>
      <w:lvlJc w:val="left"/>
      <w:pPr>
        <w:tabs>
          <w:tab w:val="num" w:pos="5760"/>
        </w:tabs>
        <w:ind w:left="5760" w:hanging="360"/>
      </w:pPr>
      <w:rPr>
        <w:rFonts w:ascii="Wingdings" w:hAnsi="Wingdings" w:hint="default"/>
      </w:rPr>
    </w:lvl>
    <w:lvl w:ilvl="8" w:tplc="A91C32D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F56579"/>
    <w:multiLevelType w:val="hybridMultilevel"/>
    <w:tmpl w:val="5CC0C64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3"/>
  </w:num>
  <w:num w:numId="4">
    <w:abstractNumId w:val="19"/>
  </w:num>
  <w:num w:numId="5">
    <w:abstractNumId w:val="11"/>
  </w:num>
  <w:num w:numId="6">
    <w:abstractNumId w:val="6"/>
  </w:num>
  <w:num w:numId="7">
    <w:abstractNumId w:val="16"/>
  </w:num>
  <w:num w:numId="8">
    <w:abstractNumId w:val="4"/>
  </w:num>
  <w:num w:numId="9">
    <w:abstractNumId w:val="2"/>
  </w:num>
  <w:num w:numId="10">
    <w:abstractNumId w:val="9"/>
  </w:num>
  <w:num w:numId="11">
    <w:abstractNumId w:val="18"/>
  </w:num>
  <w:num w:numId="12">
    <w:abstractNumId w:val="8"/>
  </w:num>
  <w:num w:numId="13">
    <w:abstractNumId w:val="5"/>
  </w:num>
  <w:num w:numId="14">
    <w:abstractNumId w:val="20"/>
  </w:num>
  <w:num w:numId="15">
    <w:abstractNumId w:val="12"/>
  </w:num>
  <w:num w:numId="16">
    <w:abstractNumId w:val="7"/>
  </w:num>
  <w:num w:numId="17">
    <w:abstractNumId w:val="21"/>
  </w:num>
  <w:num w:numId="18">
    <w:abstractNumId w:val="1"/>
  </w:num>
  <w:num w:numId="19">
    <w:abstractNumId w:val="13"/>
  </w:num>
  <w:num w:numId="20">
    <w:abstractNumId w:val="10"/>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280"/>
    <w:rsid w:val="00015235"/>
    <w:rsid w:val="00056EAE"/>
    <w:rsid w:val="0007316B"/>
    <w:rsid w:val="0007508C"/>
    <w:rsid w:val="00082EC8"/>
    <w:rsid w:val="00084E71"/>
    <w:rsid w:val="00097026"/>
    <w:rsid w:val="000A0513"/>
    <w:rsid w:val="000A2A07"/>
    <w:rsid w:val="000B33C4"/>
    <w:rsid w:val="000C2BBB"/>
    <w:rsid w:val="0011285B"/>
    <w:rsid w:val="00156D0D"/>
    <w:rsid w:val="00177C1E"/>
    <w:rsid w:val="001970E6"/>
    <w:rsid w:val="001A5EDF"/>
    <w:rsid w:val="00204610"/>
    <w:rsid w:val="00225FC2"/>
    <w:rsid w:val="00256FD0"/>
    <w:rsid w:val="0026042B"/>
    <w:rsid w:val="00273034"/>
    <w:rsid w:val="00277EEC"/>
    <w:rsid w:val="0028669E"/>
    <w:rsid w:val="002C7DFE"/>
    <w:rsid w:val="002D053C"/>
    <w:rsid w:val="00317C60"/>
    <w:rsid w:val="00323E4B"/>
    <w:rsid w:val="00341197"/>
    <w:rsid w:val="003862BC"/>
    <w:rsid w:val="00392738"/>
    <w:rsid w:val="00396CF8"/>
    <w:rsid w:val="003C0C45"/>
    <w:rsid w:val="003C38A9"/>
    <w:rsid w:val="003C7827"/>
    <w:rsid w:val="003D10E6"/>
    <w:rsid w:val="003E28EC"/>
    <w:rsid w:val="0040084B"/>
    <w:rsid w:val="00403991"/>
    <w:rsid w:val="00413BE5"/>
    <w:rsid w:val="00442BEF"/>
    <w:rsid w:val="00457655"/>
    <w:rsid w:val="004618D3"/>
    <w:rsid w:val="00462705"/>
    <w:rsid w:val="00464E47"/>
    <w:rsid w:val="00474DEA"/>
    <w:rsid w:val="00481A7E"/>
    <w:rsid w:val="00487FD3"/>
    <w:rsid w:val="00495B73"/>
    <w:rsid w:val="004A680B"/>
    <w:rsid w:val="004B541F"/>
    <w:rsid w:val="005265E5"/>
    <w:rsid w:val="00567BB7"/>
    <w:rsid w:val="00570E86"/>
    <w:rsid w:val="005E27F9"/>
    <w:rsid w:val="005E45EE"/>
    <w:rsid w:val="005F62F1"/>
    <w:rsid w:val="00600396"/>
    <w:rsid w:val="00612280"/>
    <w:rsid w:val="00625DFF"/>
    <w:rsid w:val="00632753"/>
    <w:rsid w:val="00645CC4"/>
    <w:rsid w:val="006470F4"/>
    <w:rsid w:val="0065302C"/>
    <w:rsid w:val="00665EB1"/>
    <w:rsid w:val="0067041C"/>
    <w:rsid w:val="00684C75"/>
    <w:rsid w:val="006A1B8A"/>
    <w:rsid w:val="006A1C9E"/>
    <w:rsid w:val="006C6362"/>
    <w:rsid w:val="006D1358"/>
    <w:rsid w:val="00707F61"/>
    <w:rsid w:val="00723A6B"/>
    <w:rsid w:val="0073308C"/>
    <w:rsid w:val="00736C4C"/>
    <w:rsid w:val="0074397E"/>
    <w:rsid w:val="00763883"/>
    <w:rsid w:val="00773E6E"/>
    <w:rsid w:val="00784E8D"/>
    <w:rsid w:val="00785115"/>
    <w:rsid w:val="00787ADB"/>
    <w:rsid w:val="007C18B5"/>
    <w:rsid w:val="007C3002"/>
    <w:rsid w:val="007C43E3"/>
    <w:rsid w:val="007D7203"/>
    <w:rsid w:val="007D7B93"/>
    <w:rsid w:val="007E1BFA"/>
    <w:rsid w:val="0081314D"/>
    <w:rsid w:val="00851B5E"/>
    <w:rsid w:val="0086552A"/>
    <w:rsid w:val="008761BA"/>
    <w:rsid w:val="008A649E"/>
    <w:rsid w:val="008B0BE3"/>
    <w:rsid w:val="008C07D6"/>
    <w:rsid w:val="008C3D5B"/>
    <w:rsid w:val="008C69DE"/>
    <w:rsid w:val="008D10F7"/>
    <w:rsid w:val="008E05C4"/>
    <w:rsid w:val="008F16E3"/>
    <w:rsid w:val="00911CDB"/>
    <w:rsid w:val="009123D8"/>
    <w:rsid w:val="00912D16"/>
    <w:rsid w:val="009226D7"/>
    <w:rsid w:val="00934D3B"/>
    <w:rsid w:val="00945DB0"/>
    <w:rsid w:val="00962A7D"/>
    <w:rsid w:val="0097088F"/>
    <w:rsid w:val="00971E6B"/>
    <w:rsid w:val="00973C73"/>
    <w:rsid w:val="00982B74"/>
    <w:rsid w:val="009844AE"/>
    <w:rsid w:val="009A0249"/>
    <w:rsid w:val="009C2329"/>
    <w:rsid w:val="009C2DEF"/>
    <w:rsid w:val="009C528B"/>
    <w:rsid w:val="009D01B4"/>
    <w:rsid w:val="00A01114"/>
    <w:rsid w:val="00A05071"/>
    <w:rsid w:val="00A1320E"/>
    <w:rsid w:val="00A57E8E"/>
    <w:rsid w:val="00A62EAF"/>
    <w:rsid w:val="00A74CE9"/>
    <w:rsid w:val="00A87B25"/>
    <w:rsid w:val="00A9292C"/>
    <w:rsid w:val="00AA42F5"/>
    <w:rsid w:val="00AC60FA"/>
    <w:rsid w:val="00AE7C3D"/>
    <w:rsid w:val="00AF2756"/>
    <w:rsid w:val="00AF3366"/>
    <w:rsid w:val="00B05B66"/>
    <w:rsid w:val="00B23B58"/>
    <w:rsid w:val="00B27462"/>
    <w:rsid w:val="00B92501"/>
    <w:rsid w:val="00BB423D"/>
    <w:rsid w:val="00BD16A6"/>
    <w:rsid w:val="00BE4814"/>
    <w:rsid w:val="00C011AD"/>
    <w:rsid w:val="00C028E7"/>
    <w:rsid w:val="00C41D04"/>
    <w:rsid w:val="00C45448"/>
    <w:rsid w:val="00C5771A"/>
    <w:rsid w:val="00C664DD"/>
    <w:rsid w:val="00C72416"/>
    <w:rsid w:val="00C87209"/>
    <w:rsid w:val="00CA7B77"/>
    <w:rsid w:val="00CB1F4A"/>
    <w:rsid w:val="00CC22C9"/>
    <w:rsid w:val="00CD3DFE"/>
    <w:rsid w:val="00CE05C1"/>
    <w:rsid w:val="00CE1212"/>
    <w:rsid w:val="00D06505"/>
    <w:rsid w:val="00D17921"/>
    <w:rsid w:val="00D348E4"/>
    <w:rsid w:val="00D52BBD"/>
    <w:rsid w:val="00D63C55"/>
    <w:rsid w:val="00D72E45"/>
    <w:rsid w:val="00D84C2C"/>
    <w:rsid w:val="00D92BAB"/>
    <w:rsid w:val="00DA234D"/>
    <w:rsid w:val="00DB67C8"/>
    <w:rsid w:val="00DC3970"/>
    <w:rsid w:val="00DD2D4F"/>
    <w:rsid w:val="00DD60E9"/>
    <w:rsid w:val="00DE1A57"/>
    <w:rsid w:val="00DF333B"/>
    <w:rsid w:val="00E01009"/>
    <w:rsid w:val="00E020CA"/>
    <w:rsid w:val="00E06FB2"/>
    <w:rsid w:val="00E273C7"/>
    <w:rsid w:val="00E4210C"/>
    <w:rsid w:val="00E61F89"/>
    <w:rsid w:val="00E71997"/>
    <w:rsid w:val="00E80867"/>
    <w:rsid w:val="00E86509"/>
    <w:rsid w:val="00F03ABA"/>
    <w:rsid w:val="00F6204E"/>
    <w:rsid w:val="00F64F47"/>
    <w:rsid w:val="00F76FF0"/>
    <w:rsid w:val="00F87C28"/>
    <w:rsid w:val="00FC4700"/>
    <w:rsid w:val="00FD0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7E3D436B"/>
  <w15:docId w15:val="{ACFFA50A-9D1B-40B8-8F40-8A0BD587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color w:val="0000FF"/>
      <w:u w:val="single"/>
    </w:rPr>
  </w:style>
  <w:style w:type="character" w:styleId="Strong">
    <w:name w:val="Strong"/>
    <w:basedOn w:val="DefaultParagraphFont"/>
    <w:qFormat/>
    <w:rPr>
      <w:b/>
      <w:bCs/>
    </w:rPr>
  </w:style>
  <w:style w:type="paragraph" w:styleId="PlainText">
    <w:name w:val="Plain Text"/>
    <w:basedOn w:val="Normal"/>
    <w:semiHidden/>
    <w:unhideWhenUsed/>
    <w:rPr>
      <w:rFonts w:ascii="Bookman Old Style" w:eastAsia="Calibri" w:hAnsi="Bookman Old Style"/>
      <w:sz w:val="22"/>
      <w:szCs w:val="22"/>
    </w:rPr>
  </w:style>
  <w:style w:type="character" w:customStyle="1" w:styleId="CharChar">
    <w:name w:val="Char Char"/>
    <w:basedOn w:val="DefaultParagraphFont"/>
    <w:rPr>
      <w:rFonts w:ascii="Bookman Old Style" w:eastAsia="Calibri" w:hAnsi="Bookman Old Style"/>
      <w:sz w:val="22"/>
      <w:szCs w:val="22"/>
      <w:lang w:val="en-GB" w:eastAsia="en-GB" w:bidi="ar-SA"/>
    </w:rPr>
  </w:style>
  <w:style w:type="paragraph" w:styleId="ListParagraph">
    <w:name w:val="List Paragraph"/>
    <w:basedOn w:val="Normal"/>
    <w:qFormat/>
    <w:pPr>
      <w:ind w:left="720"/>
    </w:pPr>
    <w:rPr>
      <w:rFonts w:ascii="Times New Roman" w:hAnsi="Times New Roman"/>
      <w:sz w:val="24"/>
      <w:szCs w:val="24"/>
      <w:lang w:val="en-US"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hAnsi="Times New Roman"/>
    </w:rPr>
  </w:style>
  <w:style w:type="paragraph" w:styleId="CommentSubject">
    <w:name w:val="annotation subject"/>
    <w:basedOn w:val="CommentText"/>
    <w:next w:val="CommentText"/>
    <w:semiHidden/>
    <w:rPr>
      <w:rFonts w:ascii="Arial" w:hAnsi="Arial"/>
      <w:b/>
      <w:bCs/>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semiHidden/>
    <w:rPr>
      <w:color w:val="800080"/>
      <w:u w:val="single"/>
    </w:rPr>
  </w:style>
  <w:style w:type="paragraph" w:styleId="BodyText2">
    <w:name w:val="Body Text 2"/>
    <w:basedOn w:val="Normal"/>
    <w:link w:val="BodyText2Char"/>
    <w:uiPriority w:val="99"/>
    <w:pPr>
      <w:jc w:val="both"/>
    </w:pPr>
    <w:rPr>
      <w:rFonts w:ascii="Times New Roman" w:hAnsi="Times New Roman"/>
      <w:sz w:val="24"/>
      <w:lang w:val="en-US"/>
    </w:rPr>
  </w:style>
  <w:style w:type="character" w:styleId="PlaceholderText">
    <w:name w:val="Placeholder Text"/>
    <w:basedOn w:val="DefaultParagraphFont"/>
    <w:uiPriority w:val="99"/>
    <w:semiHidden/>
    <w:rsid w:val="00D63C55"/>
    <w:rPr>
      <w:color w:val="808080"/>
    </w:rPr>
  </w:style>
  <w:style w:type="table" w:styleId="TableGrid">
    <w:name w:val="Table Grid"/>
    <w:basedOn w:val="TableNormal"/>
    <w:rsid w:val="0063275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rsid w:val="00A1320E"/>
    <w:rPr>
      <w:sz w:val="24"/>
      <w:lang w:val="en-US"/>
    </w:rPr>
  </w:style>
  <w:style w:type="table" w:customStyle="1" w:styleId="TableGrid1">
    <w:name w:val="Table Grid1"/>
    <w:basedOn w:val="TableNormal"/>
    <w:next w:val="TableGrid"/>
    <w:uiPriority w:val="59"/>
    <w:rsid w:val="0067041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9</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FOR IMMEDIATE RELEASE                                                                   13 May 2008</vt:lpstr>
    </vt:vector>
  </TitlesOfParts>
  <Company>Cairn Energy India Ltd</Company>
  <LinksUpToDate>false</LinksUpToDate>
  <CharactersWithSpaces>10121</CharactersWithSpaces>
  <SharedDoc>false</SharedDoc>
  <HLinks>
    <vt:vector size="6" baseType="variant">
      <vt:variant>
        <vt:i4>3211359</vt:i4>
      </vt:variant>
      <vt:variant>
        <vt:i4>-1</vt:i4>
      </vt:variant>
      <vt:variant>
        <vt:i4>2051</vt:i4>
      </vt:variant>
      <vt:variant>
        <vt:i4>1</vt:i4>
      </vt:variant>
      <vt:variant>
        <vt:lpwstr>CairnPLC logo_WEB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13 May 2008</dc:title>
  <dc:creator>David</dc:creator>
  <cp:lastModifiedBy>Anne McSherry</cp:lastModifiedBy>
  <cp:revision>5</cp:revision>
  <cp:lastPrinted>2021-05-07T12:14:00Z</cp:lastPrinted>
  <dcterms:created xsi:type="dcterms:W3CDTF">2021-05-07T11:52:00Z</dcterms:created>
  <dcterms:modified xsi:type="dcterms:W3CDTF">2021-05-07T13:44:00Z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Ref">
    <vt:lpwstr>C0210.262-04 14205283 2 GVC</vt:lpwstr>
  </property>
  <property fmtid="{D5CDD505-2E9C-101B-9397-08002B2CF9AE}" pid="3" name="AuthorJobDescription">
    <vt:lpwstr>Assistant (ROC)</vt:lpwstr>
  </property>
  <property fmtid="{D5CDD505-2E9C-101B-9397-08002B2CF9AE}" pid="4" name="AuthorDepartment">
    <vt:lpwstr>Corporate</vt:lpwstr>
  </property>
  <property fmtid="{D5CDD505-2E9C-101B-9397-08002B2CF9AE}" pid="5" name="AuthorEmail">
    <vt:lpwstr>gavin.charlton@shepwedd.co.uk</vt:lpwstr>
  </property>
  <property fmtid="{D5CDD505-2E9C-101B-9397-08002B2CF9AE}" pid="6" name="AuthorPhoneNumber">
    <vt:lpwstr>0141 566 7250</vt:lpwstr>
  </property>
  <property fmtid="{D5CDD505-2E9C-101B-9397-08002B2CF9AE}" pid="7" name="AuthorFaxNumber">
    <vt:lpwstr/>
  </property>
  <property fmtid="{D5CDD505-2E9C-101B-9397-08002B2CF9AE}" pid="8" name="AuthorFullName">
    <vt:lpwstr>Gavin Charlton</vt:lpwstr>
  </property>
  <property fmtid="{D5CDD505-2E9C-101B-9397-08002B2CF9AE}" pid="9" name="AuthorLastName">
    <vt:lpwstr> </vt:lpwstr>
  </property>
  <property fmtid="{D5CDD505-2E9C-101B-9397-08002B2CF9AE}" pid="10" name="AuthorFirstName">
    <vt:lpwstr> </vt:lpwstr>
  </property>
  <property fmtid="{D5CDD505-2E9C-101B-9397-08002B2CF9AE}" pid="11" name="SWDocinfo">
    <vt:lpwstr>14205283 2   </vt:lpwstr>
  </property>
  <property fmtid="{D5CDD505-2E9C-101B-9397-08002B2CF9AE}" pid="12" name="DocRef">
    <vt:lpwstr>C0210.262-04 14205283_2 Stock exchange announcement re directors' and PDMRs' interests</vt:lpwstr>
  </property>
  <property fmtid="{D5CDD505-2E9C-101B-9397-08002B2CF9AE}" pid="13" name="OurRef">
    <vt:lpwstr>C0210.262-04/GVC/ROC</vt:lpwstr>
  </property>
</Properties>
</file>