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D953" w14:textId="77777777" w:rsidR="00646341" w:rsidRDefault="00646341" w:rsidP="00FD1689">
      <w:pPr>
        <w:tabs>
          <w:tab w:val="right" w:pos="9540"/>
        </w:tabs>
        <w:rPr>
          <w:rFonts w:cs="Arial"/>
          <w:b/>
        </w:rPr>
      </w:pPr>
    </w:p>
    <w:p w14:paraId="548F3865" w14:textId="77777777" w:rsidR="00646341" w:rsidRDefault="00646341" w:rsidP="00FD1689">
      <w:pPr>
        <w:tabs>
          <w:tab w:val="right" w:pos="9540"/>
        </w:tabs>
        <w:rPr>
          <w:rFonts w:cs="Arial"/>
          <w:b/>
        </w:rPr>
      </w:pPr>
    </w:p>
    <w:p w14:paraId="15734A7E" w14:textId="1A20599F" w:rsidR="00FD1689" w:rsidRPr="00FD1689" w:rsidRDefault="00FD1689" w:rsidP="00FD1689">
      <w:pPr>
        <w:tabs>
          <w:tab w:val="right" w:pos="9540"/>
        </w:tabs>
        <w:rPr>
          <w:rFonts w:cs="Arial"/>
        </w:rPr>
      </w:pPr>
      <w:r w:rsidRPr="00FD1689">
        <w:rPr>
          <w:rFonts w:cs="Arial"/>
          <w:b/>
        </w:rPr>
        <w:t>FOR IMMEDIATE RELEASE</w:t>
      </w:r>
      <w:r w:rsidRPr="00FD1689">
        <w:rPr>
          <w:rFonts w:cs="Arial"/>
          <w:b/>
        </w:rPr>
        <w:tab/>
      </w:r>
      <w:r w:rsidR="0056556C">
        <w:rPr>
          <w:rFonts w:cs="Arial"/>
          <w:b/>
        </w:rPr>
        <w:t>22 December</w:t>
      </w:r>
      <w:r w:rsidR="00412BAE">
        <w:rPr>
          <w:rFonts w:cs="Arial"/>
          <w:b/>
        </w:rPr>
        <w:t xml:space="preserve"> </w:t>
      </w:r>
      <w:r w:rsidR="00CB14B6">
        <w:rPr>
          <w:rFonts w:cs="Arial"/>
          <w:b/>
        </w:rPr>
        <w:t>2021</w:t>
      </w:r>
    </w:p>
    <w:p w14:paraId="02FD8869" w14:textId="77777777" w:rsidR="00FD1689" w:rsidRPr="00FD1689" w:rsidRDefault="00FD1689" w:rsidP="00FD1689">
      <w:pPr>
        <w:jc w:val="both"/>
        <w:rPr>
          <w:rFonts w:cs="Arial"/>
          <w:b/>
        </w:rPr>
      </w:pPr>
    </w:p>
    <w:p w14:paraId="5366E64E" w14:textId="77777777" w:rsidR="00646341" w:rsidRDefault="00646341" w:rsidP="00FD1689">
      <w:pPr>
        <w:jc w:val="center"/>
        <w:rPr>
          <w:rFonts w:cs="Arial"/>
          <w:b/>
          <w:bCs/>
        </w:rPr>
      </w:pPr>
    </w:p>
    <w:p w14:paraId="2D9E2717" w14:textId="77777777" w:rsidR="00646341" w:rsidRDefault="00646341" w:rsidP="00FD1689">
      <w:pPr>
        <w:jc w:val="center"/>
        <w:rPr>
          <w:rFonts w:cs="Arial"/>
          <w:b/>
          <w:bCs/>
        </w:rPr>
      </w:pPr>
    </w:p>
    <w:p w14:paraId="274E654A" w14:textId="77777777" w:rsidR="00646341" w:rsidRDefault="00646341" w:rsidP="00FD1689">
      <w:pPr>
        <w:jc w:val="center"/>
        <w:rPr>
          <w:rFonts w:cs="Arial"/>
          <w:b/>
          <w:bCs/>
        </w:rPr>
      </w:pPr>
    </w:p>
    <w:p w14:paraId="059089C0" w14:textId="6E5FFD28" w:rsidR="00FD1689" w:rsidRPr="00FD1689" w:rsidRDefault="0056556C" w:rsidP="00FD1689">
      <w:pPr>
        <w:jc w:val="center"/>
        <w:rPr>
          <w:rFonts w:cs="Arial"/>
          <w:b/>
          <w:bCs/>
        </w:rPr>
      </w:pPr>
      <w:r>
        <w:rPr>
          <w:rFonts w:cs="Arial"/>
          <w:b/>
          <w:bCs/>
        </w:rPr>
        <w:t>CAPRICORN</w:t>
      </w:r>
      <w:r w:rsidR="00FD1689" w:rsidRPr="00FD1689">
        <w:rPr>
          <w:rFonts w:cs="Arial"/>
          <w:b/>
          <w:bCs/>
        </w:rPr>
        <w:t xml:space="preserve"> ENERGY PLC (“</w:t>
      </w:r>
      <w:r>
        <w:rPr>
          <w:rFonts w:cs="Arial"/>
          <w:b/>
          <w:bCs/>
        </w:rPr>
        <w:t>Capricorn</w:t>
      </w:r>
      <w:r w:rsidR="00FD1689" w:rsidRPr="00FD1689">
        <w:rPr>
          <w:rFonts w:cs="Arial"/>
          <w:b/>
          <w:bCs/>
        </w:rPr>
        <w:t>” or “the Company”)</w:t>
      </w:r>
    </w:p>
    <w:p w14:paraId="15013144" w14:textId="77777777" w:rsidR="00FD1689" w:rsidRPr="00FD1689" w:rsidRDefault="00FD1689" w:rsidP="00FD1689">
      <w:pPr>
        <w:jc w:val="center"/>
        <w:rPr>
          <w:rFonts w:cs="Arial"/>
          <w:b/>
          <w:bCs/>
          <w:lang w:eastAsia="en-US"/>
        </w:rPr>
      </w:pPr>
    </w:p>
    <w:p w14:paraId="69CBBF1D" w14:textId="77777777" w:rsidR="00FD1689" w:rsidRPr="00FD1689" w:rsidRDefault="00FD1689" w:rsidP="00FD1689">
      <w:pPr>
        <w:jc w:val="center"/>
        <w:rPr>
          <w:rFonts w:cs="Arial"/>
          <w:b/>
        </w:rPr>
      </w:pPr>
      <w:r w:rsidRPr="00FD1689">
        <w:rPr>
          <w:rFonts w:cs="Arial"/>
          <w:b/>
        </w:rPr>
        <w:t xml:space="preserve">Interests of Directors / Persons Discharging Managerial Responsibility (“PDMRs”) </w:t>
      </w:r>
    </w:p>
    <w:p w14:paraId="486FAB54" w14:textId="77777777" w:rsidR="00FD1689" w:rsidRPr="00FD1689" w:rsidRDefault="00FD1689" w:rsidP="00FD1689">
      <w:pPr>
        <w:jc w:val="center"/>
        <w:rPr>
          <w:rFonts w:cs="Arial"/>
          <w:b/>
        </w:rPr>
      </w:pPr>
      <w:r w:rsidRPr="00FD1689">
        <w:rPr>
          <w:rFonts w:cs="Arial"/>
          <w:b/>
        </w:rPr>
        <w:t>in the Company’s Shares</w:t>
      </w:r>
    </w:p>
    <w:p w14:paraId="7F0C8FA7" w14:textId="77777777" w:rsidR="00FD1689" w:rsidRPr="00FD1689" w:rsidRDefault="00FD1689" w:rsidP="00FD1689">
      <w:pPr>
        <w:jc w:val="both"/>
        <w:rPr>
          <w:rFonts w:cs="Arial"/>
          <w:lang w:val="en-US"/>
        </w:rPr>
      </w:pPr>
    </w:p>
    <w:p w14:paraId="1FEFE737" w14:textId="77777777" w:rsidR="00646341" w:rsidRDefault="00646341" w:rsidP="00FD1689">
      <w:pPr>
        <w:jc w:val="both"/>
        <w:rPr>
          <w:rFonts w:cs="Arial"/>
          <w:b/>
          <w:bCs/>
          <w:lang w:val="en-US"/>
        </w:rPr>
      </w:pPr>
    </w:p>
    <w:p w14:paraId="5185F209" w14:textId="2258AF97" w:rsidR="00FD1689" w:rsidRPr="00FD1689" w:rsidRDefault="00FD1689" w:rsidP="00FD1689">
      <w:pPr>
        <w:jc w:val="both"/>
        <w:rPr>
          <w:rFonts w:cs="Arial"/>
          <w:b/>
          <w:bCs/>
          <w:lang w:val="en-US"/>
        </w:rPr>
      </w:pPr>
      <w:r w:rsidRPr="00FD1689">
        <w:rPr>
          <w:rFonts w:cs="Arial"/>
          <w:b/>
          <w:bCs/>
          <w:lang w:val="en-US"/>
        </w:rPr>
        <w:t>1.</w:t>
      </w:r>
      <w:r w:rsidRPr="00FD1689">
        <w:rPr>
          <w:rFonts w:cs="Arial"/>
          <w:b/>
          <w:bCs/>
          <w:lang w:val="en-US"/>
        </w:rPr>
        <w:tab/>
      </w:r>
      <w:r w:rsidR="00556353">
        <w:rPr>
          <w:rFonts w:cs="Arial"/>
          <w:b/>
          <w:bCs/>
          <w:lang w:val="en-US"/>
        </w:rPr>
        <w:t>Sale of Shares</w:t>
      </w:r>
      <w:r w:rsidRPr="00FD1689">
        <w:rPr>
          <w:rFonts w:cs="Arial"/>
          <w:b/>
          <w:bCs/>
          <w:lang w:val="en-US"/>
        </w:rPr>
        <w:t xml:space="preserve"> </w:t>
      </w:r>
    </w:p>
    <w:p w14:paraId="1AA320EF" w14:textId="77777777" w:rsidR="00FD1689" w:rsidRPr="00FD1689" w:rsidRDefault="00FD1689" w:rsidP="00FD1689">
      <w:pPr>
        <w:jc w:val="both"/>
        <w:rPr>
          <w:rFonts w:cs="Arial"/>
          <w:lang w:val="en-US"/>
        </w:rPr>
      </w:pPr>
    </w:p>
    <w:p w14:paraId="38D4665D" w14:textId="419B0212" w:rsidR="00FD1689" w:rsidRDefault="0056556C" w:rsidP="00412BAE">
      <w:pPr>
        <w:jc w:val="both"/>
        <w:rPr>
          <w:rFonts w:cs="Arial"/>
          <w:lang w:val="en-US"/>
        </w:rPr>
      </w:pPr>
      <w:r>
        <w:rPr>
          <w:rFonts w:cs="Arial"/>
          <w:lang w:val="en-US"/>
        </w:rPr>
        <w:t>Capricorn</w:t>
      </w:r>
      <w:r w:rsidR="00FD1689" w:rsidRPr="00FD1689">
        <w:rPr>
          <w:rFonts w:cs="Arial"/>
          <w:lang w:val="en-US"/>
        </w:rPr>
        <w:t xml:space="preserve"> announces that, </w:t>
      </w:r>
      <w:r>
        <w:rPr>
          <w:rFonts w:cs="Arial"/>
          <w:lang w:val="en-US"/>
        </w:rPr>
        <w:t>on 21 December</w:t>
      </w:r>
      <w:r w:rsidR="00FD1689" w:rsidRPr="00FD1689">
        <w:rPr>
          <w:rFonts w:cs="Arial"/>
          <w:lang w:val="en-US"/>
        </w:rPr>
        <w:t xml:space="preserve"> </w:t>
      </w:r>
      <w:r w:rsidR="00CB14B6">
        <w:rPr>
          <w:rFonts w:cs="Arial"/>
          <w:lang w:val="en-US"/>
        </w:rPr>
        <w:t>2021</w:t>
      </w:r>
      <w:r w:rsidR="00FD1689" w:rsidRPr="00FD1689">
        <w:rPr>
          <w:rFonts w:cs="Arial"/>
          <w:lang w:val="en-US"/>
        </w:rPr>
        <w:t xml:space="preserve">, </w:t>
      </w:r>
      <w:r>
        <w:rPr>
          <w:rFonts w:cs="Arial"/>
          <w:lang w:val="en-US"/>
        </w:rPr>
        <w:t xml:space="preserve">Paul </w:t>
      </w:r>
      <w:r w:rsidR="0089193F">
        <w:rPr>
          <w:rFonts w:cs="Arial"/>
          <w:lang w:val="en-US"/>
        </w:rPr>
        <w:t>Mayland</w:t>
      </w:r>
      <w:r w:rsidR="00412BAE">
        <w:rPr>
          <w:rFonts w:cs="Arial"/>
          <w:lang w:val="en-US"/>
        </w:rPr>
        <w:t>, C</w:t>
      </w:r>
      <w:r w:rsidR="0089193F">
        <w:rPr>
          <w:rFonts w:cs="Arial"/>
          <w:lang w:val="en-US"/>
        </w:rPr>
        <w:t xml:space="preserve">hief </w:t>
      </w:r>
      <w:r>
        <w:rPr>
          <w:rFonts w:cs="Arial"/>
          <w:lang w:val="en-US"/>
        </w:rPr>
        <w:t>O</w:t>
      </w:r>
      <w:r w:rsidR="0089193F">
        <w:rPr>
          <w:rFonts w:cs="Arial"/>
          <w:lang w:val="en-US"/>
        </w:rPr>
        <w:t xml:space="preserve">perating </w:t>
      </w:r>
      <w:r w:rsidR="00412BAE">
        <w:rPr>
          <w:rFonts w:cs="Arial"/>
          <w:lang w:val="en-US"/>
        </w:rPr>
        <w:t>O</w:t>
      </w:r>
      <w:r w:rsidR="0089193F">
        <w:rPr>
          <w:rFonts w:cs="Arial"/>
          <w:lang w:val="en-US"/>
        </w:rPr>
        <w:t>fficer</w:t>
      </w:r>
      <w:r w:rsidR="00412BAE">
        <w:rPr>
          <w:rFonts w:cs="Arial"/>
          <w:lang w:val="en-US"/>
        </w:rPr>
        <w:t xml:space="preserve">, sold </w:t>
      </w:r>
      <w:r>
        <w:rPr>
          <w:rFonts w:cs="Arial"/>
          <w:lang w:val="en-US"/>
        </w:rPr>
        <w:t>506,000</w:t>
      </w:r>
      <w:r w:rsidR="00FD1689" w:rsidRPr="00FD1689">
        <w:rPr>
          <w:rFonts w:cs="Arial"/>
          <w:lang w:val="en-US"/>
        </w:rPr>
        <w:t xml:space="preserve"> ordinary shares </w:t>
      </w:r>
      <w:r w:rsidR="00FD1689" w:rsidRPr="00FD1689">
        <w:rPr>
          <w:rFonts w:cs="Arial"/>
          <w:bCs/>
          <w:lang w:val="en-US"/>
        </w:rPr>
        <w:t xml:space="preserve">of </w:t>
      </w:r>
      <w:r w:rsidR="00FD1689" w:rsidRPr="00CB14B6">
        <w:rPr>
          <w:rFonts w:cs="Arial"/>
          <w:bCs/>
          <w:vertAlign w:val="superscript"/>
          <w:lang w:val="en-US"/>
        </w:rPr>
        <w:t>21</w:t>
      </w:r>
      <w:r w:rsidR="00FD1689" w:rsidRPr="00FD1689">
        <w:rPr>
          <w:rFonts w:cs="Arial"/>
          <w:bCs/>
          <w:lang w:val="en-US"/>
        </w:rPr>
        <w:t>/</w:t>
      </w:r>
      <w:r w:rsidR="00FD1689" w:rsidRPr="00CB14B6">
        <w:rPr>
          <w:rFonts w:cs="Arial"/>
          <w:bCs/>
          <w:vertAlign w:val="subscript"/>
          <w:lang w:val="en-US"/>
        </w:rPr>
        <w:t>1</w:t>
      </w:r>
      <w:r w:rsidR="00CB14B6" w:rsidRPr="00CB14B6">
        <w:rPr>
          <w:rFonts w:cs="Arial"/>
          <w:bCs/>
          <w:vertAlign w:val="subscript"/>
          <w:lang w:val="en-US"/>
        </w:rPr>
        <w:t>3</w:t>
      </w:r>
      <w:r w:rsidR="00FD1689" w:rsidRPr="00FD1689">
        <w:rPr>
          <w:rFonts w:cs="Arial"/>
          <w:bCs/>
          <w:lang w:val="en-US"/>
        </w:rPr>
        <w:t xml:space="preserve"> pence each </w:t>
      </w:r>
      <w:r w:rsidR="00FD1689" w:rsidRPr="00FD1689">
        <w:rPr>
          <w:rFonts w:cs="Arial"/>
          <w:lang w:val="en-US"/>
        </w:rPr>
        <w:t xml:space="preserve">in the Company ("Ordinary Shares") </w:t>
      </w:r>
      <w:r w:rsidR="00412BAE">
        <w:rPr>
          <w:rFonts w:cs="Arial"/>
          <w:lang w:val="en-US"/>
        </w:rPr>
        <w:t>at a</w:t>
      </w:r>
      <w:r w:rsidR="000C7A9D">
        <w:rPr>
          <w:rFonts w:cs="Arial"/>
          <w:lang w:val="en-US"/>
        </w:rPr>
        <w:t>n average</w:t>
      </w:r>
      <w:r w:rsidR="00412BAE">
        <w:rPr>
          <w:rFonts w:cs="Arial"/>
          <w:lang w:val="en-US"/>
        </w:rPr>
        <w:t xml:space="preserve"> price of £</w:t>
      </w:r>
      <w:r w:rsidR="003552A4">
        <w:rPr>
          <w:rFonts w:cs="Arial"/>
          <w:lang w:val="en-US"/>
        </w:rPr>
        <w:t>1.</w:t>
      </w:r>
      <w:r>
        <w:rPr>
          <w:rFonts w:cs="Arial"/>
          <w:lang w:val="en-US"/>
        </w:rPr>
        <w:t>8402</w:t>
      </w:r>
      <w:r w:rsidR="00412BAE">
        <w:rPr>
          <w:rFonts w:cs="Arial"/>
          <w:lang w:val="en-US"/>
        </w:rPr>
        <w:t xml:space="preserve"> per share.</w:t>
      </w:r>
    </w:p>
    <w:p w14:paraId="0C391C82" w14:textId="06076DF7" w:rsidR="009D0A76" w:rsidRDefault="009D0A76" w:rsidP="00412BAE">
      <w:pPr>
        <w:jc w:val="both"/>
        <w:rPr>
          <w:rFonts w:cs="Arial"/>
          <w:lang w:val="en-US"/>
        </w:rPr>
      </w:pPr>
    </w:p>
    <w:p w14:paraId="66124A33" w14:textId="44112AB5" w:rsidR="009D0A76" w:rsidRPr="00FD1689" w:rsidRDefault="00830E4E" w:rsidP="00412BAE">
      <w:pPr>
        <w:jc w:val="both"/>
        <w:rPr>
          <w:rFonts w:cs="Arial"/>
          <w:lang w:val="en-US"/>
        </w:rPr>
      </w:pPr>
      <w:r>
        <w:rPr>
          <w:rFonts w:cs="Arial"/>
          <w:lang w:val="en-US"/>
        </w:rPr>
        <w:t>In connection with the management of his personal</w:t>
      </w:r>
      <w:r w:rsidR="00D7129D">
        <w:rPr>
          <w:rFonts w:cs="Arial"/>
          <w:lang w:val="en-US"/>
        </w:rPr>
        <w:t xml:space="preserve"> arrangements, </w:t>
      </w:r>
      <w:r w:rsidR="009D0A76">
        <w:rPr>
          <w:rFonts w:cs="Arial"/>
          <w:lang w:val="en-US"/>
        </w:rPr>
        <w:t xml:space="preserve">Mr </w:t>
      </w:r>
      <w:r w:rsidR="0056556C">
        <w:rPr>
          <w:rFonts w:cs="Arial"/>
          <w:lang w:val="en-US"/>
        </w:rPr>
        <w:t>Mayland</w:t>
      </w:r>
      <w:r w:rsidR="00D7129D">
        <w:rPr>
          <w:rFonts w:cs="Arial"/>
          <w:lang w:val="en-US"/>
        </w:rPr>
        <w:t xml:space="preserve"> </w:t>
      </w:r>
      <w:r w:rsidR="0065694C">
        <w:rPr>
          <w:rFonts w:cs="Arial"/>
          <w:lang w:val="en-US"/>
        </w:rPr>
        <w:t xml:space="preserve">sought permission </w:t>
      </w:r>
      <w:r w:rsidR="00C44A13">
        <w:rPr>
          <w:rFonts w:cs="Arial"/>
          <w:lang w:val="en-US"/>
        </w:rPr>
        <w:t>to sell</w:t>
      </w:r>
      <w:r w:rsidR="009D0A76">
        <w:rPr>
          <w:rFonts w:cs="Arial"/>
          <w:lang w:val="en-US"/>
        </w:rPr>
        <w:t xml:space="preserve"> the above noted</w:t>
      </w:r>
      <w:r w:rsidR="00C44A13">
        <w:rPr>
          <w:rFonts w:cs="Arial"/>
          <w:lang w:val="en-US"/>
        </w:rPr>
        <w:t xml:space="preserve"> number of</w:t>
      </w:r>
      <w:r w:rsidR="009D0A76">
        <w:rPr>
          <w:rFonts w:cs="Arial"/>
          <w:lang w:val="en-US"/>
        </w:rPr>
        <w:t xml:space="preserve"> </w:t>
      </w:r>
      <w:r w:rsidR="00705362">
        <w:rPr>
          <w:rFonts w:cs="Arial"/>
          <w:lang w:val="en-US"/>
        </w:rPr>
        <w:t xml:space="preserve">Ordinary </w:t>
      </w:r>
      <w:r w:rsidR="009D0A76">
        <w:rPr>
          <w:rFonts w:cs="Arial"/>
          <w:lang w:val="en-US"/>
        </w:rPr>
        <w:t xml:space="preserve">Shares ahead of the Company’s </w:t>
      </w:r>
      <w:r w:rsidR="00D7129D">
        <w:rPr>
          <w:rFonts w:cs="Arial"/>
          <w:lang w:val="en-US"/>
        </w:rPr>
        <w:t xml:space="preserve">anticipated </w:t>
      </w:r>
      <w:r w:rsidR="009D0A76">
        <w:rPr>
          <w:rFonts w:cs="Arial"/>
          <w:lang w:val="en-US"/>
        </w:rPr>
        <w:t xml:space="preserve">special dividend </w:t>
      </w:r>
      <w:r w:rsidR="00D7129D">
        <w:rPr>
          <w:rFonts w:cs="Arial"/>
          <w:lang w:val="en-US"/>
        </w:rPr>
        <w:t xml:space="preserve">that it has previously announced will be paid following receipt of any </w:t>
      </w:r>
      <w:r w:rsidR="009D0A76">
        <w:rPr>
          <w:rFonts w:cs="Arial"/>
          <w:lang w:val="en-US"/>
        </w:rPr>
        <w:t>Indian tax refund</w:t>
      </w:r>
      <w:r w:rsidR="00C44A13">
        <w:rPr>
          <w:rFonts w:cs="Arial"/>
          <w:lang w:val="en-US"/>
        </w:rPr>
        <w:t xml:space="preserve">. </w:t>
      </w:r>
      <w:r w:rsidR="0065694C">
        <w:rPr>
          <w:rFonts w:cs="Arial"/>
          <w:lang w:val="en-US"/>
        </w:rPr>
        <w:t xml:space="preserve">As this will temporarily reduce his holding in </w:t>
      </w:r>
      <w:r w:rsidR="0056556C">
        <w:rPr>
          <w:rFonts w:cs="Arial"/>
          <w:lang w:val="en-US"/>
        </w:rPr>
        <w:t>Capricorn</w:t>
      </w:r>
      <w:r w:rsidR="0065694C">
        <w:rPr>
          <w:rFonts w:cs="Arial"/>
          <w:lang w:val="en-US"/>
        </w:rPr>
        <w:t xml:space="preserve"> below the level required by the “in service” element of the Company’s shareholding guidelines </w:t>
      </w:r>
      <w:r w:rsidR="0056556C">
        <w:rPr>
          <w:rFonts w:cs="Arial"/>
          <w:lang w:val="en-US"/>
        </w:rPr>
        <w:t xml:space="preserve">for his role </w:t>
      </w:r>
      <w:r w:rsidR="0065694C">
        <w:rPr>
          <w:rFonts w:cs="Arial"/>
          <w:lang w:val="en-US"/>
        </w:rPr>
        <w:t xml:space="preserve">(which currently require individuals to build up and maintain a target holding equal to 200% of salary), </w:t>
      </w:r>
      <w:r w:rsidR="00705362">
        <w:rPr>
          <w:rFonts w:cs="Arial"/>
          <w:lang w:val="en-US"/>
        </w:rPr>
        <w:t xml:space="preserve">Mr </w:t>
      </w:r>
      <w:r w:rsidR="0056556C">
        <w:rPr>
          <w:rFonts w:cs="Arial"/>
          <w:lang w:val="en-US"/>
        </w:rPr>
        <w:t>Mayland</w:t>
      </w:r>
      <w:r w:rsidR="00705362">
        <w:rPr>
          <w:rFonts w:cs="Arial"/>
          <w:lang w:val="en-US"/>
        </w:rPr>
        <w:t xml:space="preserve"> </w:t>
      </w:r>
      <w:r w:rsidR="00C44A13">
        <w:rPr>
          <w:rFonts w:cs="Arial"/>
          <w:lang w:val="en-US"/>
        </w:rPr>
        <w:t xml:space="preserve">has confirmed to the </w:t>
      </w:r>
      <w:r w:rsidR="0056556C">
        <w:rPr>
          <w:rFonts w:cs="Arial"/>
          <w:lang w:val="en-US"/>
        </w:rPr>
        <w:t>Capricorn</w:t>
      </w:r>
      <w:r w:rsidR="00D7129D">
        <w:rPr>
          <w:rFonts w:cs="Arial"/>
          <w:lang w:val="en-US"/>
        </w:rPr>
        <w:t xml:space="preserve"> </w:t>
      </w:r>
      <w:r w:rsidR="00C44A13">
        <w:rPr>
          <w:rFonts w:cs="Arial"/>
          <w:lang w:val="en-US"/>
        </w:rPr>
        <w:t>Remuneration Committee that</w:t>
      </w:r>
      <w:r w:rsidR="00D7129D">
        <w:rPr>
          <w:rFonts w:cs="Arial"/>
          <w:lang w:val="en-US"/>
        </w:rPr>
        <w:t xml:space="preserve">, within a period of </w:t>
      </w:r>
      <w:r w:rsidR="008969E4">
        <w:rPr>
          <w:rFonts w:cs="Arial"/>
          <w:lang w:val="en-US"/>
        </w:rPr>
        <w:t>12</w:t>
      </w:r>
      <w:r w:rsidR="00D7129D">
        <w:rPr>
          <w:rFonts w:cs="Arial"/>
          <w:lang w:val="en-US"/>
        </w:rPr>
        <w:t xml:space="preserve"> months following the payment of any such special dividend,</w:t>
      </w:r>
      <w:r w:rsidR="00C44A13">
        <w:rPr>
          <w:rFonts w:cs="Arial"/>
          <w:lang w:val="en-US"/>
        </w:rPr>
        <w:t xml:space="preserve"> </w:t>
      </w:r>
      <w:r w:rsidR="00D7129D">
        <w:rPr>
          <w:rFonts w:cs="Arial"/>
          <w:lang w:val="en-US"/>
        </w:rPr>
        <w:t>he will take the steps necessary to ensure that he is once again in compliance with the</w:t>
      </w:r>
      <w:r w:rsidR="0065694C">
        <w:rPr>
          <w:rFonts w:cs="Arial"/>
          <w:lang w:val="en-US"/>
        </w:rPr>
        <w:t>se requirements</w:t>
      </w:r>
      <w:r w:rsidR="00D7129D">
        <w:rPr>
          <w:rFonts w:cs="Arial"/>
          <w:lang w:val="en-US"/>
        </w:rPr>
        <w:t>.</w:t>
      </w:r>
      <w:r w:rsidR="00D7129D" w:rsidDel="00D7129D">
        <w:rPr>
          <w:rFonts w:cs="Arial"/>
          <w:lang w:val="en-US"/>
        </w:rPr>
        <w:t xml:space="preserve"> </w:t>
      </w:r>
      <w:r w:rsidR="0065694C">
        <w:rPr>
          <w:rFonts w:cs="Arial"/>
          <w:lang w:val="en-US"/>
        </w:rPr>
        <w:t xml:space="preserve">The Remuneration Committee confirms that none of the Ordinary Shares being sold are subject to any post-vesting holding period and that, following the disposal, the value of his remaining holding (which includes the net-of-tax value of his vested but unexercised LTIP awards detailed below) is </w:t>
      </w:r>
      <w:r w:rsidR="00705362">
        <w:rPr>
          <w:rFonts w:cs="Arial"/>
          <w:lang w:val="en-US"/>
        </w:rPr>
        <w:t xml:space="preserve">equal </w:t>
      </w:r>
      <w:r w:rsidR="00705362" w:rsidRPr="00830E4E">
        <w:rPr>
          <w:rFonts w:cs="Arial"/>
          <w:lang w:val="en-US"/>
        </w:rPr>
        <w:t xml:space="preserve">to </w:t>
      </w:r>
      <w:r w:rsidR="0065694C" w:rsidRPr="00830E4E">
        <w:rPr>
          <w:rFonts w:cs="Arial"/>
          <w:lang w:val="en-US"/>
        </w:rPr>
        <w:t xml:space="preserve">approximately </w:t>
      </w:r>
      <w:r w:rsidRPr="00830E4E">
        <w:rPr>
          <w:rFonts w:cs="Arial"/>
          <w:lang w:val="en-US"/>
        </w:rPr>
        <w:t>128</w:t>
      </w:r>
      <w:r w:rsidR="0065694C" w:rsidRPr="00830E4E">
        <w:rPr>
          <w:rFonts w:cs="Arial"/>
          <w:lang w:val="en-US"/>
        </w:rPr>
        <w:t>% of salary</w:t>
      </w:r>
      <w:r w:rsidR="0065694C">
        <w:rPr>
          <w:rFonts w:cs="Arial"/>
          <w:lang w:val="en-US"/>
        </w:rPr>
        <w:t xml:space="preserve">. </w:t>
      </w:r>
    </w:p>
    <w:p w14:paraId="4767BD66" w14:textId="77777777" w:rsidR="00FD1689" w:rsidRPr="00FD1689" w:rsidRDefault="00FD1689" w:rsidP="00FD1689">
      <w:pPr>
        <w:jc w:val="both"/>
        <w:rPr>
          <w:rFonts w:cs="Arial"/>
          <w:b/>
          <w:bCs/>
          <w:lang w:val="en-US"/>
        </w:rPr>
      </w:pPr>
    </w:p>
    <w:p w14:paraId="4CA933C4" w14:textId="57FADC40" w:rsidR="00FD1689" w:rsidRPr="00FD1689" w:rsidRDefault="00FD1689" w:rsidP="00FD1689">
      <w:pPr>
        <w:jc w:val="both"/>
        <w:rPr>
          <w:rFonts w:cs="Arial"/>
          <w:b/>
          <w:bCs/>
          <w:lang w:val="en-US"/>
        </w:rPr>
      </w:pPr>
      <w:r w:rsidRPr="00FD1689">
        <w:rPr>
          <w:rFonts w:cs="Arial"/>
          <w:b/>
          <w:bCs/>
          <w:lang w:val="en-US"/>
        </w:rPr>
        <w:t xml:space="preserve">2. </w:t>
      </w:r>
      <w:r w:rsidRPr="00FD1689">
        <w:rPr>
          <w:rFonts w:cs="Arial"/>
          <w:b/>
          <w:bCs/>
          <w:lang w:val="en-US"/>
        </w:rPr>
        <w:tab/>
        <w:t>Summary of current holdings of Executive Director</w:t>
      </w:r>
    </w:p>
    <w:p w14:paraId="1233CAD6" w14:textId="77777777" w:rsidR="00FD1689" w:rsidRPr="00FD1689" w:rsidRDefault="00FD1689" w:rsidP="00FD1689">
      <w:pPr>
        <w:jc w:val="both"/>
        <w:rPr>
          <w:rFonts w:cs="Arial"/>
          <w:bCs/>
          <w:lang w:val="en-US"/>
        </w:rPr>
      </w:pPr>
    </w:p>
    <w:p w14:paraId="67F9250B" w14:textId="45FE54F6" w:rsidR="00646341" w:rsidRDefault="00FD1689" w:rsidP="00FD1689">
      <w:pPr>
        <w:jc w:val="both"/>
        <w:rPr>
          <w:rFonts w:cs="Arial"/>
          <w:bCs/>
          <w:lang w:val="en-US"/>
        </w:rPr>
      </w:pPr>
      <w:r w:rsidRPr="00FD1689">
        <w:rPr>
          <w:rFonts w:cs="Arial"/>
          <w:bCs/>
          <w:lang w:val="en-US"/>
        </w:rPr>
        <w:t>Following this announcement,</w:t>
      </w:r>
      <w:r w:rsidR="009D0A76">
        <w:rPr>
          <w:rFonts w:cs="Arial"/>
          <w:bCs/>
          <w:lang w:val="en-US"/>
        </w:rPr>
        <w:t xml:space="preserve"> </w:t>
      </w:r>
      <w:r w:rsidR="0056556C">
        <w:rPr>
          <w:rFonts w:cs="Arial"/>
          <w:bCs/>
          <w:lang w:val="en-US"/>
        </w:rPr>
        <w:t>Paul Mayland’s</w:t>
      </w:r>
      <w:r w:rsidRPr="00FD1689">
        <w:rPr>
          <w:rFonts w:cs="Arial"/>
          <w:bCs/>
          <w:lang w:val="en-US"/>
        </w:rPr>
        <w:t xml:space="preserve"> beneficial interests in the Shares of the Company </w:t>
      </w:r>
      <w:r w:rsidR="009D0A76">
        <w:rPr>
          <w:rFonts w:cs="Arial"/>
          <w:bCs/>
          <w:lang w:val="en-US"/>
        </w:rPr>
        <w:t>is</w:t>
      </w:r>
      <w:r w:rsidRPr="00FD1689">
        <w:rPr>
          <w:rFonts w:cs="Arial"/>
          <w:bCs/>
          <w:lang w:val="en-US"/>
        </w:rPr>
        <w:t xml:space="preserve"> as follows:</w:t>
      </w:r>
    </w:p>
    <w:p w14:paraId="4736B103" w14:textId="77777777" w:rsidR="00FD1689" w:rsidRPr="00FD1689" w:rsidRDefault="00FD1689" w:rsidP="00FD1689">
      <w:pPr>
        <w:jc w:val="both"/>
        <w:rPr>
          <w:rFonts w:cs="Arial"/>
          <w:bCs/>
          <w:lang w:val="en-US"/>
        </w:rPr>
      </w:pPr>
    </w:p>
    <w:p w14:paraId="1831A9D1" w14:textId="77777777" w:rsidR="00FD1689" w:rsidRPr="00FD1689" w:rsidRDefault="00FD1689" w:rsidP="00FD16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1430"/>
        <w:gridCol w:w="1430"/>
        <w:gridCol w:w="1240"/>
        <w:gridCol w:w="1619"/>
        <w:gridCol w:w="1621"/>
      </w:tblGrid>
      <w:tr w:rsidR="00FD1689" w:rsidRPr="00FD1689" w14:paraId="01C9B03F" w14:textId="77777777" w:rsidTr="00F06C26">
        <w:trPr>
          <w:trHeight w:val="255"/>
        </w:trPr>
        <w:tc>
          <w:tcPr>
            <w:tcW w:w="1141" w:type="pct"/>
            <w:vMerge w:val="restart"/>
            <w:vAlign w:val="center"/>
          </w:tcPr>
          <w:p w14:paraId="444C75B7" w14:textId="2722F1BD" w:rsidR="00FD1689" w:rsidRPr="00FD1689" w:rsidRDefault="0056556C" w:rsidP="00FD1689">
            <w:pPr>
              <w:jc w:val="center"/>
              <w:rPr>
                <w:rFonts w:cs="Arial"/>
                <w:lang w:val="en-US"/>
              </w:rPr>
            </w:pPr>
            <w:r>
              <w:rPr>
                <w:rFonts w:cs="Arial"/>
                <w:b/>
                <w:lang w:val="en-US"/>
              </w:rPr>
              <w:t>PDMR</w:t>
            </w:r>
          </w:p>
        </w:tc>
        <w:tc>
          <w:tcPr>
            <w:tcW w:w="752" w:type="pct"/>
            <w:vMerge w:val="restart"/>
            <w:vAlign w:val="center"/>
          </w:tcPr>
          <w:p w14:paraId="444CCF90" w14:textId="77777777" w:rsidR="00FD1689" w:rsidRPr="00FD1689" w:rsidRDefault="00FD1689" w:rsidP="00FD1689">
            <w:pPr>
              <w:jc w:val="center"/>
              <w:rPr>
                <w:rFonts w:cs="Arial"/>
                <w:b/>
                <w:lang w:val="en-US"/>
              </w:rPr>
            </w:pPr>
            <w:r w:rsidRPr="00FD1689">
              <w:rPr>
                <w:rFonts w:cs="Arial"/>
                <w:b/>
                <w:lang w:val="en-US"/>
              </w:rPr>
              <w:t>Previous</w:t>
            </w:r>
          </w:p>
          <w:p w14:paraId="51C3983C" w14:textId="77777777" w:rsidR="00FD1689" w:rsidRPr="00FD1689" w:rsidRDefault="00FD1689" w:rsidP="00FD1689">
            <w:pPr>
              <w:jc w:val="center"/>
              <w:rPr>
                <w:rFonts w:cs="Arial"/>
                <w:b/>
                <w:lang w:val="en-US"/>
              </w:rPr>
            </w:pPr>
            <w:r w:rsidRPr="00FD1689">
              <w:rPr>
                <w:rFonts w:cs="Arial"/>
                <w:b/>
                <w:lang w:val="en-US"/>
              </w:rPr>
              <w:t>Shares</w:t>
            </w:r>
          </w:p>
        </w:tc>
        <w:tc>
          <w:tcPr>
            <w:tcW w:w="752" w:type="pct"/>
            <w:vMerge w:val="restart"/>
            <w:vAlign w:val="center"/>
          </w:tcPr>
          <w:p w14:paraId="57B4163A" w14:textId="77777777" w:rsidR="00FD1689" w:rsidRPr="00FD1689" w:rsidRDefault="00FD1689" w:rsidP="00FD1689">
            <w:pPr>
              <w:jc w:val="center"/>
              <w:rPr>
                <w:rFonts w:cs="Arial"/>
                <w:lang w:val="en-US"/>
              </w:rPr>
            </w:pPr>
            <w:r w:rsidRPr="00FD1689">
              <w:rPr>
                <w:rFonts w:cs="Arial"/>
                <w:b/>
                <w:lang w:val="en-US"/>
              </w:rPr>
              <w:t>Current Shares</w:t>
            </w:r>
          </w:p>
        </w:tc>
        <w:tc>
          <w:tcPr>
            <w:tcW w:w="652" w:type="pct"/>
            <w:vMerge w:val="restart"/>
            <w:vAlign w:val="center"/>
          </w:tcPr>
          <w:p w14:paraId="32C5A682" w14:textId="77777777" w:rsidR="00FD1689" w:rsidRPr="00FD1689" w:rsidRDefault="00FD1689" w:rsidP="00FD1689">
            <w:pPr>
              <w:jc w:val="center"/>
              <w:rPr>
                <w:rFonts w:cs="Arial"/>
                <w:lang w:val="en-US"/>
              </w:rPr>
            </w:pPr>
            <w:r w:rsidRPr="00FD1689">
              <w:rPr>
                <w:rFonts w:cs="Arial"/>
                <w:b/>
                <w:lang w:val="en-US"/>
              </w:rPr>
              <w:t>% Issued Share Capital</w:t>
            </w:r>
          </w:p>
        </w:tc>
        <w:tc>
          <w:tcPr>
            <w:tcW w:w="1703" w:type="pct"/>
            <w:gridSpan w:val="2"/>
            <w:vAlign w:val="center"/>
          </w:tcPr>
          <w:p w14:paraId="6391913B" w14:textId="77777777" w:rsidR="00FD1689" w:rsidRPr="00FD1689" w:rsidRDefault="00FD1689" w:rsidP="00FD1689">
            <w:pPr>
              <w:jc w:val="center"/>
              <w:rPr>
                <w:rFonts w:cs="Arial"/>
                <w:b/>
                <w:lang w:val="en-US"/>
              </w:rPr>
            </w:pPr>
            <w:r w:rsidRPr="00FD1689">
              <w:rPr>
                <w:rFonts w:cs="Arial"/>
                <w:b/>
                <w:lang w:val="en-US"/>
              </w:rPr>
              <w:t>Outstanding entitlements under 2009 and 2017 LTIPs</w:t>
            </w:r>
          </w:p>
          <w:p w14:paraId="627D73A0" w14:textId="77777777" w:rsidR="00FD1689" w:rsidRPr="00FD1689" w:rsidRDefault="00FD1689" w:rsidP="00FD1689">
            <w:pPr>
              <w:jc w:val="center"/>
              <w:rPr>
                <w:rFonts w:cs="Arial"/>
                <w:b/>
                <w:lang w:val="en-US"/>
              </w:rPr>
            </w:pPr>
          </w:p>
        </w:tc>
      </w:tr>
      <w:tr w:rsidR="00FD1689" w:rsidRPr="00FD1689" w14:paraId="7912391B" w14:textId="77777777" w:rsidTr="00F06C26">
        <w:trPr>
          <w:trHeight w:val="255"/>
        </w:trPr>
        <w:tc>
          <w:tcPr>
            <w:tcW w:w="1141" w:type="pct"/>
            <w:vMerge/>
            <w:vAlign w:val="center"/>
          </w:tcPr>
          <w:p w14:paraId="317B22AD" w14:textId="77777777" w:rsidR="00FD1689" w:rsidRPr="00FD1689" w:rsidRDefault="00FD1689" w:rsidP="00FD1689">
            <w:pPr>
              <w:rPr>
                <w:rFonts w:cs="Arial"/>
                <w:lang w:val="en-US"/>
              </w:rPr>
            </w:pPr>
          </w:p>
        </w:tc>
        <w:tc>
          <w:tcPr>
            <w:tcW w:w="752" w:type="pct"/>
            <w:vMerge/>
          </w:tcPr>
          <w:p w14:paraId="5BEE0CC2" w14:textId="77777777" w:rsidR="00FD1689" w:rsidRPr="00FD1689" w:rsidRDefault="00FD1689" w:rsidP="00FD1689">
            <w:pPr>
              <w:jc w:val="center"/>
              <w:rPr>
                <w:rFonts w:cs="Arial"/>
                <w:lang w:val="en-US"/>
              </w:rPr>
            </w:pPr>
          </w:p>
        </w:tc>
        <w:tc>
          <w:tcPr>
            <w:tcW w:w="752" w:type="pct"/>
            <w:vMerge/>
            <w:vAlign w:val="center"/>
          </w:tcPr>
          <w:p w14:paraId="566C4B03" w14:textId="77777777" w:rsidR="00FD1689" w:rsidRPr="00FD1689" w:rsidRDefault="00FD1689" w:rsidP="00FD1689">
            <w:pPr>
              <w:jc w:val="center"/>
              <w:rPr>
                <w:rFonts w:cs="Arial"/>
                <w:lang w:val="en-US"/>
              </w:rPr>
            </w:pPr>
          </w:p>
        </w:tc>
        <w:tc>
          <w:tcPr>
            <w:tcW w:w="652" w:type="pct"/>
            <w:vMerge/>
            <w:vAlign w:val="bottom"/>
          </w:tcPr>
          <w:p w14:paraId="13869872" w14:textId="77777777" w:rsidR="00FD1689" w:rsidRPr="00FD1689" w:rsidRDefault="00FD1689" w:rsidP="00FD1689">
            <w:pPr>
              <w:jc w:val="center"/>
              <w:rPr>
                <w:rFonts w:cs="Arial"/>
                <w:lang w:val="en-US"/>
              </w:rPr>
            </w:pPr>
          </w:p>
        </w:tc>
        <w:tc>
          <w:tcPr>
            <w:tcW w:w="851" w:type="pct"/>
            <w:vAlign w:val="bottom"/>
          </w:tcPr>
          <w:p w14:paraId="2D930589" w14:textId="77777777" w:rsidR="00FD1689" w:rsidRPr="00FD1689" w:rsidRDefault="00FD1689" w:rsidP="00FD1689">
            <w:pPr>
              <w:jc w:val="center"/>
              <w:rPr>
                <w:rFonts w:cs="Arial"/>
                <w:i/>
              </w:rPr>
            </w:pPr>
            <w:r w:rsidRPr="00FD1689">
              <w:rPr>
                <w:rFonts w:cs="Arial"/>
                <w:i/>
              </w:rPr>
              <w:t>Unvested Awards still subject to performance conditions</w:t>
            </w:r>
          </w:p>
        </w:tc>
        <w:tc>
          <w:tcPr>
            <w:tcW w:w="852" w:type="pct"/>
            <w:vAlign w:val="center"/>
          </w:tcPr>
          <w:p w14:paraId="7C48347A" w14:textId="77777777" w:rsidR="00FD1689" w:rsidRPr="00FD1689" w:rsidRDefault="00FD1689" w:rsidP="00FD1689">
            <w:pPr>
              <w:jc w:val="center"/>
              <w:rPr>
                <w:rFonts w:cs="Arial"/>
                <w:i/>
              </w:rPr>
            </w:pPr>
            <w:r w:rsidRPr="00FD1689">
              <w:rPr>
                <w:rFonts w:cs="Arial"/>
                <w:i/>
              </w:rPr>
              <w:t>Vested but unexercised Awards</w:t>
            </w:r>
            <w:r w:rsidRPr="00FD1689">
              <w:rPr>
                <w:rFonts w:cs="Arial"/>
              </w:rPr>
              <w:t>*</w:t>
            </w:r>
          </w:p>
        </w:tc>
      </w:tr>
      <w:tr w:rsidR="00EA467C" w:rsidRPr="00FD1689" w14:paraId="27B5063E" w14:textId="77777777" w:rsidTr="00360E65">
        <w:trPr>
          <w:trHeight w:val="401"/>
        </w:trPr>
        <w:tc>
          <w:tcPr>
            <w:tcW w:w="1141" w:type="pct"/>
            <w:vAlign w:val="center"/>
          </w:tcPr>
          <w:p w14:paraId="514DC9E7" w14:textId="40EFCA1A" w:rsidR="00EA467C" w:rsidRPr="00FD1689" w:rsidRDefault="00EA467C" w:rsidP="00EA467C">
            <w:pPr>
              <w:rPr>
                <w:rFonts w:cs="Arial"/>
                <w:lang w:val="en-US"/>
              </w:rPr>
            </w:pPr>
            <w:r>
              <w:rPr>
                <w:rFonts w:cs="Arial"/>
                <w:lang w:val="en-US"/>
              </w:rPr>
              <w:t>Paul Mayland</w:t>
            </w:r>
          </w:p>
        </w:tc>
        <w:tc>
          <w:tcPr>
            <w:tcW w:w="752" w:type="pct"/>
            <w:vAlign w:val="center"/>
          </w:tcPr>
          <w:p w14:paraId="30478C45" w14:textId="26D63CF6" w:rsidR="00EA467C" w:rsidRPr="006D2E6F" w:rsidRDefault="00EA467C" w:rsidP="00EA467C">
            <w:pPr>
              <w:jc w:val="center"/>
              <w:rPr>
                <w:rFonts w:cs="Arial"/>
                <w:lang w:val="en-US"/>
              </w:rPr>
            </w:pPr>
            <w:r>
              <w:rPr>
                <w:rFonts w:cs="Arial"/>
                <w:lang w:val="en-US"/>
              </w:rPr>
              <w:t>551,464</w:t>
            </w:r>
          </w:p>
        </w:tc>
        <w:tc>
          <w:tcPr>
            <w:tcW w:w="752" w:type="pct"/>
            <w:vAlign w:val="center"/>
          </w:tcPr>
          <w:p w14:paraId="43DCF561" w14:textId="2C785961" w:rsidR="00EA467C" w:rsidRPr="00360E65" w:rsidRDefault="00EA467C" w:rsidP="00EA467C">
            <w:pPr>
              <w:jc w:val="center"/>
              <w:rPr>
                <w:rFonts w:cs="Arial"/>
                <w:lang w:val="en-US"/>
              </w:rPr>
            </w:pPr>
            <w:r>
              <w:rPr>
                <w:rFonts w:cs="Arial"/>
                <w:lang w:val="en-US"/>
              </w:rPr>
              <w:t>45,464</w:t>
            </w:r>
          </w:p>
        </w:tc>
        <w:tc>
          <w:tcPr>
            <w:tcW w:w="652" w:type="pct"/>
            <w:vAlign w:val="center"/>
          </w:tcPr>
          <w:p w14:paraId="0EBE5A91" w14:textId="4120151E" w:rsidR="00EA467C" w:rsidRPr="006D2E6F" w:rsidRDefault="00EA467C" w:rsidP="00EA467C">
            <w:pPr>
              <w:jc w:val="center"/>
              <w:rPr>
                <w:rFonts w:cs="Arial"/>
                <w:lang w:val="en-US"/>
              </w:rPr>
            </w:pPr>
            <w:r>
              <w:rPr>
                <w:rFonts w:cs="Arial"/>
                <w:lang w:val="en-US"/>
              </w:rPr>
              <w:t>0.0091</w:t>
            </w:r>
          </w:p>
        </w:tc>
        <w:tc>
          <w:tcPr>
            <w:tcW w:w="851" w:type="pct"/>
            <w:vAlign w:val="center"/>
          </w:tcPr>
          <w:p w14:paraId="37A5155D" w14:textId="52C03CEB" w:rsidR="00EA467C" w:rsidRPr="006D2E6F" w:rsidRDefault="00EA467C" w:rsidP="00EA467C">
            <w:pPr>
              <w:jc w:val="center"/>
              <w:rPr>
                <w:rFonts w:cs="Arial"/>
              </w:rPr>
            </w:pPr>
            <w:r>
              <w:rPr>
                <w:rFonts w:cs="Arial"/>
                <w:color w:val="000000"/>
              </w:rPr>
              <w:t>1,427,817</w:t>
            </w:r>
          </w:p>
        </w:tc>
        <w:tc>
          <w:tcPr>
            <w:tcW w:w="852" w:type="pct"/>
            <w:vAlign w:val="center"/>
          </w:tcPr>
          <w:p w14:paraId="53315C76" w14:textId="33EDE0BC" w:rsidR="00EA467C" w:rsidRPr="006D2E6F" w:rsidRDefault="00EA467C" w:rsidP="00EA467C">
            <w:pPr>
              <w:jc w:val="center"/>
              <w:rPr>
                <w:rFonts w:cs="Arial"/>
              </w:rPr>
            </w:pPr>
            <w:r>
              <w:rPr>
                <w:rFonts w:cs="Arial"/>
                <w:color w:val="000000"/>
              </w:rPr>
              <w:t>352,055</w:t>
            </w:r>
          </w:p>
        </w:tc>
      </w:tr>
    </w:tbl>
    <w:p w14:paraId="4C1400E0" w14:textId="77777777" w:rsidR="00FD1689" w:rsidRPr="00FD1689" w:rsidRDefault="00FD1689" w:rsidP="00FD1689">
      <w:pPr>
        <w:jc w:val="both"/>
        <w:rPr>
          <w:rFonts w:cs="Arial"/>
          <w:sz w:val="16"/>
          <w:szCs w:val="16"/>
          <w:lang w:val="en-US"/>
        </w:rPr>
      </w:pPr>
    </w:p>
    <w:p w14:paraId="36726D17" w14:textId="77777777" w:rsidR="00FD1689" w:rsidRPr="00FD1689" w:rsidRDefault="00FD1689" w:rsidP="00FD1689">
      <w:pPr>
        <w:jc w:val="both"/>
        <w:rPr>
          <w:rFonts w:cs="Arial"/>
          <w:sz w:val="16"/>
          <w:szCs w:val="16"/>
          <w:lang w:val="en-US"/>
        </w:rPr>
      </w:pPr>
      <w:r w:rsidRPr="00FD1689">
        <w:rPr>
          <w:rFonts w:cs="Arial"/>
          <w:sz w:val="16"/>
          <w:szCs w:val="16"/>
          <w:lang w:val="en-US"/>
        </w:rPr>
        <w:t>* This column includes all outstanding Awards that have vested following the expiry of the applicable performance period, regardless of whether or not they are currently capable of being exercised under the rules of the applicable LTIP.</w:t>
      </w:r>
    </w:p>
    <w:p w14:paraId="5ECFCB6B" w14:textId="77777777" w:rsidR="00FD1689" w:rsidRPr="00FD1689" w:rsidRDefault="00FD1689" w:rsidP="00FD1689">
      <w:pPr>
        <w:jc w:val="both"/>
        <w:rPr>
          <w:rFonts w:cs="Arial"/>
          <w:sz w:val="16"/>
          <w:szCs w:val="16"/>
          <w:lang w:val="en-US"/>
        </w:rPr>
      </w:pPr>
    </w:p>
    <w:p w14:paraId="64BBAD52" w14:textId="77777777" w:rsidR="00FD1689" w:rsidRPr="00FD1689" w:rsidRDefault="00FD1689" w:rsidP="00FD1689">
      <w:pPr>
        <w:jc w:val="both"/>
        <w:rPr>
          <w:rFonts w:cs="Arial"/>
          <w:sz w:val="16"/>
          <w:szCs w:val="16"/>
          <w:lang w:val="en-US"/>
        </w:rPr>
      </w:pPr>
    </w:p>
    <w:p w14:paraId="0EF520BF" w14:textId="77777777" w:rsidR="00FD1689" w:rsidRPr="00FD1689" w:rsidRDefault="00FD1689" w:rsidP="00FD1689">
      <w:r w:rsidRPr="00FD1689">
        <w:t>The following notifications are intended to satisfy the Company’s obligations under Article 19(3) of EU Regulation No 596/2014 (the Market Abuse Regulation).</w:t>
      </w:r>
    </w:p>
    <w:p w14:paraId="6CF5FFD3" w14:textId="77777777" w:rsidR="00FD1689" w:rsidRPr="00FD1689" w:rsidRDefault="00FD1689" w:rsidP="00FD1689">
      <w:pPr>
        <w:rPr>
          <w:rFonts w:cs="Arial"/>
        </w:rPr>
      </w:pPr>
    </w:p>
    <w:p w14:paraId="41F4C0C4" w14:textId="77777777" w:rsidR="00FD1689" w:rsidRPr="00FD1689" w:rsidRDefault="00FD1689" w:rsidP="00FD1689"/>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FD1689" w:rsidRPr="00FD1689" w14:paraId="1B9E37E9"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593E436"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lastRenderedPageBreak/>
              <w:t>1</w:t>
            </w:r>
          </w:p>
        </w:tc>
        <w:tc>
          <w:tcPr>
            <w:tcW w:w="8705" w:type="dxa"/>
            <w:gridSpan w:val="2"/>
            <w:tcBorders>
              <w:top w:val="single" w:sz="4" w:space="0" w:color="000000"/>
              <w:left w:val="single" w:sz="4" w:space="0" w:color="000000"/>
              <w:bottom w:val="single" w:sz="4" w:space="0" w:color="000000"/>
              <w:right w:val="nil"/>
            </w:tcBorders>
            <w:vAlign w:val="center"/>
          </w:tcPr>
          <w:p w14:paraId="75A6D09E"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b/>
              </w:rPr>
            </w:pPr>
            <w:r w:rsidRPr="00FD1689">
              <w:rPr>
                <w:b/>
                <w:lang w:eastAsia="en-US"/>
              </w:rPr>
              <w:t>Details of the person discharging managerial responsibilities/person closely associated</w:t>
            </w:r>
          </w:p>
        </w:tc>
      </w:tr>
      <w:tr w:rsidR="00FD1689" w:rsidRPr="00FD1689" w14:paraId="5319EF95"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FD39886"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138F0CF9"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71F15A16" w14:textId="1B59BC06" w:rsidR="00FD1689" w:rsidRPr="00FD1689" w:rsidRDefault="0056556C" w:rsidP="00FD1689">
            <w:pPr>
              <w:widowControl w:val="0"/>
              <w:kinsoku w:val="0"/>
              <w:overflowPunct w:val="0"/>
              <w:autoSpaceDE w:val="0"/>
              <w:autoSpaceDN w:val="0"/>
              <w:adjustRightInd w:val="0"/>
              <w:spacing w:before="60" w:after="60"/>
              <w:ind w:left="154"/>
              <w:rPr>
                <w:rFonts w:eastAsiaTheme="minorEastAsia" w:cs="Arial"/>
              </w:rPr>
            </w:pPr>
            <w:r>
              <w:rPr>
                <w:rFonts w:eastAsiaTheme="minorEastAsia" w:cs="Arial"/>
              </w:rPr>
              <w:t>Paul Mayland</w:t>
            </w:r>
          </w:p>
        </w:tc>
      </w:tr>
      <w:tr w:rsidR="00FD1689" w:rsidRPr="00FD1689" w14:paraId="1C5B2B0A"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25090F0E"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67936373"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Reason for the notification</w:t>
            </w:r>
          </w:p>
        </w:tc>
      </w:tr>
      <w:tr w:rsidR="00FD1689" w:rsidRPr="00FD1689" w14:paraId="1E959D60"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08EE690"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35300A8A"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0F111D16" w14:textId="70C34EAE"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 xml:space="preserve">Chief </w:t>
            </w:r>
            <w:r w:rsidR="0056556C">
              <w:rPr>
                <w:rFonts w:eastAsiaTheme="minorEastAsia" w:cs="Arial"/>
              </w:rPr>
              <w:t>Operating</w:t>
            </w:r>
            <w:r w:rsidRPr="00FD1689">
              <w:rPr>
                <w:rFonts w:eastAsiaTheme="minorEastAsia" w:cs="Arial"/>
              </w:rPr>
              <w:t xml:space="preserve"> Officer</w:t>
            </w:r>
          </w:p>
        </w:tc>
      </w:tr>
      <w:tr w:rsidR="00FD1689" w:rsidRPr="00FD1689" w14:paraId="069BB89F"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6CC3312E"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1742B297" w14:textId="77777777" w:rsidR="00FD1689" w:rsidRPr="00FD1689" w:rsidRDefault="00FD1689" w:rsidP="00FD1689">
            <w:pPr>
              <w:widowControl w:val="0"/>
              <w:kinsoku w:val="0"/>
              <w:overflowPunct w:val="0"/>
              <w:autoSpaceDE w:val="0"/>
              <w:autoSpaceDN w:val="0"/>
              <w:adjustRightInd w:val="0"/>
              <w:spacing w:before="60" w:after="60"/>
              <w:ind w:left="84" w:right="662"/>
              <w:rPr>
                <w:rFonts w:eastAsiaTheme="minorEastAsia" w:cs="Arial"/>
              </w:rPr>
            </w:pPr>
            <w:r w:rsidRPr="00FD1689">
              <w:rPr>
                <w:rFonts w:eastAsiaTheme="minorEastAsia" w:cs="Arial"/>
              </w:rPr>
              <w:t>Initial</w:t>
            </w:r>
            <w:r w:rsidRPr="00FD1689">
              <w:rPr>
                <w:rFonts w:eastAsiaTheme="minorEastAsia" w:cs="Arial"/>
                <w:spacing w:val="-15"/>
              </w:rPr>
              <w:t xml:space="preserve"> </w:t>
            </w:r>
            <w:r w:rsidRPr="00FD1689">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74CA0E83"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Initial Notification</w:t>
            </w:r>
          </w:p>
        </w:tc>
      </w:tr>
      <w:tr w:rsidR="00FD1689" w:rsidRPr="00FD1689" w14:paraId="1FF3B094"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1F065726"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514A06CC"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Details of the issuer, emission allowance market participant, auction platform, auctioneer or auction monitor</w:t>
            </w:r>
          </w:p>
        </w:tc>
      </w:tr>
      <w:tr w:rsidR="00FD1689" w:rsidRPr="00FD1689" w14:paraId="0AC3D4AD"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2C9E9E4"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771EBEA5"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7184B294" w14:textId="5D2D8332" w:rsidR="00FD1689" w:rsidRPr="00FD1689" w:rsidRDefault="0056556C" w:rsidP="00FD1689">
            <w:pPr>
              <w:widowControl w:val="0"/>
              <w:kinsoku w:val="0"/>
              <w:overflowPunct w:val="0"/>
              <w:autoSpaceDE w:val="0"/>
              <w:autoSpaceDN w:val="0"/>
              <w:adjustRightInd w:val="0"/>
              <w:spacing w:before="60" w:after="60"/>
              <w:ind w:left="154"/>
              <w:rPr>
                <w:rFonts w:eastAsiaTheme="minorEastAsia" w:cs="Arial"/>
              </w:rPr>
            </w:pPr>
            <w:r>
              <w:rPr>
                <w:rFonts w:eastAsiaTheme="minorEastAsia" w:cs="Arial"/>
              </w:rPr>
              <w:t>Capricorn</w:t>
            </w:r>
            <w:r w:rsidR="00FD1689" w:rsidRPr="00FD1689">
              <w:rPr>
                <w:rFonts w:eastAsiaTheme="minorEastAsia" w:cs="Arial"/>
              </w:rPr>
              <w:t xml:space="preserve"> Energy PLC</w:t>
            </w:r>
          </w:p>
        </w:tc>
      </w:tr>
      <w:tr w:rsidR="00FD1689" w:rsidRPr="00FD1689" w14:paraId="50C3B422"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5C29C89"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65FBE346"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0B4AD46B" w14:textId="77777777" w:rsidR="00FD1689" w:rsidRPr="00FD1689" w:rsidRDefault="00FD1689" w:rsidP="00FD1689">
            <w:pPr>
              <w:ind w:left="154"/>
              <w:jc w:val="both"/>
              <w:rPr>
                <w:rFonts w:cs="Arial"/>
                <w:sz w:val="16"/>
                <w:szCs w:val="16"/>
                <w:lang w:val="en-US"/>
              </w:rPr>
            </w:pPr>
            <w:r w:rsidRPr="00FD1689">
              <w:rPr>
                <w:rFonts w:eastAsia="Arial Unicode MS" w:cs="Arial" w:hint="eastAsia"/>
                <w:lang w:val="en-US"/>
              </w:rPr>
              <w:t>213800ZJEUQ8ZOC9AL24</w:t>
            </w:r>
          </w:p>
        </w:tc>
      </w:tr>
      <w:tr w:rsidR="00FD1689" w:rsidRPr="00FD1689" w14:paraId="7409746F"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7EE25D15"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4D19DB93"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Details of the transaction(s): section to be repeated for (i) each type of instrument; (ii) each type of transaction; (iii) each date; and (iv) each place where transactions have been conducted</w:t>
            </w:r>
          </w:p>
        </w:tc>
      </w:tr>
      <w:tr w:rsidR="00FD1689" w:rsidRPr="00FD1689" w14:paraId="6EADD3E8" w14:textId="77777777" w:rsidTr="00F06C26">
        <w:trPr>
          <w:cantSplit/>
          <w:trHeight w:val="1002"/>
        </w:trPr>
        <w:tc>
          <w:tcPr>
            <w:tcW w:w="506" w:type="dxa"/>
            <w:vMerge w:val="restart"/>
            <w:tcBorders>
              <w:top w:val="single" w:sz="4" w:space="0" w:color="000000"/>
              <w:left w:val="nil"/>
              <w:right w:val="single" w:sz="4" w:space="0" w:color="000000"/>
            </w:tcBorders>
            <w:vAlign w:val="center"/>
          </w:tcPr>
          <w:p w14:paraId="29C4C4F4"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bookmarkStart w:id="0" w:name="_Hlk87019208"/>
            <w:r w:rsidRPr="00FD1689">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7CC49D94"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1DDE27E9" w14:textId="55B37CF3" w:rsidR="00FD1689" w:rsidRPr="00FD1689" w:rsidRDefault="00FD1689" w:rsidP="002D29A3">
            <w:pPr>
              <w:widowControl w:val="0"/>
              <w:tabs>
                <w:tab w:val="left" w:pos="724"/>
              </w:tabs>
              <w:kinsoku w:val="0"/>
              <w:overflowPunct w:val="0"/>
              <w:autoSpaceDE w:val="0"/>
              <w:autoSpaceDN w:val="0"/>
              <w:adjustRightInd w:val="0"/>
              <w:spacing w:before="60" w:after="60"/>
              <w:ind w:left="153"/>
              <w:rPr>
                <w:rFonts w:eastAsiaTheme="minorEastAsia" w:cs="Arial"/>
              </w:rPr>
            </w:pPr>
            <w:r w:rsidRPr="00FD1689">
              <w:rPr>
                <w:rFonts w:eastAsiaTheme="minorEastAsia" w:cs="Arial"/>
              </w:rPr>
              <w:t>Ordinary shares of 21/1</w:t>
            </w:r>
            <w:r w:rsidR="00D3118C">
              <w:rPr>
                <w:rFonts w:eastAsiaTheme="minorEastAsia" w:cs="Arial"/>
              </w:rPr>
              <w:t>3</w:t>
            </w:r>
            <w:r w:rsidRPr="00FD1689">
              <w:rPr>
                <w:rFonts w:eastAsiaTheme="minorEastAsia" w:cs="Arial"/>
                <w:szCs w:val="24"/>
              </w:rPr>
              <w:t xml:space="preserve"> pence each</w:t>
            </w:r>
          </w:p>
        </w:tc>
      </w:tr>
      <w:tr w:rsidR="00FD1689" w:rsidRPr="00FD1689" w14:paraId="1A86F2ED" w14:textId="77777777" w:rsidTr="00F06C26">
        <w:trPr>
          <w:cantSplit/>
          <w:trHeight w:hRule="exact" w:val="680"/>
        </w:trPr>
        <w:tc>
          <w:tcPr>
            <w:tcW w:w="506" w:type="dxa"/>
            <w:vMerge/>
            <w:tcBorders>
              <w:left w:val="nil"/>
              <w:bottom w:val="single" w:sz="4" w:space="0" w:color="000000"/>
              <w:right w:val="single" w:sz="4" w:space="0" w:color="000000"/>
            </w:tcBorders>
            <w:vAlign w:val="center"/>
          </w:tcPr>
          <w:p w14:paraId="1DA76950"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3A7FE99F"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Identification</w:t>
            </w:r>
            <w:r w:rsidRPr="00FD1689">
              <w:rPr>
                <w:rFonts w:eastAsiaTheme="minorEastAsia" w:cs="Arial"/>
                <w:spacing w:val="-23"/>
              </w:rPr>
              <w:t xml:space="preserve"> </w:t>
            </w:r>
            <w:r w:rsidRPr="00FD1689">
              <w:rPr>
                <w:rFonts w:eastAsiaTheme="minorEastAsia" w:cs="Arial"/>
              </w:rPr>
              <w:t>code</w:t>
            </w:r>
          </w:p>
        </w:tc>
        <w:tc>
          <w:tcPr>
            <w:tcW w:w="6530" w:type="dxa"/>
            <w:tcBorders>
              <w:left w:val="single" w:sz="4" w:space="0" w:color="000000"/>
              <w:bottom w:val="single" w:sz="4" w:space="0" w:color="000000"/>
              <w:right w:val="nil"/>
            </w:tcBorders>
            <w:vAlign w:val="center"/>
          </w:tcPr>
          <w:p w14:paraId="58323E25" w14:textId="25D75768" w:rsidR="00FD1689" w:rsidRPr="00FD1689" w:rsidRDefault="00D3118C" w:rsidP="00FD1689">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bookmarkEnd w:id="0"/>
      <w:tr w:rsidR="00FD1689" w:rsidRPr="00FD1689" w14:paraId="023A2C1F" w14:textId="77777777" w:rsidTr="00F06C26">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46222DA3"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283DA141"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Nature of the</w:t>
            </w:r>
            <w:r w:rsidRPr="00FD1689">
              <w:rPr>
                <w:rFonts w:eastAsiaTheme="minorEastAsia" w:cs="Arial"/>
                <w:spacing w:val="24"/>
              </w:rPr>
              <w:t xml:space="preserve"> </w:t>
            </w:r>
            <w:r w:rsidRPr="00FD1689">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5F6008B0" w14:textId="0ED488B9" w:rsidR="00FD1689" w:rsidRPr="00FD1689" w:rsidRDefault="009D0A76" w:rsidP="00FD1689">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Sale of ordinary shares of 21/13 pence each</w:t>
            </w:r>
          </w:p>
        </w:tc>
      </w:tr>
      <w:tr w:rsidR="00FD1689" w:rsidRPr="00FD1689" w14:paraId="18D83773" w14:textId="77777777" w:rsidTr="00F06C26">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0CBB4F1F"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08D7120A"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FD1689" w:rsidRPr="00FD1689" w14:paraId="52059E88" w14:textId="77777777" w:rsidTr="00F06C26">
              <w:tc>
                <w:tcPr>
                  <w:tcW w:w="3255" w:type="dxa"/>
                  <w:vAlign w:val="center"/>
                </w:tcPr>
                <w:p w14:paraId="3DDBAF76"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Price(s)</w:t>
                  </w:r>
                </w:p>
              </w:tc>
              <w:tc>
                <w:tcPr>
                  <w:tcW w:w="3255" w:type="dxa"/>
                  <w:vAlign w:val="center"/>
                </w:tcPr>
                <w:p w14:paraId="2FE72866"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Volume(s)</w:t>
                  </w:r>
                </w:p>
              </w:tc>
            </w:tr>
            <w:tr w:rsidR="00FD1689" w:rsidRPr="00FD1689" w14:paraId="545BC89E" w14:textId="77777777" w:rsidTr="00F06C26">
              <w:tc>
                <w:tcPr>
                  <w:tcW w:w="3255" w:type="dxa"/>
                  <w:vAlign w:val="center"/>
                </w:tcPr>
                <w:p w14:paraId="3C9F9A34" w14:textId="158CDEFD"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lang w:val="en-US"/>
                    </w:rPr>
                  </w:pPr>
                  <w:r w:rsidRPr="00FD1689">
                    <w:rPr>
                      <w:rFonts w:eastAsiaTheme="minorEastAsia" w:cs="Arial"/>
                      <w:lang w:val="en-US"/>
                    </w:rPr>
                    <w:t>£</w:t>
                  </w:r>
                  <w:r w:rsidR="0065403A">
                    <w:rPr>
                      <w:rFonts w:eastAsiaTheme="minorEastAsia" w:cs="Arial"/>
                      <w:lang w:val="en-US"/>
                    </w:rPr>
                    <w:t>1.</w:t>
                  </w:r>
                  <w:r w:rsidR="0056556C">
                    <w:rPr>
                      <w:rFonts w:eastAsiaTheme="minorEastAsia" w:cs="Arial"/>
                      <w:lang w:val="en-US"/>
                    </w:rPr>
                    <w:t>84</w:t>
                  </w:r>
                  <w:r w:rsidR="0065403A">
                    <w:rPr>
                      <w:rFonts w:eastAsiaTheme="minorEastAsia" w:cs="Arial"/>
                      <w:lang w:val="en-US"/>
                    </w:rPr>
                    <w:t>0</w:t>
                  </w:r>
                  <w:r w:rsidR="0056556C">
                    <w:rPr>
                      <w:rFonts w:eastAsiaTheme="minorEastAsia" w:cs="Arial"/>
                      <w:lang w:val="en-US"/>
                    </w:rPr>
                    <w:t>2</w:t>
                  </w:r>
                </w:p>
              </w:tc>
              <w:tc>
                <w:tcPr>
                  <w:tcW w:w="3255" w:type="dxa"/>
                  <w:vAlign w:val="center"/>
                </w:tcPr>
                <w:p w14:paraId="51EB8BB7" w14:textId="1A205388" w:rsidR="00FD1689" w:rsidRPr="00FD1689" w:rsidRDefault="0056556C" w:rsidP="00FD1689">
                  <w:pPr>
                    <w:widowControl w:val="0"/>
                    <w:kinsoku w:val="0"/>
                    <w:overflowPunct w:val="0"/>
                    <w:autoSpaceDE w:val="0"/>
                    <w:autoSpaceDN w:val="0"/>
                    <w:adjustRightInd w:val="0"/>
                    <w:spacing w:before="60" w:after="60"/>
                    <w:jc w:val="center"/>
                    <w:rPr>
                      <w:rFonts w:eastAsiaTheme="minorEastAsia" w:cs="Arial"/>
                      <w:lang w:val="en-US"/>
                    </w:rPr>
                  </w:pPr>
                  <w:r>
                    <w:rPr>
                      <w:lang w:eastAsia="en-US"/>
                    </w:rPr>
                    <w:t>506,000</w:t>
                  </w:r>
                </w:p>
              </w:tc>
            </w:tr>
          </w:tbl>
          <w:p w14:paraId="602C26C5"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tc>
      </w:tr>
      <w:tr w:rsidR="00FD1689" w:rsidRPr="00FD1689" w14:paraId="16175BBE" w14:textId="77777777" w:rsidTr="00F06C26">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39D3EF20"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128968E2"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Aggregated information</w:t>
            </w:r>
          </w:p>
          <w:p w14:paraId="3C8959CD"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Aggregated volume</w:t>
            </w:r>
          </w:p>
          <w:p w14:paraId="7C46F40C"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490D63C0"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21B88C1A"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3FE382A2" w14:textId="72C866DB" w:rsidR="0018421A" w:rsidRPr="0018421A" w:rsidRDefault="00961FED" w:rsidP="0018421A">
            <w:pPr>
              <w:pStyle w:val="ListParagraph"/>
              <w:widowControl w:val="0"/>
              <w:numPr>
                <w:ilvl w:val="0"/>
                <w:numId w:val="24"/>
              </w:numPr>
              <w:kinsoku w:val="0"/>
              <w:overflowPunct w:val="0"/>
              <w:autoSpaceDE w:val="0"/>
              <w:autoSpaceDN w:val="0"/>
              <w:adjustRightInd w:val="0"/>
              <w:spacing w:before="60" w:after="60"/>
              <w:rPr>
                <w:rFonts w:eastAsiaTheme="minorEastAsia" w:cs="Arial"/>
              </w:rPr>
            </w:pPr>
            <w:r>
              <w:rPr>
                <w:rFonts w:eastAsiaTheme="minorEastAsia" w:cs="Arial"/>
              </w:rPr>
              <w:t>Not applicable</w:t>
            </w:r>
          </w:p>
        </w:tc>
      </w:tr>
      <w:tr w:rsidR="00FD1689" w:rsidRPr="00FD1689" w14:paraId="324E575E"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927482A"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lastRenderedPageBreak/>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13083952"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3D8BABE5" w14:textId="6AAB4898" w:rsidR="00FD1689" w:rsidRPr="00FD1689" w:rsidRDefault="00D3118C" w:rsidP="00055948">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055948">
              <w:rPr>
                <w:rFonts w:eastAsiaTheme="minorEastAsia" w:cs="Arial"/>
              </w:rPr>
              <w:t>1</w:t>
            </w:r>
            <w:r w:rsidR="0056556C">
              <w:rPr>
                <w:rFonts w:eastAsiaTheme="minorEastAsia" w:cs="Arial"/>
              </w:rPr>
              <w:t>2</w:t>
            </w:r>
            <w:r w:rsidR="00055948">
              <w:rPr>
                <w:rFonts w:eastAsiaTheme="minorEastAsia" w:cs="Arial"/>
              </w:rPr>
              <w:t>-</w:t>
            </w:r>
            <w:r w:rsidR="0056556C">
              <w:rPr>
                <w:rFonts w:eastAsiaTheme="minorEastAsia" w:cs="Arial"/>
              </w:rPr>
              <w:t>21</w:t>
            </w:r>
            <w:r w:rsidR="000C7A9D">
              <w:rPr>
                <w:rFonts w:eastAsiaTheme="minorEastAsia" w:cs="Arial"/>
              </w:rPr>
              <w:t xml:space="preserve"> </w:t>
            </w:r>
          </w:p>
        </w:tc>
      </w:tr>
      <w:tr w:rsidR="00FD1689" w:rsidRPr="00FD1689" w14:paraId="52DDCDEA" w14:textId="77777777" w:rsidTr="00EA08FA">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027A8F90"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32E235B2"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2B32B1DA"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London Stock Exchange</w:t>
            </w:r>
          </w:p>
        </w:tc>
      </w:tr>
    </w:tbl>
    <w:p w14:paraId="5510D84C" w14:textId="77777777" w:rsidR="00FD1689" w:rsidRPr="00FD1689" w:rsidRDefault="00FD1689" w:rsidP="00FD1689"/>
    <w:p w14:paraId="2EBFB55E" w14:textId="77777777" w:rsidR="008F70AF" w:rsidRPr="00FD1689" w:rsidRDefault="008F70AF" w:rsidP="00FD1689"/>
    <w:sectPr w:rsidR="008F70AF" w:rsidRPr="00FD1689" w:rsidSect="002479A2">
      <w:headerReference w:type="default" r:id="rId8"/>
      <w:footerReference w:type="even" r:id="rId9"/>
      <w:footerReference w:type="default" r:id="rId10"/>
      <w:pgSz w:w="12240" w:h="15840"/>
      <w:pgMar w:top="1700" w:right="1360" w:bottom="1500"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035E" w14:textId="77777777" w:rsidR="00EF4423" w:rsidRDefault="00EF4423">
      <w:r>
        <w:separator/>
      </w:r>
    </w:p>
  </w:endnote>
  <w:endnote w:type="continuationSeparator" w:id="0">
    <w:p w14:paraId="60E56807" w14:textId="77777777" w:rsidR="00EF4423" w:rsidRDefault="00EF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D549" w14:textId="67CC062B" w:rsidR="00CB14B6" w:rsidRDefault="00CB1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948">
      <w:rPr>
        <w:rStyle w:val="PageNumber"/>
        <w:noProof/>
      </w:rPr>
      <w:t>3</w:t>
    </w:r>
    <w:r>
      <w:rPr>
        <w:rStyle w:val="PageNumber"/>
      </w:rPr>
      <w:fldChar w:fldCharType="end"/>
    </w:r>
  </w:p>
  <w:p w14:paraId="32614882" w14:textId="77777777" w:rsidR="00CB14B6" w:rsidRDefault="00CB14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6B93" w14:textId="389ACF1A" w:rsidR="00CB14B6" w:rsidRDefault="00CB1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362">
      <w:rPr>
        <w:rStyle w:val="PageNumber"/>
        <w:noProof/>
      </w:rPr>
      <w:t>1</w:t>
    </w:r>
    <w:r>
      <w:rPr>
        <w:rStyle w:val="PageNumber"/>
      </w:rPr>
      <w:fldChar w:fldCharType="end"/>
    </w:r>
  </w:p>
  <w:p w14:paraId="4BBCD346" w14:textId="77777777" w:rsidR="00CB14B6" w:rsidRDefault="00CB14B6">
    <w:pPr>
      <w:pStyle w:val="Footer"/>
      <w:ind w:right="360"/>
      <w:rPr>
        <w:color w:val="C0C0C0"/>
        <w:sz w:val="16"/>
        <w:szCs w:val="16"/>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7678" w14:textId="77777777" w:rsidR="00EF4423" w:rsidRDefault="00EF4423">
      <w:r>
        <w:separator/>
      </w:r>
    </w:p>
  </w:footnote>
  <w:footnote w:type="continuationSeparator" w:id="0">
    <w:p w14:paraId="095871B0" w14:textId="77777777" w:rsidR="00EF4423" w:rsidRDefault="00EF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AFF2" w14:textId="19D71C99" w:rsidR="00CB14B6" w:rsidRDefault="0056556C">
    <w:pPr>
      <w:pStyle w:val="Header"/>
    </w:pPr>
    <w:r w:rsidRPr="00A77BFF">
      <w:rPr>
        <w:rFonts w:cs="Arial"/>
        <w:noProof/>
      </w:rPr>
      <w:drawing>
        <wp:anchor distT="0" distB="0" distL="114300" distR="114300" simplePos="0" relativeHeight="251659264" behindDoc="0" locked="0" layoutInCell="1" allowOverlap="1" wp14:anchorId="6C70D6B9" wp14:editId="5B6DA8D8">
          <wp:simplePos x="0" y="0"/>
          <wp:positionH relativeFrom="margin">
            <wp:align>right</wp:align>
          </wp:positionH>
          <wp:positionV relativeFrom="topMargin">
            <wp:align>bottom</wp:align>
          </wp:positionV>
          <wp:extent cx="1018800" cy="835200"/>
          <wp:effectExtent l="0" t="0" r="0" b="3175"/>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8800" cy="83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00000889"/>
    <w:lvl w:ilvl="0">
      <w:numFmt w:val="bullet"/>
      <w:lvlText w:val="—"/>
      <w:lvlJc w:val="left"/>
      <w:pPr>
        <w:ind w:left="366" w:hanging="282"/>
      </w:pPr>
      <w:rPr>
        <w:rFonts w:ascii="Times New Roman" w:hAnsi="Times New Roman" w:cs="Times New Roman"/>
        <w:b w:val="0"/>
        <w:bCs w:val="0"/>
        <w:w w:val="95"/>
        <w:sz w:val="19"/>
        <w:szCs w:val="19"/>
      </w:rPr>
    </w:lvl>
    <w:lvl w:ilvl="1">
      <w:numFmt w:val="bullet"/>
      <w:lvlText w:val="•"/>
      <w:lvlJc w:val="left"/>
      <w:pPr>
        <w:ind w:left="540" w:hanging="282"/>
      </w:pPr>
    </w:lvl>
    <w:lvl w:ilvl="2">
      <w:numFmt w:val="bullet"/>
      <w:lvlText w:val="•"/>
      <w:lvlJc w:val="left"/>
      <w:pPr>
        <w:ind w:left="720" w:hanging="282"/>
      </w:pPr>
    </w:lvl>
    <w:lvl w:ilvl="3">
      <w:numFmt w:val="bullet"/>
      <w:lvlText w:val="•"/>
      <w:lvlJc w:val="left"/>
      <w:pPr>
        <w:ind w:left="901" w:hanging="282"/>
      </w:pPr>
    </w:lvl>
    <w:lvl w:ilvl="4">
      <w:numFmt w:val="bullet"/>
      <w:lvlText w:val="•"/>
      <w:lvlJc w:val="left"/>
      <w:pPr>
        <w:ind w:left="1081" w:hanging="282"/>
      </w:pPr>
    </w:lvl>
    <w:lvl w:ilvl="5">
      <w:numFmt w:val="bullet"/>
      <w:lvlText w:val="•"/>
      <w:lvlJc w:val="left"/>
      <w:pPr>
        <w:ind w:left="1262" w:hanging="282"/>
      </w:pPr>
    </w:lvl>
    <w:lvl w:ilvl="6">
      <w:numFmt w:val="bullet"/>
      <w:lvlText w:val="•"/>
      <w:lvlJc w:val="left"/>
      <w:pPr>
        <w:ind w:left="1442" w:hanging="282"/>
      </w:pPr>
    </w:lvl>
    <w:lvl w:ilvl="7">
      <w:numFmt w:val="bullet"/>
      <w:lvlText w:val="•"/>
      <w:lvlJc w:val="left"/>
      <w:pPr>
        <w:ind w:left="1623" w:hanging="282"/>
      </w:pPr>
    </w:lvl>
    <w:lvl w:ilvl="8">
      <w:numFmt w:val="bullet"/>
      <w:lvlText w:val="•"/>
      <w:lvlJc w:val="left"/>
      <w:pPr>
        <w:ind w:left="1803" w:hanging="282"/>
      </w:pPr>
    </w:lvl>
  </w:abstractNum>
  <w:abstractNum w:abstractNumId="1" w15:restartNumberingAfterBreak="0">
    <w:nsid w:val="004C16B9"/>
    <w:multiLevelType w:val="hybridMultilevel"/>
    <w:tmpl w:val="4F7CBB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C0F5E"/>
    <w:multiLevelType w:val="hybridMultilevel"/>
    <w:tmpl w:val="6F5478B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57BD8"/>
    <w:multiLevelType w:val="hybridMultilevel"/>
    <w:tmpl w:val="E632D3C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F7424"/>
    <w:multiLevelType w:val="hybridMultilevel"/>
    <w:tmpl w:val="5CBCF1C8"/>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B">
      <w:start w:val="1"/>
      <w:numFmt w:val="bullet"/>
      <w:lvlText w:val=""/>
      <w:lvlJc w:val="left"/>
      <w:pPr>
        <w:tabs>
          <w:tab w:val="num" w:pos="1440"/>
        </w:tabs>
        <w:ind w:left="1440" w:hanging="360"/>
      </w:pPr>
      <w:rPr>
        <w:rFonts w:ascii="Wingdings" w:hAnsi="Wingdings" w:hint="default"/>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15212"/>
    <w:multiLevelType w:val="hybridMultilevel"/>
    <w:tmpl w:val="897E4C0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B511F"/>
    <w:multiLevelType w:val="hybridMultilevel"/>
    <w:tmpl w:val="8EE09686"/>
    <w:lvl w:ilvl="0" w:tplc="0228F6A2">
      <w:start w:val="1"/>
      <w:numFmt w:val="bullet"/>
      <w:lvlText w:val=""/>
      <w:lvlJc w:val="left"/>
      <w:pPr>
        <w:tabs>
          <w:tab w:val="num" w:pos="720"/>
        </w:tabs>
        <w:ind w:left="720" w:hanging="360"/>
      </w:pPr>
      <w:rPr>
        <w:rFonts w:ascii="Wingdings" w:hAnsi="Wingdings" w:hint="default"/>
      </w:rPr>
    </w:lvl>
    <w:lvl w:ilvl="1" w:tplc="42620F08" w:tentative="1">
      <w:start w:val="1"/>
      <w:numFmt w:val="bullet"/>
      <w:lvlText w:val=""/>
      <w:lvlJc w:val="left"/>
      <w:pPr>
        <w:tabs>
          <w:tab w:val="num" w:pos="1440"/>
        </w:tabs>
        <w:ind w:left="1440" w:hanging="360"/>
      </w:pPr>
      <w:rPr>
        <w:rFonts w:ascii="Wingdings" w:hAnsi="Wingdings" w:hint="default"/>
      </w:rPr>
    </w:lvl>
    <w:lvl w:ilvl="2" w:tplc="039CF238" w:tentative="1">
      <w:start w:val="1"/>
      <w:numFmt w:val="bullet"/>
      <w:lvlText w:val=""/>
      <w:lvlJc w:val="left"/>
      <w:pPr>
        <w:tabs>
          <w:tab w:val="num" w:pos="2160"/>
        </w:tabs>
        <w:ind w:left="2160" w:hanging="360"/>
      </w:pPr>
      <w:rPr>
        <w:rFonts w:ascii="Wingdings" w:hAnsi="Wingdings" w:hint="default"/>
      </w:rPr>
    </w:lvl>
    <w:lvl w:ilvl="3" w:tplc="1480EFBC" w:tentative="1">
      <w:start w:val="1"/>
      <w:numFmt w:val="bullet"/>
      <w:lvlText w:val=""/>
      <w:lvlJc w:val="left"/>
      <w:pPr>
        <w:tabs>
          <w:tab w:val="num" w:pos="2880"/>
        </w:tabs>
        <w:ind w:left="2880" w:hanging="360"/>
      </w:pPr>
      <w:rPr>
        <w:rFonts w:ascii="Wingdings" w:hAnsi="Wingdings" w:hint="default"/>
      </w:rPr>
    </w:lvl>
    <w:lvl w:ilvl="4" w:tplc="89CCC8CE" w:tentative="1">
      <w:start w:val="1"/>
      <w:numFmt w:val="bullet"/>
      <w:lvlText w:val=""/>
      <w:lvlJc w:val="left"/>
      <w:pPr>
        <w:tabs>
          <w:tab w:val="num" w:pos="3600"/>
        </w:tabs>
        <w:ind w:left="3600" w:hanging="360"/>
      </w:pPr>
      <w:rPr>
        <w:rFonts w:ascii="Wingdings" w:hAnsi="Wingdings" w:hint="default"/>
      </w:rPr>
    </w:lvl>
    <w:lvl w:ilvl="5" w:tplc="1A849F44" w:tentative="1">
      <w:start w:val="1"/>
      <w:numFmt w:val="bullet"/>
      <w:lvlText w:val=""/>
      <w:lvlJc w:val="left"/>
      <w:pPr>
        <w:tabs>
          <w:tab w:val="num" w:pos="4320"/>
        </w:tabs>
        <w:ind w:left="4320" w:hanging="360"/>
      </w:pPr>
      <w:rPr>
        <w:rFonts w:ascii="Wingdings" w:hAnsi="Wingdings" w:hint="default"/>
      </w:rPr>
    </w:lvl>
    <w:lvl w:ilvl="6" w:tplc="862836AE" w:tentative="1">
      <w:start w:val="1"/>
      <w:numFmt w:val="bullet"/>
      <w:lvlText w:val=""/>
      <w:lvlJc w:val="left"/>
      <w:pPr>
        <w:tabs>
          <w:tab w:val="num" w:pos="5040"/>
        </w:tabs>
        <w:ind w:left="5040" w:hanging="360"/>
      </w:pPr>
      <w:rPr>
        <w:rFonts w:ascii="Wingdings" w:hAnsi="Wingdings" w:hint="default"/>
      </w:rPr>
    </w:lvl>
    <w:lvl w:ilvl="7" w:tplc="3C32C8D0" w:tentative="1">
      <w:start w:val="1"/>
      <w:numFmt w:val="bullet"/>
      <w:lvlText w:val=""/>
      <w:lvlJc w:val="left"/>
      <w:pPr>
        <w:tabs>
          <w:tab w:val="num" w:pos="5760"/>
        </w:tabs>
        <w:ind w:left="5760" w:hanging="360"/>
      </w:pPr>
      <w:rPr>
        <w:rFonts w:ascii="Wingdings" w:hAnsi="Wingdings" w:hint="default"/>
      </w:rPr>
    </w:lvl>
    <w:lvl w:ilvl="8" w:tplc="632AD8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00C0"/>
    <w:multiLevelType w:val="hybridMultilevel"/>
    <w:tmpl w:val="477E12F6"/>
    <w:lvl w:ilvl="0" w:tplc="04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C0A9A"/>
    <w:multiLevelType w:val="hybridMultilevel"/>
    <w:tmpl w:val="B824E75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5234E"/>
    <w:multiLevelType w:val="hybridMultilevel"/>
    <w:tmpl w:val="2A80BEF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63754"/>
    <w:multiLevelType w:val="hybridMultilevel"/>
    <w:tmpl w:val="EB00DC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3189B"/>
    <w:multiLevelType w:val="hybridMultilevel"/>
    <w:tmpl w:val="41CC9342"/>
    <w:lvl w:ilvl="0" w:tplc="BC686580">
      <w:start w:val="1"/>
      <w:numFmt w:val="bullet"/>
      <w:lvlText w:val=""/>
      <w:lvlJc w:val="left"/>
      <w:pPr>
        <w:tabs>
          <w:tab w:val="num" w:pos="720"/>
        </w:tabs>
        <w:ind w:left="720" w:hanging="360"/>
      </w:pPr>
      <w:rPr>
        <w:rFonts w:ascii="Wingdings" w:hAnsi="Wingdings" w:hint="default"/>
      </w:rPr>
    </w:lvl>
    <w:lvl w:ilvl="1" w:tplc="64E046E6" w:tentative="1">
      <w:start w:val="1"/>
      <w:numFmt w:val="bullet"/>
      <w:lvlText w:val=""/>
      <w:lvlJc w:val="left"/>
      <w:pPr>
        <w:tabs>
          <w:tab w:val="num" w:pos="1440"/>
        </w:tabs>
        <w:ind w:left="1440" w:hanging="360"/>
      </w:pPr>
      <w:rPr>
        <w:rFonts w:ascii="Wingdings" w:hAnsi="Wingdings" w:hint="default"/>
      </w:rPr>
    </w:lvl>
    <w:lvl w:ilvl="2" w:tplc="6F021B52" w:tentative="1">
      <w:start w:val="1"/>
      <w:numFmt w:val="bullet"/>
      <w:lvlText w:val=""/>
      <w:lvlJc w:val="left"/>
      <w:pPr>
        <w:tabs>
          <w:tab w:val="num" w:pos="2160"/>
        </w:tabs>
        <w:ind w:left="2160" w:hanging="360"/>
      </w:pPr>
      <w:rPr>
        <w:rFonts w:ascii="Wingdings" w:hAnsi="Wingdings" w:hint="default"/>
      </w:rPr>
    </w:lvl>
    <w:lvl w:ilvl="3" w:tplc="646A8B50" w:tentative="1">
      <w:start w:val="1"/>
      <w:numFmt w:val="bullet"/>
      <w:lvlText w:val=""/>
      <w:lvlJc w:val="left"/>
      <w:pPr>
        <w:tabs>
          <w:tab w:val="num" w:pos="2880"/>
        </w:tabs>
        <w:ind w:left="2880" w:hanging="360"/>
      </w:pPr>
      <w:rPr>
        <w:rFonts w:ascii="Wingdings" w:hAnsi="Wingdings" w:hint="default"/>
      </w:rPr>
    </w:lvl>
    <w:lvl w:ilvl="4" w:tplc="1FDEF602" w:tentative="1">
      <w:start w:val="1"/>
      <w:numFmt w:val="bullet"/>
      <w:lvlText w:val=""/>
      <w:lvlJc w:val="left"/>
      <w:pPr>
        <w:tabs>
          <w:tab w:val="num" w:pos="3600"/>
        </w:tabs>
        <w:ind w:left="3600" w:hanging="360"/>
      </w:pPr>
      <w:rPr>
        <w:rFonts w:ascii="Wingdings" w:hAnsi="Wingdings" w:hint="default"/>
      </w:rPr>
    </w:lvl>
    <w:lvl w:ilvl="5" w:tplc="4440CCD6" w:tentative="1">
      <w:start w:val="1"/>
      <w:numFmt w:val="bullet"/>
      <w:lvlText w:val=""/>
      <w:lvlJc w:val="left"/>
      <w:pPr>
        <w:tabs>
          <w:tab w:val="num" w:pos="4320"/>
        </w:tabs>
        <w:ind w:left="4320" w:hanging="360"/>
      </w:pPr>
      <w:rPr>
        <w:rFonts w:ascii="Wingdings" w:hAnsi="Wingdings" w:hint="default"/>
      </w:rPr>
    </w:lvl>
    <w:lvl w:ilvl="6" w:tplc="B2643E8E" w:tentative="1">
      <w:start w:val="1"/>
      <w:numFmt w:val="bullet"/>
      <w:lvlText w:val=""/>
      <w:lvlJc w:val="left"/>
      <w:pPr>
        <w:tabs>
          <w:tab w:val="num" w:pos="5040"/>
        </w:tabs>
        <w:ind w:left="5040" w:hanging="360"/>
      </w:pPr>
      <w:rPr>
        <w:rFonts w:ascii="Wingdings" w:hAnsi="Wingdings" w:hint="default"/>
      </w:rPr>
    </w:lvl>
    <w:lvl w:ilvl="7" w:tplc="46B4B8A8" w:tentative="1">
      <w:start w:val="1"/>
      <w:numFmt w:val="bullet"/>
      <w:lvlText w:val=""/>
      <w:lvlJc w:val="left"/>
      <w:pPr>
        <w:tabs>
          <w:tab w:val="num" w:pos="5760"/>
        </w:tabs>
        <w:ind w:left="5760" w:hanging="360"/>
      </w:pPr>
      <w:rPr>
        <w:rFonts w:ascii="Wingdings" w:hAnsi="Wingdings" w:hint="default"/>
      </w:rPr>
    </w:lvl>
    <w:lvl w:ilvl="8" w:tplc="77A6C1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A37CD"/>
    <w:multiLevelType w:val="hybridMultilevel"/>
    <w:tmpl w:val="3B660EF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3" w15:restartNumberingAfterBreak="0">
    <w:nsid w:val="3AD54766"/>
    <w:multiLevelType w:val="hybridMultilevel"/>
    <w:tmpl w:val="D3F27EB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544"/>
    <w:multiLevelType w:val="hybridMultilevel"/>
    <w:tmpl w:val="6CC6588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72839"/>
    <w:multiLevelType w:val="hybridMultilevel"/>
    <w:tmpl w:val="74FA01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A7079"/>
    <w:multiLevelType w:val="hybridMultilevel"/>
    <w:tmpl w:val="F63CE392"/>
    <w:lvl w:ilvl="0" w:tplc="7C7AEF04">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87D72"/>
    <w:multiLevelType w:val="hybridMultilevel"/>
    <w:tmpl w:val="8C5C315A"/>
    <w:lvl w:ilvl="0" w:tplc="F5789780">
      <w:start w:val="2021"/>
      <w:numFmt w:val="bullet"/>
      <w:lvlText w:val="-"/>
      <w:lvlJc w:val="left"/>
      <w:pPr>
        <w:ind w:left="445" w:hanging="360"/>
      </w:pPr>
      <w:rPr>
        <w:rFonts w:ascii="Arial" w:eastAsiaTheme="minorEastAsia" w:hAnsi="Arial" w:cs="Aria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8" w15:restartNumberingAfterBreak="0">
    <w:nsid w:val="4A351343"/>
    <w:multiLevelType w:val="hybridMultilevel"/>
    <w:tmpl w:val="4502B7B0"/>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3" w:tentative="1">
      <w:start w:val="1"/>
      <w:numFmt w:val="bullet"/>
      <w:lvlText w:val="o"/>
      <w:lvlJc w:val="left"/>
      <w:pPr>
        <w:tabs>
          <w:tab w:val="num" w:pos="720"/>
        </w:tabs>
        <w:ind w:left="720" w:hanging="360"/>
      </w:pPr>
      <w:rPr>
        <w:rFonts w:ascii="Courier New" w:hAnsi="Courier New" w:cs="Symbo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D236C74"/>
    <w:multiLevelType w:val="hybridMultilevel"/>
    <w:tmpl w:val="BDDEA90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422AB"/>
    <w:multiLevelType w:val="hybridMultilevel"/>
    <w:tmpl w:val="290050F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0558FE"/>
    <w:multiLevelType w:val="hybridMultilevel"/>
    <w:tmpl w:val="BB52CDCE"/>
    <w:lvl w:ilvl="0" w:tplc="1166CBDE">
      <w:start w:val="1"/>
      <w:numFmt w:val="bullet"/>
      <w:lvlText w:val=""/>
      <w:lvlJc w:val="left"/>
      <w:pPr>
        <w:tabs>
          <w:tab w:val="num" w:pos="720"/>
        </w:tabs>
        <w:ind w:left="720" w:hanging="360"/>
      </w:pPr>
      <w:rPr>
        <w:rFonts w:ascii="Wingdings" w:hAnsi="Wingdings" w:hint="default"/>
      </w:rPr>
    </w:lvl>
    <w:lvl w:ilvl="1" w:tplc="B2ACDC7C" w:tentative="1">
      <w:start w:val="1"/>
      <w:numFmt w:val="bullet"/>
      <w:lvlText w:val=""/>
      <w:lvlJc w:val="left"/>
      <w:pPr>
        <w:tabs>
          <w:tab w:val="num" w:pos="1440"/>
        </w:tabs>
        <w:ind w:left="1440" w:hanging="360"/>
      </w:pPr>
      <w:rPr>
        <w:rFonts w:ascii="Wingdings" w:hAnsi="Wingdings" w:hint="default"/>
      </w:rPr>
    </w:lvl>
    <w:lvl w:ilvl="2" w:tplc="12D00176" w:tentative="1">
      <w:start w:val="1"/>
      <w:numFmt w:val="bullet"/>
      <w:lvlText w:val=""/>
      <w:lvlJc w:val="left"/>
      <w:pPr>
        <w:tabs>
          <w:tab w:val="num" w:pos="2160"/>
        </w:tabs>
        <w:ind w:left="2160" w:hanging="360"/>
      </w:pPr>
      <w:rPr>
        <w:rFonts w:ascii="Wingdings" w:hAnsi="Wingdings" w:hint="default"/>
      </w:rPr>
    </w:lvl>
    <w:lvl w:ilvl="3" w:tplc="69D6C80E" w:tentative="1">
      <w:start w:val="1"/>
      <w:numFmt w:val="bullet"/>
      <w:lvlText w:val=""/>
      <w:lvlJc w:val="left"/>
      <w:pPr>
        <w:tabs>
          <w:tab w:val="num" w:pos="2880"/>
        </w:tabs>
        <w:ind w:left="2880" w:hanging="360"/>
      </w:pPr>
      <w:rPr>
        <w:rFonts w:ascii="Wingdings" w:hAnsi="Wingdings" w:hint="default"/>
      </w:rPr>
    </w:lvl>
    <w:lvl w:ilvl="4" w:tplc="6508623A" w:tentative="1">
      <w:start w:val="1"/>
      <w:numFmt w:val="bullet"/>
      <w:lvlText w:val=""/>
      <w:lvlJc w:val="left"/>
      <w:pPr>
        <w:tabs>
          <w:tab w:val="num" w:pos="3600"/>
        </w:tabs>
        <w:ind w:left="3600" w:hanging="360"/>
      </w:pPr>
      <w:rPr>
        <w:rFonts w:ascii="Wingdings" w:hAnsi="Wingdings" w:hint="default"/>
      </w:rPr>
    </w:lvl>
    <w:lvl w:ilvl="5" w:tplc="DBCCD1D4" w:tentative="1">
      <w:start w:val="1"/>
      <w:numFmt w:val="bullet"/>
      <w:lvlText w:val=""/>
      <w:lvlJc w:val="left"/>
      <w:pPr>
        <w:tabs>
          <w:tab w:val="num" w:pos="4320"/>
        </w:tabs>
        <w:ind w:left="4320" w:hanging="360"/>
      </w:pPr>
      <w:rPr>
        <w:rFonts w:ascii="Wingdings" w:hAnsi="Wingdings" w:hint="default"/>
      </w:rPr>
    </w:lvl>
    <w:lvl w:ilvl="6" w:tplc="5FB2C998" w:tentative="1">
      <w:start w:val="1"/>
      <w:numFmt w:val="bullet"/>
      <w:lvlText w:val=""/>
      <w:lvlJc w:val="left"/>
      <w:pPr>
        <w:tabs>
          <w:tab w:val="num" w:pos="5040"/>
        </w:tabs>
        <w:ind w:left="5040" w:hanging="360"/>
      </w:pPr>
      <w:rPr>
        <w:rFonts w:ascii="Wingdings" w:hAnsi="Wingdings" w:hint="default"/>
      </w:rPr>
    </w:lvl>
    <w:lvl w:ilvl="7" w:tplc="64BACA04" w:tentative="1">
      <w:start w:val="1"/>
      <w:numFmt w:val="bullet"/>
      <w:lvlText w:val=""/>
      <w:lvlJc w:val="left"/>
      <w:pPr>
        <w:tabs>
          <w:tab w:val="num" w:pos="5760"/>
        </w:tabs>
        <w:ind w:left="5760" w:hanging="360"/>
      </w:pPr>
      <w:rPr>
        <w:rFonts w:ascii="Wingdings" w:hAnsi="Wingdings" w:hint="default"/>
      </w:rPr>
    </w:lvl>
    <w:lvl w:ilvl="8" w:tplc="A91C32D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56579"/>
    <w:multiLevelType w:val="hybridMultilevel"/>
    <w:tmpl w:val="5CC0C6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3"/>
  </w:num>
  <w:num w:numId="4">
    <w:abstractNumId w:val="21"/>
  </w:num>
  <w:num w:numId="5">
    <w:abstractNumId w:val="11"/>
  </w:num>
  <w:num w:numId="6">
    <w:abstractNumId w:val="6"/>
  </w:num>
  <w:num w:numId="7">
    <w:abstractNumId w:val="18"/>
  </w:num>
  <w:num w:numId="8">
    <w:abstractNumId w:val="4"/>
  </w:num>
  <w:num w:numId="9">
    <w:abstractNumId w:val="2"/>
  </w:num>
  <w:num w:numId="10">
    <w:abstractNumId w:val="9"/>
  </w:num>
  <w:num w:numId="11">
    <w:abstractNumId w:val="20"/>
  </w:num>
  <w:num w:numId="12">
    <w:abstractNumId w:val="8"/>
  </w:num>
  <w:num w:numId="13">
    <w:abstractNumId w:val="5"/>
  </w:num>
  <w:num w:numId="14">
    <w:abstractNumId w:val="22"/>
  </w:num>
  <w:num w:numId="15">
    <w:abstractNumId w:val="12"/>
  </w:num>
  <w:num w:numId="16">
    <w:abstractNumId w:val="7"/>
  </w:num>
  <w:num w:numId="17">
    <w:abstractNumId w:val="23"/>
  </w:num>
  <w:num w:numId="18">
    <w:abstractNumId w:val="1"/>
  </w:num>
  <w:num w:numId="19">
    <w:abstractNumId w:val="13"/>
  </w:num>
  <w:num w:numId="20">
    <w:abstractNumId w:val="10"/>
  </w:num>
  <w:num w:numId="21">
    <w:abstractNumId w:val="15"/>
  </w:num>
  <w:num w:numId="22">
    <w:abstractNumId w:val="0"/>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7F"/>
    <w:rsid w:val="00013664"/>
    <w:rsid w:val="000277C7"/>
    <w:rsid w:val="00034BD4"/>
    <w:rsid w:val="00034D8F"/>
    <w:rsid w:val="00037B01"/>
    <w:rsid w:val="00043226"/>
    <w:rsid w:val="00047719"/>
    <w:rsid w:val="00055948"/>
    <w:rsid w:val="000613EB"/>
    <w:rsid w:val="0006710B"/>
    <w:rsid w:val="00077F97"/>
    <w:rsid w:val="0008048B"/>
    <w:rsid w:val="0008601C"/>
    <w:rsid w:val="000A25CC"/>
    <w:rsid w:val="000B02E4"/>
    <w:rsid w:val="000C5B0C"/>
    <w:rsid w:val="000C7A9D"/>
    <w:rsid w:val="000D1003"/>
    <w:rsid w:val="000E5641"/>
    <w:rsid w:val="001066EE"/>
    <w:rsid w:val="001119D2"/>
    <w:rsid w:val="00116A2A"/>
    <w:rsid w:val="00120D70"/>
    <w:rsid w:val="00121CAD"/>
    <w:rsid w:val="0012523A"/>
    <w:rsid w:val="00126E23"/>
    <w:rsid w:val="00130C01"/>
    <w:rsid w:val="00145036"/>
    <w:rsid w:val="001452BB"/>
    <w:rsid w:val="001453D1"/>
    <w:rsid w:val="001501F8"/>
    <w:rsid w:val="00150FCE"/>
    <w:rsid w:val="001521C5"/>
    <w:rsid w:val="00152BB7"/>
    <w:rsid w:val="00153D4B"/>
    <w:rsid w:val="001548D9"/>
    <w:rsid w:val="00166893"/>
    <w:rsid w:val="00166AB9"/>
    <w:rsid w:val="0017411F"/>
    <w:rsid w:val="001759BD"/>
    <w:rsid w:val="0018421A"/>
    <w:rsid w:val="001856E2"/>
    <w:rsid w:val="00187D37"/>
    <w:rsid w:val="00197451"/>
    <w:rsid w:val="001A178A"/>
    <w:rsid w:val="001C3161"/>
    <w:rsid w:val="001C4A80"/>
    <w:rsid w:val="001E1734"/>
    <w:rsid w:val="001E20E5"/>
    <w:rsid w:val="001E7E18"/>
    <w:rsid w:val="001F12F3"/>
    <w:rsid w:val="002134A7"/>
    <w:rsid w:val="002135D3"/>
    <w:rsid w:val="0022148E"/>
    <w:rsid w:val="00236E99"/>
    <w:rsid w:val="002479A2"/>
    <w:rsid w:val="00250F34"/>
    <w:rsid w:val="00254E9B"/>
    <w:rsid w:val="0025702E"/>
    <w:rsid w:val="00270BB5"/>
    <w:rsid w:val="002720F6"/>
    <w:rsid w:val="002A61E9"/>
    <w:rsid w:val="002C261F"/>
    <w:rsid w:val="002D1554"/>
    <w:rsid w:val="002D29A3"/>
    <w:rsid w:val="002E3490"/>
    <w:rsid w:val="00304639"/>
    <w:rsid w:val="00305BA8"/>
    <w:rsid w:val="00311739"/>
    <w:rsid w:val="003174B1"/>
    <w:rsid w:val="00317C5E"/>
    <w:rsid w:val="0034152E"/>
    <w:rsid w:val="00342643"/>
    <w:rsid w:val="00345BBA"/>
    <w:rsid w:val="00347490"/>
    <w:rsid w:val="003521FC"/>
    <w:rsid w:val="00352ED6"/>
    <w:rsid w:val="003552A4"/>
    <w:rsid w:val="00360E65"/>
    <w:rsid w:val="00364416"/>
    <w:rsid w:val="00365203"/>
    <w:rsid w:val="00371754"/>
    <w:rsid w:val="00380DA7"/>
    <w:rsid w:val="003A7B16"/>
    <w:rsid w:val="003B1070"/>
    <w:rsid w:val="003C0008"/>
    <w:rsid w:val="003C1758"/>
    <w:rsid w:val="003D3BCE"/>
    <w:rsid w:val="003F7A3A"/>
    <w:rsid w:val="004037E0"/>
    <w:rsid w:val="00406F47"/>
    <w:rsid w:val="00412BAE"/>
    <w:rsid w:val="004219D9"/>
    <w:rsid w:val="00433366"/>
    <w:rsid w:val="00454E6D"/>
    <w:rsid w:val="0049319F"/>
    <w:rsid w:val="00493673"/>
    <w:rsid w:val="00495935"/>
    <w:rsid w:val="004B38ED"/>
    <w:rsid w:val="004C721E"/>
    <w:rsid w:val="004D104C"/>
    <w:rsid w:val="004D53C5"/>
    <w:rsid w:val="004E6C9F"/>
    <w:rsid w:val="0052572C"/>
    <w:rsid w:val="00532CC7"/>
    <w:rsid w:val="00542E94"/>
    <w:rsid w:val="00545961"/>
    <w:rsid w:val="0054794E"/>
    <w:rsid w:val="0055201D"/>
    <w:rsid w:val="00556353"/>
    <w:rsid w:val="0056556C"/>
    <w:rsid w:val="00572A97"/>
    <w:rsid w:val="00584678"/>
    <w:rsid w:val="00592B39"/>
    <w:rsid w:val="005A5D40"/>
    <w:rsid w:val="005A6534"/>
    <w:rsid w:val="005A65C8"/>
    <w:rsid w:val="005B26C9"/>
    <w:rsid w:val="005B2858"/>
    <w:rsid w:val="005D3107"/>
    <w:rsid w:val="005E11F0"/>
    <w:rsid w:val="005F645A"/>
    <w:rsid w:val="00601CD0"/>
    <w:rsid w:val="00615E8C"/>
    <w:rsid w:val="00625FDC"/>
    <w:rsid w:val="00626C98"/>
    <w:rsid w:val="006327DD"/>
    <w:rsid w:val="00640AD0"/>
    <w:rsid w:val="00646341"/>
    <w:rsid w:val="0065403A"/>
    <w:rsid w:val="0065460B"/>
    <w:rsid w:val="0065694C"/>
    <w:rsid w:val="006625CB"/>
    <w:rsid w:val="00664BBD"/>
    <w:rsid w:val="00672EB2"/>
    <w:rsid w:val="006738EA"/>
    <w:rsid w:val="00676934"/>
    <w:rsid w:val="00692A19"/>
    <w:rsid w:val="006960F0"/>
    <w:rsid w:val="006A2713"/>
    <w:rsid w:val="006A3CD4"/>
    <w:rsid w:val="006B7713"/>
    <w:rsid w:val="006C6F6D"/>
    <w:rsid w:val="006D5787"/>
    <w:rsid w:val="006D7BFF"/>
    <w:rsid w:val="006F3F6F"/>
    <w:rsid w:val="00705362"/>
    <w:rsid w:val="00710752"/>
    <w:rsid w:val="0071743A"/>
    <w:rsid w:val="00727807"/>
    <w:rsid w:val="007510B5"/>
    <w:rsid w:val="007541F0"/>
    <w:rsid w:val="007545A1"/>
    <w:rsid w:val="00777E2C"/>
    <w:rsid w:val="007B024A"/>
    <w:rsid w:val="007D7B1F"/>
    <w:rsid w:val="007E3B9F"/>
    <w:rsid w:val="007F6940"/>
    <w:rsid w:val="00811339"/>
    <w:rsid w:val="00820C39"/>
    <w:rsid w:val="00823C32"/>
    <w:rsid w:val="00830E4E"/>
    <w:rsid w:val="0083110A"/>
    <w:rsid w:val="00832ED5"/>
    <w:rsid w:val="008439E1"/>
    <w:rsid w:val="00857C0C"/>
    <w:rsid w:val="00857EFF"/>
    <w:rsid w:val="0089193F"/>
    <w:rsid w:val="008969E4"/>
    <w:rsid w:val="008A3562"/>
    <w:rsid w:val="008A6C79"/>
    <w:rsid w:val="008A76EB"/>
    <w:rsid w:val="008B24AD"/>
    <w:rsid w:val="008C1E73"/>
    <w:rsid w:val="008C5E6E"/>
    <w:rsid w:val="008C6A9C"/>
    <w:rsid w:val="008D1519"/>
    <w:rsid w:val="008D6792"/>
    <w:rsid w:val="008E4CB0"/>
    <w:rsid w:val="008E72CE"/>
    <w:rsid w:val="008F5FC9"/>
    <w:rsid w:val="008F70AF"/>
    <w:rsid w:val="00900E98"/>
    <w:rsid w:val="00906D66"/>
    <w:rsid w:val="0092124C"/>
    <w:rsid w:val="00922927"/>
    <w:rsid w:val="00930A0A"/>
    <w:rsid w:val="009327FB"/>
    <w:rsid w:val="0093753D"/>
    <w:rsid w:val="009424FD"/>
    <w:rsid w:val="00942BBC"/>
    <w:rsid w:val="0095039D"/>
    <w:rsid w:val="00956CA5"/>
    <w:rsid w:val="00960B87"/>
    <w:rsid w:val="00961FED"/>
    <w:rsid w:val="00976D04"/>
    <w:rsid w:val="009770C5"/>
    <w:rsid w:val="00985F67"/>
    <w:rsid w:val="00997D18"/>
    <w:rsid w:val="009B119E"/>
    <w:rsid w:val="009C0DD5"/>
    <w:rsid w:val="009C1E37"/>
    <w:rsid w:val="009D0A76"/>
    <w:rsid w:val="009F266B"/>
    <w:rsid w:val="009F266D"/>
    <w:rsid w:val="00A11F09"/>
    <w:rsid w:val="00A13992"/>
    <w:rsid w:val="00A14035"/>
    <w:rsid w:val="00A441BD"/>
    <w:rsid w:val="00A47C07"/>
    <w:rsid w:val="00A53259"/>
    <w:rsid w:val="00A53B53"/>
    <w:rsid w:val="00A74C1C"/>
    <w:rsid w:val="00A85276"/>
    <w:rsid w:val="00A866F5"/>
    <w:rsid w:val="00A9647D"/>
    <w:rsid w:val="00AA290B"/>
    <w:rsid w:val="00AB3F58"/>
    <w:rsid w:val="00AE1B18"/>
    <w:rsid w:val="00AE28DC"/>
    <w:rsid w:val="00AF09BE"/>
    <w:rsid w:val="00AF2F7D"/>
    <w:rsid w:val="00AF51EA"/>
    <w:rsid w:val="00B11315"/>
    <w:rsid w:val="00B3311E"/>
    <w:rsid w:val="00B52D4A"/>
    <w:rsid w:val="00B63250"/>
    <w:rsid w:val="00B909A7"/>
    <w:rsid w:val="00B96C68"/>
    <w:rsid w:val="00BB2C97"/>
    <w:rsid w:val="00BB44CA"/>
    <w:rsid w:val="00BD549A"/>
    <w:rsid w:val="00BD5B79"/>
    <w:rsid w:val="00BE5476"/>
    <w:rsid w:val="00BE719E"/>
    <w:rsid w:val="00C006C5"/>
    <w:rsid w:val="00C13798"/>
    <w:rsid w:val="00C138BD"/>
    <w:rsid w:val="00C21508"/>
    <w:rsid w:val="00C27061"/>
    <w:rsid w:val="00C3277F"/>
    <w:rsid w:val="00C406EC"/>
    <w:rsid w:val="00C43D90"/>
    <w:rsid w:val="00C44A13"/>
    <w:rsid w:val="00C7237E"/>
    <w:rsid w:val="00C825C6"/>
    <w:rsid w:val="00C83F6E"/>
    <w:rsid w:val="00C92B7C"/>
    <w:rsid w:val="00CA454C"/>
    <w:rsid w:val="00CA7B88"/>
    <w:rsid w:val="00CB096B"/>
    <w:rsid w:val="00CB14B6"/>
    <w:rsid w:val="00CC0C99"/>
    <w:rsid w:val="00CC2EB4"/>
    <w:rsid w:val="00CD0BED"/>
    <w:rsid w:val="00CD2D05"/>
    <w:rsid w:val="00CE0B34"/>
    <w:rsid w:val="00CE51FC"/>
    <w:rsid w:val="00D03117"/>
    <w:rsid w:val="00D11116"/>
    <w:rsid w:val="00D17145"/>
    <w:rsid w:val="00D20FEC"/>
    <w:rsid w:val="00D30A9D"/>
    <w:rsid w:val="00D3118C"/>
    <w:rsid w:val="00D47730"/>
    <w:rsid w:val="00D51941"/>
    <w:rsid w:val="00D65FA2"/>
    <w:rsid w:val="00D7129D"/>
    <w:rsid w:val="00D76112"/>
    <w:rsid w:val="00D77686"/>
    <w:rsid w:val="00D86820"/>
    <w:rsid w:val="00D970F6"/>
    <w:rsid w:val="00DA311E"/>
    <w:rsid w:val="00DA5B86"/>
    <w:rsid w:val="00DB0550"/>
    <w:rsid w:val="00DC2307"/>
    <w:rsid w:val="00DD0D2B"/>
    <w:rsid w:val="00DE40DB"/>
    <w:rsid w:val="00DF518E"/>
    <w:rsid w:val="00E04F65"/>
    <w:rsid w:val="00E07B91"/>
    <w:rsid w:val="00E10787"/>
    <w:rsid w:val="00E16E51"/>
    <w:rsid w:val="00E17E59"/>
    <w:rsid w:val="00E205A9"/>
    <w:rsid w:val="00E22B68"/>
    <w:rsid w:val="00E3118D"/>
    <w:rsid w:val="00E313BD"/>
    <w:rsid w:val="00E33997"/>
    <w:rsid w:val="00E35F4E"/>
    <w:rsid w:val="00E369EB"/>
    <w:rsid w:val="00E44387"/>
    <w:rsid w:val="00E55341"/>
    <w:rsid w:val="00E64007"/>
    <w:rsid w:val="00E6581F"/>
    <w:rsid w:val="00E7214A"/>
    <w:rsid w:val="00E72C2D"/>
    <w:rsid w:val="00E778D5"/>
    <w:rsid w:val="00EA08FA"/>
    <w:rsid w:val="00EA2C9F"/>
    <w:rsid w:val="00EA467C"/>
    <w:rsid w:val="00EB2516"/>
    <w:rsid w:val="00EB6E03"/>
    <w:rsid w:val="00EE1CE8"/>
    <w:rsid w:val="00EF4423"/>
    <w:rsid w:val="00EF6148"/>
    <w:rsid w:val="00F03EF3"/>
    <w:rsid w:val="00F04447"/>
    <w:rsid w:val="00F06C26"/>
    <w:rsid w:val="00F22EC9"/>
    <w:rsid w:val="00F238AF"/>
    <w:rsid w:val="00F250B8"/>
    <w:rsid w:val="00F27700"/>
    <w:rsid w:val="00F3533A"/>
    <w:rsid w:val="00F3634D"/>
    <w:rsid w:val="00F36B65"/>
    <w:rsid w:val="00F41DBC"/>
    <w:rsid w:val="00F41E3B"/>
    <w:rsid w:val="00F47337"/>
    <w:rsid w:val="00F6141E"/>
    <w:rsid w:val="00F627C3"/>
    <w:rsid w:val="00F7163B"/>
    <w:rsid w:val="00F7357D"/>
    <w:rsid w:val="00F82E56"/>
    <w:rsid w:val="00F917A8"/>
    <w:rsid w:val="00F91F57"/>
    <w:rsid w:val="00FA2AB3"/>
    <w:rsid w:val="00FD1689"/>
    <w:rsid w:val="00FD628E"/>
    <w:rsid w:val="00FE0DCC"/>
    <w:rsid w:val="00FF7CFF"/>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4B4DD3"/>
  <w15:docId w15:val="{41A91B88-1FF0-47EE-BCBA-D2FEEFE0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9A2"/>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479A2"/>
    <w:pPr>
      <w:spacing w:after="160" w:line="240" w:lineRule="exact"/>
    </w:pPr>
  </w:style>
  <w:style w:type="paragraph" w:styleId="Footer">
    <w:name w:val="footer"/>
    <w:basedOn w:val="Normal"/>
    <w:rsid w:val="002479A2"/>
    <w:pPr>
      <w:tabs>
        <w:tab w:val="center" w:pos="4320"/>
        <w:tab w:val="right" w:pos="8640"/>
      </w:tabs>
    </w:pPr>
  </w:style>
  <w:style w:type="character" w:styleId="PageNumber">
    <w:name w:val="page number"/>
    <w:basedOn w:val="DefaultParagraphFont"/>
    <w:rsid w:val="002479A2"/>
  </w:style>
  <w:style w:type="paragraph" w:styleId="BalloonText">
    <w:name w:val="Balloon Text"/>
    <w:basedOn w:val="Normal"/>
    <w:semiHidden/>
    <w:rsid w:val="002479A2"/>
    <w:rPr>
      <w:rFonts w:ascii="Tahoma" w:hAnsi="Tahoma" w:cs="Tahoma"/>
      <w:sz w:val="16"/>
      <w:szCs w:val="16"/>
    </w:rPr>
  </w:style>
  <w:style w:type="paragraph" w:customStyle="1" w:styleId="Default">
    <w:name w:val="Default"/>
    <w:rsid w:val="002479A2"/>
    <w:pPr>
      <w:autoSpaceDE w:val="0"/>
      <w:autoSpaceDN w:val="0"/>
      <w:adjustRightInd w:val="0"/>
    </w:pPr>
    <w:rPr>
      <w:color w:val="000000"/>
      <w:sz w:val="24"/>
      <w:szCs w:val="24"/>
      <w:lang w:val="en-GB" w:eastAsia="en-GB"/>
    </w:rPr>
  </w:style>
  <w:style w:type="paragraph" w:styleId="Header">
    <w:name w:val="header"/>
    <w:basedOn w:val="Normal"/>
    <w:rsid w:val="002479A2"/>
    <w:pPr>
      <w:tabs>
        <w:tab w:val="center" w:pos="4153"/>
        <w:tab w:val="right" w:pos="8306"/>
      </w:tabs>
    </w:pPr>
  </w:style>
  <w:style w:type="character" w:styleId="Hyperlink">
    <w:name w:val="Hyperlink"/>
    <w:basedOn w:val="DefaultParagraphFont"/>
    <w:rsid w:val="002479A2"/>
    <w:rPr>
      <w:color w:val="0000FF"/>
      <w:u w:val="single"/>
    </w:rPr>
  </w:style>
  <w:style w:type="character" w:styleId="Strong">
    <w:name w:val="Strong"/>
    <w:basedOn w:val="DefaultParagraphFont"/>
    <w:qFormat/>
    <w:rsid w:val="002479A2"/>
    <w:rPr>
      <w:b/>
      <w:bCs/>
    </w:rPr>
  </w:style>
  <w:style w:type="paragraph" w:styleId="PlainText">
    <w:name w:val="Plain Text"/>
    <w:basedOn w:val="Normal"/>
    <w:unhideWhenUsed/>
    <w:rsid w:val="002479A2"/>
    <w:rPr>
      <w:rFonts w:ascii="Bookman Old Style" w:eastAsia="Calibri" w:hAnsi="Bookman Old Style"/>
      <w:sz w:val="22"/>
      <w:szCs w:val="22"/>
    </w:rPr>
  </w:style>
  <w:style w:type="character" w:customStyle="1" w:styleId="CharChar">
    <w:name w:val="Char Char"/>
    <w:basedOn w:val="DefaultParagraphFont"/>
    <w:rsid w:val="002479A2"/>
    <w:rPr>
      <w:rFonts w:ascii="Bookman Old Style" w:eastAsia="Calibri" w:hAnsi="Bookman Old Style"/>
      <w:sz w:val="22"/>
      <w:szCs w:val="22"/>
      <w:lang w:val="en-GB" w:eastAsia="en-GB" w:bidi="ar-SA"/>
    </w:rPr>
  </w:style>
  <w:style w:type="paragraph" w:styleId="ListParagraph">
    <w:name w:val="List Paragraph"/>
    <w:basedOn w:val="Normal"/>
    <w:qFormat/>
    <w:rsid w:val="002479A2"/>
    <w:pPr>
      <w:ind w:left="720"/>
    </w:pPr>
    <w:rPr>
      <w:rFonts w:ascii="Times New Roman" w:hAnsi="Times New Roman"/>
      <w:sz w:val="24"/>
      <w:szCs w:val="24"/>
      <w:lang w:val="en-US" w:eastAsia="en-US"/>
    </w:rPr>
  </w:style>
  <w:style w:type="character" w:styleId="CommentReference">
    <w:name w:val="annotation reference"/>
    <w:basedOn w:val="DefaultParagraphFont"/>
    <w:semiHidden/>
    <w:rsid w:val="002479A2"/>
    <w:rPr>
      <w:sz w:val="16"/>
      <w:szCs w:val="16"/>
    </w:rPr>
  </w:style>
  <w:style w:type="paragraph" w:styleId="CommentText">
    <w:name w:val="annotation text"/>
    <w:basedOn w:val="Normal"/>
    <w:semiHidden/>
    <w:rsid w:val="002479A2"/>
    <w:rPr>
      <w:rFonts w:ascii="Times New Roman" w:hAnsi="Times New Roman"/>
    </w:rPr>
  </w:style>
  <w:style w:type="paragraph" w:styleId="CommentSubject">
    <w:name w:val="annotation subject"/>
    <w:basedOn w:val="CommentText"/>
    <w:next w:val="CommentText"/>
    <w:semiHidden/>
    <w:rsid w:val="002479A2"/>
    <w:rPr>
      <w:rFonts w:ascii="Arial" w:hAnsi="Arial"/>
      <w:b/>
      <w:bCs/>
    </w:rPr>
  </w:style>
  <w:style w:type="paragraph" w:styleId="FootnoteText">
    <w:name w:val="footnote text"/>
    <w:basedOn w:val="Normal"/>
    <w:semiHidden/>
    <w:rsid w:val="002479A2"/>
  </w:style>
  <w:style w:type="character" w:styleId="FootnoteReference">
    <w:name w:val="footnote reference"/>
    <w:basedOn w:val="DefaultParagraphFont"/>
    <w:semiHidden/>
    <w:rsid w:val="002479A2"/>
    <w:rPr>
      <w:vertAlign w:val="superscript"/>
    </w:rPr>
  </w:style>
  <w:style w:type="character" w:styleId="FollowedHyperlink">
    <w:name w:val="FollowedHyperlink"/>
    <w:basedOn w:val="DefaultParagraphFont"/>
    <w:rsid w:val="002479A2"/>
    <w:rPr>
      <w:color w:val="800080"/>
      <w:u w:val="single"/>
    </w:rPr>
  </w:style>
  <w:style w:type="paragraph" w:styleId="BodyText2">
    <w:name w:val="Body Text 2"/>
    <w:basedOn w:val="Normal"/>
    <w:link w:val="BodyText2Char"/>
    <w:uiPriority w:val="99"/>
    <w:rsid w:val="002479A2"/>
    <w:pPr>
      <w:jc w:val="both"/>
    </w:pPr>
    <w:rPr>
      <w:rFonts w:ascii="Times New Roman" w:hAnsi="Times New Roman"/>
      <w:sz w:val="24"/>
      <w:lang w:val="en-US"/>
    </w:rPr>
  </w:style>
  <w:style w:type="character" w:customStyle="1" w:styleId="BodyText2Char">
    <w:name w:val="Body Text 2 Char"/>
    <w:basedOn w:val="DefaultParagraphFont"/>
    <w:link w:val="BodyText2"/>
    <w:uiPriority w:val="99"/>
    <w:rsid w:val="001452BB"/>
    <w:rPr>
      <w:sz w:val="24"/>
      <w:lang w:eastAsia="en-GB"/>
    </w:rPr>
  </w:style>
  <w:style w:type="table" w:styleId="TableGrid">
    <w:name w:val="Table Grid"/>
    <w:basedOn w:val="TableNormal"/>
    <w:uiPriority w:val="59"/>
    <w:rsid w:val="00153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261F"/>
    <w:pPr>
      <w:widowControl w:val="0"/>
      <w:autoSpaceDE w:val="0"/>
      <w:autoSpaceDN w:val="0"/>
      <w:adjustRightInd w:val="0"/>
    </w:pPr>
    <w:rPr>
      <w:rFonts w:ascii="Times New Roman" w:eastAsiaTheme="minorEastAsia" w:hAnsi="Times New Roman"/>
      <w:sz w:val="24"/>
      <w:szCs w:val="24"/>
    </w:rPr>
  </w:style>
  <w:style w:type="table" w:customStyle="1" w:styleId="TableGrid1">
    <w:name w:val="Table Grid1"/>
    <w:basedOn w:val="TableNormal"/>
    <w:next w:val="TableGrid"/>
    <w:uiPriority w:val="59"/>
    <w:rsid w:val="00F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6620">
      <w:bodyDiv w:val="1"/>
      <w:marLeft w:val="0"/>
      <w:marRight w:val="0"/>
      <w:marTop w:val="0"/>
      <w:marBottom w:val="0"/>
      <w:divBdr>
        <w:top w:val="none" w:sz="0" w:space="0" w:color="auto"/>
        <w:left w:val="none" w:sz="0" w:space="0" w:color="auto"/>
        <w:bottom w:val="none" w:sz="0" w:space="0" w:color="auto"/>
        <w:right w:val="none" w:sz="0" w:space="0" w:color="auto"/>
      </w:divBdr>
      <w:divsChild>
        <w:div w:id="1960987820">
          <w:marLeft w:val="0"/>
          <w:marRight w:val="0"/>
          <w:marTop w:val="0"/>
          <w:marBottom w:val="75"/>
          <w:divBdr>
            <w:top w:val="none" w:sz="0" w:space="0" w:color="auto"/>
            <w:left w:val="none" w:sz="0" w:space="0" w:color="auto"/>
            <w:bottom w:val="none" w:sz="0" w:space="0" w:color="auto"/>
            <w:right w:val="none" w:sz="0" w:space="0" w:color="auto"/>
          </w:divBdr>
          <w:divsChild>
            <w:div w:id="641230685">
              <w:marLeft w:val="0"/>
              <w:marRight w:val="0"/>
              <w:marTop w:val="0"/>
              <w:marBottom w:val="0"/>
              <w:divBdr>
                <w:top w:val="none" w:sz="0" w:space="0" w:color="auto"/>
                <w:left w:val="none" w:sz="0" w:space="0" w:color="auto"/>
                <w:bottom w:val="none" w:sz="0" w:space="0" w:color="auto"/>
                <w:right w:val="none" w:sz="0" w:space="0" w:color="auto"/>
              </w:divBdr>
              <w:divsChild>
                <w:div w:id="991955269">
                  <w:marLeft w:val="0"/>
                  <w:marRight w:val="0"/>
                  <w:marTop w:val="0"/>
                  <w:marBottom w:val="0"/>
                  <w:divBdr>
                    <w:top w:val="none" w:sz="0" w:space="0" w:color="auto"/>
                    <w:left w:val="none" w:sz="0" w:space="0" w:color="auto"/>
                    <w:bottom w:val="none" w:sz="0" w:space="0" w:color="auto"/>
                    <w:right w:val="none" w:sz="0" w:space="0" w:color="auto"/>
                  </w:divBdr>
                  <w:divsChild>
                    <w:div w:id="1066027031">
                      <w:marLeft w:val="0"/>
                      <w:marRight w:val="0"/>
                      <w:marTop w:val="0"/>
                      <w:marBottom w:val="0"/>
                      <w:divBdr>
                        <w:top w:val="none" w:sz="0" w:space="0" w:color="auto"/>
                        <w:left w:val="none" w:sz="0" w:space="0" w:color="auto"/>
                        <w:bottom w:val="none" w:sz="0" w:space="0" w:color="auto"/>
                        <w:right w:val="none" w:sz="0" w:space="0" w:color="auto"/>
                      </w:divBdr>
                      <w:divsChild>
                        <w:div w:id="244148316">
                          <w:marLeft w:val="0"/>
                          <w:marRight w:val="150"/>
                          <w:marTop w:val="30"/>
                          <w:marBottom w:val="0"/>
                          <w:divBdr>
                            <w:top w:val="none" w:sz="0" w:space="0" w:color="auto"/>
                            <w:left w:val="none" w:sz="0" w:space="0" w:color="auto"/>
                            <w:bottom w:val="none" w:sz="0" w:space="0" w:color="auto"/>
                            <w:right w:val="none" w:sz="0" w:space="0" w:color="auto"/>
                          </w:divBdr>
                          <w:divsChild>
                            <w:div w:id="1505587839">
                              <w:marLeft w:val="0"/>
                              <w:marRight w:val="0"/>
                              <w:marTop w:val="0"/>
                              <w:marBottom w:val="0"/>
                              <w:divBdr>
                                <w:top w:val="none" w:sz="0" w:space="0" w:color="auto"/>
                                <w:left w:val="none" w:sz="0" w:space="0" w:color="auto"/>
                                <w:bottom w:val="none" w:sz="0" w:space="0" w:color="auto"/>
                                <w:right w:val="none" w:sz="0" w:space="0" w:color="auto"/>
                              </w:divBdr>
                              <w:divsChild>
                                <w:div w:id="98641414">
                                  <w:marLeft w:val="0"/>
                                  <w:marRight w:val="0"/>
                                  <w:marTop w:val="0"/>
                                  <w:marBottom w:val="0"/>
                                  <w:divBdr>
                                    <w:top w:val="none" w:sz="0" w:space="0" w:color="auto"/>
                                    <w:left w:val="none" w:sz="0" w:space="0" w:color="auto"/>
                                    <w:bottom w:val="none" w:sz="0" w:space="0" w:color="auto"/>
                                    <w:right w:val="none" w:sz="0" w:space="0" w:color="auto"/>
                                  </w:divBdr>
                                  <w:divsChild>
                                    <w:div w:id="1739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6364-88EA-4F08-BEFB-075AAE99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507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IMMEDIATE RELEASE                                                                   13 May 2008</vt:lpstr>
    </vt:vector>
  </TitlesOfParts>
  <Company>Cairn Energy India Ltd</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13 May 2008</dc:title>
  <dc:subject/>
  <dc:creator>David</dc:creator>
  <cp:keywords/>
  <dc:description/>
  <cp:lastModifiedBy>Anne McSherry</cp:lastModifiedBy>
  <cp:revision>4</cp:revision>
  <cp:lastPrinted>2019-04-10T08:58:00Z</cp:lastPrinted>
  <dcterms:created xsi:type="dcterms:W3CDTF">2021-12-21T16:50:00Z</dcterms:created>
  <dcterms:modified xsi:type="dcterms:W3CDTF">2021-12-22T10:17:00Z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C0210.333 75405922 1 ROC </vt:lpwstr>
  </property>
  <property fmtid="{D5CDD505-2E9C-101B-9397-08002B2CF9AE}" pid="3" name="AuthorJobDescription">
    <vt:lpwstr>Partner</vt:lpwstr>
  </property>
  <property fmtid="{D5CDD505-2E9C-101B-9397-08002B2CF9AE}" pid="4" name="AuthorDepartment">
    <vt:lpwstr>CF50 - Corporate - Share Schemes</vt:lpwstr>
  </property>
  <property fmtid="{D5CDD505-2E9C-101B-9397-08002B2CF9AE}" pid="5" name="AuthorEmail">
    <vt:lpwstr>rodger.cairns@shepwedd.co.uk</vt:lpwstr>
  </property>
  <property fmtid="{D5CDD505-2E9C-101B-9397-08002B2CF9AE}" pid="6" name="AuthorFaxNumber">
    <vt:lpwstr/>
  </property>
  <property fmtid="{D5CDD505-2E9C-101B-9397-08002B2CF9AE}" pid="7" name="AuthorFullName">
    <vt:lpwstr>Rodger Cairns</vt:lpwstr>
  </property>
  <property fmtid="{D5CDD505-2E9C-101B-9397-08002B2CF9AE}" pid="8" name="AuthorLastName">
    <vt:lpwstr> </vt:lpwstr>
  </property>
  <property fmtid="{D5CDD505-2E9C-101B-9397-08002B2CF9AE}" pid="9" name="AuthorFirstName">
    <vt:lpwstr> </vt:lpwstr>
  </property>
  <property fmtid="{D5CDD505-2E9C-101B-9397-08002B2CF9AE}" pid="10" name="SWDocinfo">
    <vt:lpwstr>24157427 1   </vt:lpwstr>
  </property>
  <property fmtid="{D5CDD505-2E9C-101B-9397-08002B2CF9AE}" pid="11" name="DocRef">
    <vt:lpwstr>C0210.295 24157427_1 LTIP exercise announcement - S&amp;W draft (version 2)</vt:lpwstr>
  </property>
  <property fmtid="{D5CDD505-2E9C-101B-9397-08002B2CF9AE}" pid="12" name="OurRef">
    <vt:lpwstr>C0210.295/ROC</vt:lpwstr>
  </property>
</Properties>
</file>