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3E55F" w14:textId="77777777" w:rsidR="002E1C3C" w:rsidRPr="002E1C3C" w:rsidRDefault="002E1C3C" w:rsidP="002E1C3C">
      <w:pPr>
        <w:spacing w:line="36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3D836EEA" w14:textId="77777777" w:rsidR="002E1C3C" w:rsidRPr="002D77F2" w:rsidRDefault="002E1C3C" w:rsidP="0060118C">
      <w:pPr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  <w:r w:rsidRPr="002D77F2">
        <w:rPr>
          <w:rFonts w:ascii="Arial" w:hAnsi="Arial" w:cs="Arial"/>
          <w:b/>
          <w:sz w:val="20"/>
          <w:szCs w:val="20"/>
          <w:lang w:val="en-GB"/>
        </w:rPr>
        <w:t>FOR IMMEDIATE RELEASE</w:t>
      </w:r>
      <w:r w:rsidRPr="002D77F2">
        <w:rPr>
          <w:rFonts w:ascii="Arial" w:hAnsi="Arial" w:cs="Arial"/>
          <w:b/>
          <w:sz w:val="20"/>
          <w:szCs w:val="20"/>
          <w:lang w:val="en-GB"/>
        </w:rPr>
        <w:tab/>
      </w:r>
      <w:r w:rsidRPr="002D77F2">
        <w:rPr>
          <w:rFonts w:ascii="Arial" w:hAnsi="Arial" w:cs="Arial"/>
          <w:b/>
          <w:sz w:val="20"/>
          <w:szCs w:val="20"/>
          <w:lang w:val="en-GB"/>
        </w:rPr>
        <w:tab/>
      </w:r>
      <w:r w:rsidR="003E0F77" w:rsidRPr="002D77F2">
        <w:rPr>
          <w:rFonts w:ascii="Arial" w:hAnsi="Arial" w:cs="Arial"/>
          <w:b/>
          <w:sz w:val="20"/>
          <w:szCs w:val="20"/>
          <w:lang w:val="en-GB"/>
        </w:rPr>
        <w:t xml:space="preserve">    </w:t>
      </w:r>
      <w:r w:rsidRPr="002D77F2">
        <w:rPr>
          <w:rFonts w:ascii="Arial" w:hAnsi="Arial" w:cs="Arial"/>
          <w:b/>
          <w:sz w:val="20"/>
          <w:szCs w:val="20"/>
          <w:lang w:val="en-GB"/>
        </w:rPr>
        <w:tab/>
      </w:r>
      <w:r w:rsidRPr="002D77F2">
        <w:rPr>
          <w:rFonts w:ascii="Arial" w:hAnsi="Arial" w:cs="Arial"/>
          <w:b/>
          <w:sz w:val="20"/>
          <w:szCs w:val="20"/>
          <w:lang w:val="en-GB"/>
        </w:rPr>
        <w:tab/>
      </w:r>
      <w:r w:rsidRPr="002D77F2">
        <w:rPr>
          <w:rFonts w:ascii="Arial" w:hAnsi="Arial" w:cs="Arial"/>
          <w:b/>
          <w:sz w:val="20"/>
          <w:szCs w:val="20"/>
          <w:lang w:val="en-GB"/>
        </w:rPr>
        <w:tab/>
        <w:t xml:space="preserve">               </w:t>
      </w:r>
      <w:proofErr w:type="gramStart"/>
      <w:r w:rsidR="003E0F77" w:rsidRPr="002D77F2">
        <w:rPr>
          <w:rFonts w:ascii="Arial" w:hAnsi="Arial" w:cs="Arial"/>
          <w:b/>
          <w:sz w:val="20"/>
          <w:szCs w:val="20"/>
          <w:lang w:val="en-GB"/>
        </w:rPr>
        <w:tab/>
      </w:r>
      <w:r w:rsidR="00695414" w:rsidRPr="002D77F2">
        <w:rPr>
          <w:rFonts w:ascii="Arial" w:hAnsi="Arial" w:cs="Arial"/>
          <w:b/>
          <w:sz w:val="20"/>
          <w:szCs w:val="20"/>
          <w:lang w:val="en-GB"/>
        </w:rPr>
        <w:t xml:space="preserve">  </w:t>
      </w:r>
      <w:r w:rsidR="008B562A" w:rsidRPr="002D77F2">
        <w:rPr>
          <w:rFonts w:ascii="Arial" w:hAnsi="Arial" w:cs="Arial"/>
          <w:b/>
          <w:sz w:val="20"/>
          <w:szCs w:val="20"/>
          <w:lang w:val="en-GB"/>
        </w:rPr>
        <w:t>7</w:t>
      </w:r>
      <w:proofErr w:type="gramEnd"/>
      <w:r w:rsidR="008B562A" w:rsidRPr="002D77F2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211F8C">
        <w:rPr>
          <w:rFonts w:ascii="Arial" w:hAnsi="Arial" w:cs="Arial"/>
          <w:b/>
          <w:sz w:val="20"/>
          <w:szCs w:val="20"/>
          <w:lang w:val="en-GB"/>
        </w:rPr>
        <w:t xml:space="preserve">January </w:t>
      </w:r>
      <w:r w:rsidR="009E5CE5" w:rsidRPr="002D77F2">
        <w:rPr>
          <w:rFonts w:ascii="Arial" w:hAnsi="Arial" w:cs="Arial"/>
          <w:b/>
          <w:sz w:val="20"/>
          <w:szCs w:val="20"/>
          <w:lang w:val="en-GB"/>
        </w:rPr>
        <w:t>202</w:t>
      </w:r>
      <w:r w:rsidR="00211F8C">
        <w:rPr>
          <w:rFonts w:ascii="Arial" w:hAnsi="Arial" w:cs="Arial"/>
          <w:b/>
          <w:sz w:val="20"/>
          <w:szCs w:val="20"/>
          <w:lang w:val="en-GB"/>
        </w:rPr>
        <w:t>1</w:t>
      </w:r>
      <w:r w:rsidRPr="002D77F2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7642D528" w14:textId="77777777" w:rsidR="002E1C3C" w:rsidRPr="002D77F2" w:rsidRDefault="002E1C3C" w:rsidP="0060118C">
      <w:pPr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7CF84AAD" w14:textId="77777777" w:rsidR="002E1C3C" w:rsidRPr="002D77F2" w:rsidRDefault="002E1C3C" w:rsidP="0060118C">
      <w:pPr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5C55C575" w14:textId="77777777" w:rsidR="002E1C3C" w:rsidRPr="002D77F2" w:rsidRDefault="002E1C3C" w:rsidP="0060118C">
      <w:pPr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61850805" w14:textId="77777777" w:rsidR="002E1C3C" w:rsidRPr="002D77F2" w:rsidRDefault="002E1C3C" w:rsidP="0060118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2D77F2">
        <w:rPr>
          <w:rFonts w:ascii="Arial" w:hAnsi="Arial" w:cs="Arial"/>
          <w:b/>
          <w:sz w:val="20"/>
          <w:szCs w:val="20"/>
          <w:lang w:val="en-GB"/>
        </w:rPr>
        <w:t>CAIRN ENERGY PLC (“Cairn”)</w:t>
      </w:r>
    </w:p>
    <w:p w14:paraId="4791A4F2" w14:textId="77777777" w:rsidR="00283513" w:rsidRPr="002D77F2" w:rsidRDefault="00283513" w:rsidP="0060118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3971BECB" w14:textId="77777777" w:rsidR="006C34AD" w:rsidRPr="002D77F2" w:rsidRDefault="009A6C84" w:rsidP="00A800EC">
      <w:pPr>
        <w:spacing w:line="360" w:lineRule="auto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2D77F2">
        <w:rPr>
          <w:rFonts w:ascii="Arial" w:eastAsia="Times New Roman" w:hAnsi="Arial" w:cs="Arial"/>
          <w:b/>
          <w:bCs/>
          <w:sz w:val="20"/>
          <w:szCs w:val="20"/>
          <w:lang w:val="en-GB"/>
        </w:rPr>
        <w:t>Return of US$250 million to shareholder</w:t>
      </w:r>
      <w:r w:rsidR="008B562A" w:rsidRPr="002D77F2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s </w:t>
      </w:r>
      <w:r w:rsidR="00211F8C">
        <w:rPr>
          <w:rFonts w:ascii="Arial" w:eastAsia="Times New Roman" w:hAnsi="Arial" w:cs="Arial"/>
          <w:b/>
          <w:bCs/>
          <w:sz w:val="20"/>
          <w:szCs w:val="20"/>
          <w:lang w:val="en-GB"/>
        </w:rPr>
        <w:t>and Share Consolidation</w:t>
      </w:r>
    </w:p>
    <w:p w14:paraId="5BB13448" w14:textId="77777777" w:rsidR="006C34AD" w:rsidRPr="002D77F2" w:rsidRDefault="006C34AD" w:rsidP="006C34A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382F9363" w14:textId="6FB2B88D" w:rsidR="00CC7EE2" w:rsidRDefault="00211F8C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On 17 December </w:t>
      </w:r>
      <w:r w:rsidR="0001443E">
        <w:rPr>
          <w:rFonts w:ascii="Arial" w:hAnsi="Arial" w:cs="Arial"/>
          <w:sz w:val="20"/>
          <w:szCs w:val="20"/>
          <w:lang w:val="en-GB"/>
        </w:rPr>
        <w:t xml:space="preserve">2020 </w:t>
      </w:r>
      <w:r>
        <w:rPr>
          <w:rFonts w:ascii="Arial" w:hAnsi="Arial" w:cs="Arial"/>
          <w:sz w:val="20"/>
          <w:szCs w:val="20"/>
          <w:lang w:val="en-GB"/>
        </w:rPr>
        <w:t xml:space="preserve">Cairn announced details of </w:t>
      </w:r>
      <w:r w:rsidR="0001443E">
        <w:rPr>
          <w:rFonts w:ascii="Arial" w:hAnsi="Arial" w:cs="Arial"/>
          <w:sz w:val="20"/>
          <w:szCs w:val="20"/>
          <w:lang w:val="en-GB"/>
        </w:rPr>
        <w:t>a</w:t>
      </w:r>
      <w:r>
        <w:rPr>
          <w:rFonts w:ascii="Arial" w:hAnsi="Arial" w:cs="Arial"/>
          <w:sz w:val="20"/>
          <w:szCs w:val="20"/>
          <w:lang w:val="en-GB"/>
        </w:rPr>
        <w:t xml:space="preserve"> proposed </w:t>
      </w:r>
      <w:r w:rsidR="00252501" w:rsidRPr="002D77F2">
        <w:rPr>
          <w:rFonts w:ascii="Arial" w:eastAsia="Times New Roman" w:hAnsi="Arial" w:cs="Arial"/>
          <w:sz w:val="20"/>
          <w:szCs w:val="20"/>
          <w:lang w:val="en-GB"/>
        </w:rPr>
        <w:t>special dividend of 3</w:t>
      </w:r>
      <w:r w:rsidR="008B562A" w:rsidRPr="002D77F2">
        <w:rPr>
          <w:rFonts w:ascii="Arial" w:eastAsia="Times New Roman" w:hAnsi="Arial" w:cs="Arial"/>
          <w:sz w:val="20"/>
          <w:szCs w:val="20"/>
          <w:lang w:val="en-GB"/>
        </w:rPr>
        <w:t>2</w:t>
      </w:r>
      <w:r w:rsidR="00252501" w:rsidRPr="002D77F2">
        <w:rPr>
          <w:rFonts w:ascii="Arial" w:eastAsia="Times New Roman" w:hAnsi="Arial" w:cs="Arial"/>
          <w:sz w:val="20"/>
          <w:szCs w:val="20"/>
          <w:lang w:val="en-GB"/>
        </w:rPr>
        <w:t xml:space="preserve"> pence per</w:t>
      </w:r>
      <w:r w:rsidR="00A41C7A" w:rsidRPr="002D77F2">
        <w:rPr>
          <w:rFonts w:ascii="Arial" w:eastAsia="Times New Roman" w:hAnsi="Arial" w:cs="Arial"/>
          <w:sz w:val="20"/>
          <w:szCs w:val="20"/>
          <w:lang w:val="en-GB"/>
        </w:rPr>
        <w:t xml:space="preserve"> eligible ordinary</w:t>
      </w:r>
      <w:r w:rsidR="00252501" w:rsidRPr="002D77F2">
        <w:rPr>
          <w:rFonts w:ascii="Arial" w:eastAsia="Times New Roman" w:hAnsi="Arial" w:cs="Arial"/>
          <w:sz w:val="20"/>
          <w:szCs w:val="20"/>
          <w:lang w:val="en-GB"/>
        </w:rPr>
        <w:t xml:space="preserve"> share</w:t>
      </w:r>
      <w:r w:rsidR="006A0F28">
        <w:rPr>
          <w:rFonts w:ascii="Arial" w:eastAsia="Times New Roman" w:hAnsi="Arial" w:cs="Arial"/>
          <w:sz w:val="20"/>
          <w:szCs w:val="20"/>
          <w:lang w:val="en-GB"/>
        </w:rPr>
        <w:t>,</w:t>
      </w:r>
      <w:r w:rsidR="00151439" w:rsidRPr="002D77F2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="005C2155" w:rsidRPr="002D77F2">
        <w:rPr>
          <w:rFonts w:ascii="Arial" w:eastAsia="Times New Roman" w:hAnsi="Arial" w:cs="Arial"/>
          <w:sz w:val="20"/>
          <w:szCs w:val="20"/>
          <w:lang w:val="en-GB"/>
        </w:rPr>
        <w:t xml:space="preserve">amounting to a return </w:t>
      </w:r>
      <w:r w:rsidR="00AC509C" w:rsidRPr="00AC509C">
        <w:rPr>
          <w:rFonts w:ascii="Arial" w:eastAsia="Times New Roman" w:hAnsi="Arial" w:cs="Arial"/>
          <w:sz w:val="20"/>
          <w:szCs w:val="20"/>
          <w:lang w:val="en-GB"/>
        </w:rPr>
        <w:t>of approximately</w:t>
      </w:r>
      <w:r w:rsidR="005C2155" w:rsidRPr="002D77F2">
        <w:rPr>
          <w:rFonts w:ascii="Arial" w:eastAsia="Times New Roman" w:hAnsi="Arial" w:cs="Arial"/>
          <w:sz w:val="20"/>
          <w:szCs w:val="20"/>
          <w:lang w:val="en-GB"/>
        </w:rPr>
        <w:t xml:space="preserve"> US$250m</w:t>
      </w:r>
      <w:r w:rsidR="006A0F28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="005C2155" w:rsidRPr="002D77F2">
        <w:rPr>
          <w:rFonts w:ascii="Arial" w:eastAsia="Times New Roman" w:hAnsi="Arial" w:cs="Arial"/>
          <w:sz w:val="20"/>
          <w:szCs w:val="20"/>
          <w:lang w:val="en-GB"/>
        </w:rPr>
        <w:t>to shareholders</w:t>
      </w:r>
      <w:r w:rsidR="00151439" w:rsidRPr="002D77F2">
        <w:rPr>
          <w:rFonts w:ascii="Arial" w:eastAsia="Times New Roman" w:hAnsi="Arial" w:cs="Arial"/>
          <w:sz w:val="20"/>
          <w:szCs w:val="20"/>
          <w:lang w:val="en-GB"/>
        </w:rPr>
        <w:t xml:space="preserve"> and a consolidation of Cairn’s ordinary share capital.</w:t>
      </w:r>
      <w:r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</w:p>
    <w:p w14:paraId="1435FFA7" w14:textId="77777777" w:rsidR="00211F8C" w:rsidRDefault="00211F8C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769D7677" w14:textId="0B9B53E8" w:rsidR="00211F8C" w:rsidRPr="00211F8C" w:rsidRDefault="00211F8C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A0F28">
        <w:rPr>
          <w:rFonts w:ascii="Arial" w:eastAsia="Times New Roman" w:hAnsi="Arial" w:cs="Arial"/>
          <w:sz w:val="20"/>
          <w:szCs w:val="20"/>
          <w:lang w:val="en-GB"/>
        </w:rPr>
        <w:t xml:space="preserve">The </w:t>
      </w:r>
      <w:r w:rsidRPr="006A0F28">
        <w:rPr>
          <w:rStyle w:val="ap"/>
          <w:rFonts w:ascii="Arial" w:hAnsi="Arial" w:cs="Arial"/>
          <w:color w:val="000000"/>
          <w:sz w:val="20"/>
          <w:szCs w:val="20"/>
        </w:rPr>
        <w:t xml:space="preserve">consolidation ratio for the Share Consolidation </w:t>
      </w:r>
      <w:r w:rsidR="0001443E" w:rsidRPr="006A0F28">
        <w:rPr>
          <w:rStyle w:val="ap"/>
          <w:rFonts w:ascii="Arial" w:hAnsi="Arial" w:cs="Arial"/>
          <w:color w:val="000000"/>
          <w:sz w:val="20"/>
          <w:szCs w:val="20"/>
        </w:rPr>
        <w:t>will be</w:t>
      </w:r>
      <w:r w:rsidRPr="006A0F28">
        <w:rPr>
          <w:rStyle w:val="ap"/>
          <w:rFonts w:ascii="Arial" w:hAnsi="Arial" w:cs="Arial"/>
          <w:color w:val="000000"/>
          <w:sz w:val="20"/>
          <w:szCs w:val="20"/>
        </w:rPr>
        <w:t xml:space="preserve"> </w:t>
      </w:r>
      <w:r w:rsidR="00BA1FAF" w:rsidRPr="006A0F28">
        <w:rPr>
          <w:rStyle w:val="at"/>
          <w:rFonts w:ascii="Arial" w:hAnsi="Arial" w:cs="Arial"/>
          <w:color w:val="000000"/>
          <w:sz w:val="20"/>
          <w:szCs w:val="20"/>
        </w:rPr>
        <w:t>11</w:t>
      </w:r>
      <w:r w:rsidRPr="006A0F28">
        <w:rPr>
          <w:rStyle w:val="ap"/>
          <w:rFonts w:ascii="Arial" w:hAnsi="Arial" w:cs="Arial"/>
          <w:color w:val="000000"/>
          <w:sz w:val="20"/>
          <w:szCs w:val="20"/>
        </w:rPr>
        <w:t xml:space="preserve"> New Ordinary Shares for </w:t>
      </w:r>
      <w:r w:rsidR="006521C6" w:rsidRPr="006A0F28">
        <w:rPr>
          <w:rStyle w:val="ap"/>
          <w:rFonts w:ascii="Arial" w:hAnsi="Arial" w:cs="Arial"/>
          <w:color w:val="000000"/>
          <w:sz w:val="20"/>
          <w:szCs w:val="20"/>
        </w:rPr>
        <w:t xml:space="preserve">every </w:t>
      </w:r>
      <w:r w:rsidR="00BA1FAF" w:rsidRPr="006A0F28">
        <w:rPr>
          <w:rStyle w:val="at"/>
          <w:rFonts w:ascii="Arial" w:hAnsi="Arial" w:cs="Arial"/>
          <w:color w:val="000000"/>
          <w:sz w:val="20"/>
          <w:szCs w:val="20"/>
        </w:rPr>
        <w:t>13</w:t>
      </w:r>
      <w:r w:rsidR="006521C6" w:rsidRPr="006A0F28">
        <w:rPr>
          <w:rStyle w:val="at"/>
          <w:rFonts w:ascii="Arial" w:hAnsi="Arial" w:cs="Arial"/>
          <w:color w:val="000000"/>
          <w:sz w:val="20"/>
          <w:szCs w:val="20"/>
        </w:rPr>
        <w:t xml:space="preserve"> </w:t>
      </w:r>
      <w:r w:rsidRPr="006A0F28">
        <w:rPr>
          <w:rStyle w:val="ap"/>
          <w:rFonts w:ascii="Arial" w:hAnsi="Arial" w:cs="Arial"/>
          <w:color w:val="000000"/>
          <w:sz w:val="20"/>
          <w:szCs w:val="20"/>
        </w:rPr>
        <w:t>Existing Ordinary Share</w:t>
      </w:r>
      <w:r w:rsidR="00BA1FAF" w:rsidRPr="006A0F28">
        <w:rPr>
          <w:rStyle w:val="ap"/>
          <w:rFonts w:ascii="Arial" w:hAnsi="Arial" w:cs="Arial"/>
          <w:color w:val="000000"/>
          <w:sz w:val="20"/>
          <w:szCs w:val="20"/>
        </w:rPr>
        <w:t>s</w:t>
      </w:r>
      <w:r w:rsidRPr="006A0F28">
        <w:rPr>
          <w:rStyle w:val="ap"/>
          <w:rFonts w:ascii="Arial" w:hAnsi="Arial" w:cs="Arial"/>
          <w:color w:val="000000"/>
          <w:sz w:val="20"/>
          <w:szCs w:val="20"/>
        </w:rPr>
        <w:t xml:space="preserve"> held at the Record Time.</w:t>
      </w:r>
      <w:r w:rsidR="00AC5FEB" w:rsidRPr="006A0F28">
        <w:rPr>
          <w:rStyle w:val="ap"/>
          <w:rFonts w:ascii="Arial" w:hAnsi="Arial" w:cs="Arial"/>
          <w:color w:val="000000"/>
          <w:sz w:val="20"/>
          <w:szCs w:val="20"/>
        </w:rPr>
        <w:t xml:space="preserve"> The nominal value of the New Ordinary Shares will be </w:t>
      </w:r>
      <w:r w:rsidR="00BA1FAF" w:rsidRPr="006A0F28">
        <w:rPr>
          <w:rStyle w:val="at"/>
          <w:rFonts w:ascii="Arial" w:hAnsi="Arial" w:cs="Arial"/>
          <w:color w:val="000000"/>
          <w:sz w:val="20"/>
          <w:szCs w:val="20"/>
        </w:rPr>
        <w:t>21/13</w:t>
      </w:r>
      <w:r w:rsidR="00AC5FEB" w:rsidRPr="006A0F28">
        <w:rPr>
          <w:rStyle w:val="at"/>
          <w:rFonts w:ascii="Arial" w:hAnsi="Arial" w:cs="Arial"/>
          <w:color w:val="000000"/>
          <w:sz w:val="20"/>
          <w:szCs w:val="20"/>
        </w:rPr>
        <w:t xml:space="preserve"> pence per New Ordinary Share.</w:t>
      </w:r>
      <w:r w:rsidR="00AC5FEB">
        <w:rPr>
          <w:rStyle w:val="at"/>
          <w:rFonts w:ascii="Arial" w:hAnsi="Arial" w:cs="Arial"/>
          <w:color w:val="000000"/>
          <w:sz w:val="20"/>
          <w:szCs w:val="20"/>
        </w:rPr>
        <w:t xml:space="preserve"> </w:t>
      </w:r>
    </w:p>
    <w:p w14:paraId="11D6BA67" w14:textId="77777777" w:rsidR="00CC7EE2" w:rsidRPr="002D77F2" w:rsidRDefault="00CC7EE2" w:rsidP="0025250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75B9CEF7" w14:textId="77777777" w:rsidR="005C2155" w:rsidRPr="002D77F2" w:rsidRDefault="00151439" w:rsidP="0025250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D77F2">
        <w:rPr>
          <w:rFonts w:ascii="Arial" w:hAnsi="Arial" w:cs="Arial"/>
          <w:sz w:val="20"/>
          <w:szCs w:val="20"/>
          <w:lang w:val="en-GB"/>
        </w:rPr>
        <w:t>The Share Consolidation will reduce the number of</w:t>
      </w:r>
      <w:r w:rsidR="005C2155" w:rsidRPr="002D77F2">
        <w:rPr>
          <w:rFonts w:ascii="Arial" w:hAnsi="Arial" w:cs="Arial"/>
          <w:sz w:val="20"/>
          <w:szCs w:val="20"/>
          <w:lang w:val="en-GB"/>
        </w:rPr>
        <w:t xml:space="preserve"> Cairn</w:t>
      </w:r>
      <w:r w:rsidR="00A41C7A" w:rsidRPr="002D77F2">
        <w:rPr>
          <w:rFonts w:ascii="Arial" w:hAnsi="Arial" w:cs="Arial"/>
          <w:sz w:val="20"/>
          <w:szCs w:val="20"/>
          <w:lang w:val="en-GB"/>
        </w:rPr>
        <w:t>’s</w:t>
      </w:r>
      <w:r w:rsidRPr="002D77F2">
        <w:rPr>
          <w:rFonts w:ascii="Arial" w:hAnsi="Arial" w:cs="Arial"/>
          <w:sz w:val="20"/>
          <w:szCs w:val="20"/>
          <w:lang w:val="en-GB"/>
        </w:rPr>
        <w:t xml:space="preserve"> issued ordinary shares</w:t>
      </w:r>
      <w:r w:rsidR="005C2155" w:rsidRPr="002D77F2">
        <w:rPr>
          <w:rFonts w:ascii="Arial" w:hAnsi="Arial" w:cs="Arial"/>
          <w:sz w:val="20"/>
          <w:szCs w:val="20"/>
          <w:lang w:val="en-GB"/>
        </w:rPr>
        <w:t xml:space="preserve"> by an amount that</w:t>
      </w:r>
      <w:r w:rsidRPr="002D77F2">
        <w:rPr>
          <w:rFonts w:ascii="Arial" w:hAnsi="Arial" w:cs="Arial"/>
          <w:sz w:val="20"/>
          <w:szCs w:val="20"/>
          <w:lang w:val="en-GB"/>
        </w:rPr>
        <w:t xml:space="preserve"> reflect</w:t>
      </w:r>
      <w:r w:rsidR="005C2155" w:rsidRPr="002D77F2">
        <w:rPr>
          <w:rFonts w:ascii="Arial" w:hAnsi="Arial" w:cs="Arial"/>
          <w:sz w:val="20"/>
          <w:szCs w:val="20"/>
          <w:lang w:val="en-GB"/>
        </w:rPr>
        <w:t>s</w:t>
      </w:r>
      <w:r w:rsidRPr="002D77F2">
        <w:rPr>
          <w:rFonts w:ascii="Arial" w:hAnsi="Arial" w:cs="Arial"/>
          <w:sz w:val="20"/>
          <w:szCs w:val="20"/>
          <w:lang w:val="en-GB"/>
        </w:rPr>
        <w:t xml:space="preserve"> the</w:t>
      </w:r>
      <w:r w:rsidR="005C2155" w:rsidRPr="002D77F2">
        <w:rPr>
          <w:rFonts w:ascii="Arial" w:hAnsi="Arial" w:cs="Arial"/>
          <w:sz w:val="20"/>
          <w:szCs w:val="20"/>
          <w:lang w:val="en-GB"/>
        </w:rPr>
        <w:t xml:space="preserve"> value of the</w:t>
      </w:r>
      <w:r w:rsidRPr="002D77F2">
        <w:rPr>
          <w:rFonts w:ascii="Arial" w:hAnsi="Arial" w:cs="Arial"/>
          <w:sz w:val="20"/>
          <w:szCs w:val="20"/>
          <w:lang w:val="en-GB"/>
        </w:rPr>
        <w:t xml:space="preserve"> Return of Cash to Shareholders</w:t>
      </w:r>
      <w:r w:rsidR="005C2155" w:rsidRPr="002D77F2">
        <w:rPr>
          <w:rFonts w:ascii="Arial" w:hAnsi="Arial" w:cs="Arial"/>
          <w:sz w:val="20"/>
          <w:szCs w:val="20"/>
          <w:lang w:val="en-GB"/>
        </w:rPr>
        <w:t xml:space="preserve"> relative to the market capitalisation of Cairn prior to the Return of Cash</w:t>
      </w:r>
      <w:r w:rsidRPr="002D77F2">
        <w:rPr>
          <w:rFonts w:ascii="Arial" w:hAnsi="Arial" w:cs="Arial"/>
          <w:sz w:val="20"/>
          <w:szCs w:val="20"/>
          <w:lang w:val="en-GB"/>
        </w:rPr>
        <w:t xml:space="preserve">. </w:t>
      </w:r>
      <w:r w:rsidR="005C2155" w:rsidRPr="002D77F2">
        <w:rPr>
          <w:rFonts w:ascii="Arial" w:hAnsi="Arial" w:cs="Arial"/>
          <w:sz w:val="20"/>
          <w:szCs w:val="20"/>
          <w:lang w:val="en-GB"/>
        </w:rPr>
        <w:t>The aim of this is to ensure, so far as possible, the market price of an ordinary share remains approximately the same before and after the Proposed Return of Ca</w:t>
      </w:r>
      <w:r w:rsidR="00A41C7A" w:rsidRPr="002D77F2">
        <w:rPr>
          <w:rFonts w:ascii="Arial" w:hAnsi="Arial" w:cs="Arial"/>
          <w:sz w:val="20"/>
          <w:szCs w:val="20"/>
          <w:lang w:val="en-GB"/>
        </w:rPr>
        <w:t>sh</w:t>
      </w:r>
      <w:r w:rsidR="005C2155" w:rsidRPr="002D77F2">
        <w:rPr>
          <w:rFonts w:ascii="Arial" w:hAnsi="Arial" w:cs="Arial"/>
          <w:sz w:val="20"/>
          <w:szCs w:val="20"/>
          <w:lang w:val="en-GB"/>
        </w:rPr>
        <w:t xml:space="preserve"> and to maintain comparability of historical and future per share data. The Share Consolidation will reduce the number of ordinary shares in Cairn which </w:t>
      </w:r>
      <w:r w:rsidR="00A41C7A" w:rsidRPr="002D77F2">
        <w:rPr>
          <w:rFonts w:ascii="Arial" w:hAnsi="Arial" w:cs="Arial"/>
          <w:sz w:val="20"/>
          <w:szCs w:val="20"/>
          <w:lang w:val="en-GB"/>
        </w:rPr>
        <w:t>s</w:t>
      </w:r>
      <w:r w:rsidR="005C2155" w:rsidRPr="002D77F2">
        <w:rPr>
          <w:rFonts w:ascii="Arial" w:hAnsi="Arial" w:cs="Arial"/>
          <w:sz w:val="20"/>
          <w:szCs w:val="20"/>
          <w:lang w:val="en-GB"/>
        </w:rPr>
        <w:t>hareholders own, but not the proportion (subject to allowance for fractional entitlements).</w:t>
      </w:r>
    </w:p>
    <w:p w14:paraId="7445D9DB" w14:textId="77777777" w:rsidR="00151439" w:rsidRPr="002D77F2" w:rsidRDefault="00151439" w:rsidP="0025250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</w:pPr>
    </w:p>
    <w:p w14:paraId="36C397C7" w14:textId="77777777" w:rsidR="0092481B" w:rsidRPr="002D77F2" w:rsidRDefault="0016340F" w:rsidP="00C42CBD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2D77F2">
        <w:rPr>
          <w:rFonts w:ascii="Arial" w:hAnsi="Arial" w:cs="Arial"/>
          <w:b/>
          <w:bCs/>
          <w:sz w:val="20"/>
          <w:szCs w:val="20"/>
          <w:lang w:val="en-GB"/>
        </w:rPr>
        <w:t>Key dates</w:t>
      </w:r>
    </w:p>
    <w:p w14:paraId="08A27275" w14:textId="77777777" w:rsidR="0016340F" w:rsidRPr="002D77F2" w:rsidRDefault="0016340F" w:rsidP="002D77F2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6340F" w:rsidRPr="0014354C" w14:paraId="65ABF74C" w14:textId="77777777" w:rsidTr="002D77F2">
        <w:tc>
          <w:tcPr>
            <w:tcW w:w="4508" w:type="dxa"/>
          </w:tcPr>
          <w:p w14:paraId="5B0D98B7" w14:textId="77777777" w:rsidR="0016340F" w:rsidRPr="0014354C" w:rsidRDefault="00A6276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7F2">
              <w:rPr>
                <w:rFonts w:ascii="Arial" w:hAnsi="Arial" w:cs="Arial"/>
                <w:sz w:val="20"/>
                <w:szCs w:val="20"/>
              </w:rPr>
              <w:t>General Meeting</w:t>
            </w:r>
          </w:p>
        </w:tc>
        <w:tc>
          <w:tcPr>
            <w:tcW w:w="4508" w:type="dxa"/>
          </w:tcPr>
          <w:p w14:paraId="33A896BF" w14:textId="77777777" w:rsidR="0016340F" w:rsidRPr="0014354C" w:rsidRDefault="00A6276A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77F2">
              <w:rPr>
                <w:rFonts w:ascii="Arial" w:hAnsi="Arial" w:cs="Arial"/>
                <w:sz w:val="20"/>
                <w:szCs w:val="20"/>
              </w:rPr>
              <w:t>9.00 a.m. on 8 January 2021</w:t>
            </w:r>
          </w:p>
        </w:tc>
      </w:tr>
      <w:tr w:rsidR="0016340F" w:rsidRPr="0014354C" w14:paraId="74660815" w14:textId="77777777" w:rsidTr="002D77F2">
        <w:trPr>
          <w:trHeight w:val="435"/>
        </w:trPr>
        <w:tc>
          <w:tcPr>
            <w:tcW w:w="4508" w:type="dxa"/>
          </w:tcPr>
          <w:p w14:paraId="113B1D9E" w14:textId="77777777" w:rsidR="00F54E74" w:rsidRPr="002D77F2" w:rsidRDefault="00F54E74" w:rsidP="002D77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EBE54E" w14:textId="77777777" w:rsidR="00A6276A" w:rsidRPr="002D77F2" w:rsidRDefault="00A6276A" w:rsidP="002D77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7F2">
              <w:rPr>
                <w:rFonts w:ascii="Arial" w:hAnsi="Arial" w:cs="Arial"/>
                <w:sz w:val="20"/>
                <w:szCs w:val="20"/>
              </w:rPr>
              <w:t>Latest time and date for dealings in Existing</w:t>
            </w:r>
          </w:p>
          <w:p w14:paraId="2BC8AFF0" w14:textId="77777777" w:rsidR="0016340F" w:rsidRPr="0014354C" w:rsidRDefault="00A6276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7F2">
              <w:rPr>
                <w:rFonts w:ascii="Arial" w:hAnsi="Arial" w:cs="Arial"/>
                <w:sz w:val="20"/>
                <w:szCs w:val="20"/>
              </w:rPr>
              <w:t>Ordinary Shares</w:t>
            </w:r>
          </w:p>
        </w:tc>
        <w:tc>
          <w:tcPr>
            <w:tcW w:w="4508" w:type="dxa"/>
          </w:tcPr>
          <w:p w14:paraId="4D12526B" w14:textId="77777777" w:rsidR="00A6276A" w:rsidRPr="002D77F2" w:rsidRDefault="00A6276A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2F0B09B" w14:textId="77777777" w:rsidR="00F54E74" w:rsidRPr="002D77F2" w:rsidRDefault="00F54E74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6B40D10" w14:textId="77777777" w:rsidR="0016340F" w:rsidRPr="0014354C" w:rsidRDefault="00A6276A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77F2">
              <w:rPr>
                <w:rFonts w:ascii="Arial" w:hAnsi="Arial" w:cs="Arial"/>
                <w:sz w:val="20"/>
                <w:szCs w:val="20"/>
              </w:rPr>
              <w:t>4.30 p.m. on 8 January 2021</w:t>
            </w:r>
          </w:p>
        </w:tc>
      </w:tr>
      <w:tr w:rsidR="0016340F" w:rsidRPr="0014354C" w14:paraId="56618420" w14:textId="77777777" w:rsidTr="002D77F2">
        <w:tc>
          <w:tcPr>
            <w:tcW w:w="4508" w:type="dxa"/>
          </w:tcPr>
          <w:p w14:paraId="095115C7" w14:textId="77777777" w:rsidR="00F54E74" w:rsidRPr="002D77F2" w:rsidRDefault="00F54E74" w:rsidP="002D77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BD286C" w14:textId="77777777" w:rsidR="00A6276A" w:rsidRPr="002D77F2" w:rsidRDefault="00A6276A" w:rsidP="002D77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7F2">
              <w:rPr>
                <w:rFonts w:ascii="Arial" w:hAnsi="Arial" w:cs="Arial"/>
                <w:sz w:val="20"/>
                <w:szCs w:val="20"/>
              </w:rPr>
              <w:t>Record Time for entitlement to the Special</w:t>
            </w:r>
          </w:p>
          <w:p w14:paraId="21C46265" w14:textId="77777777" w:rsidR="00A6276A" w:rsidRPr="002D77F2" w:rsidRDefault="00A6276A" w:rsidP="002D77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7F2">
              <w:rPr>
                <w:rFonts w:ascii="Arial" w:hAnsi="Arial" w:cs="Arial"/>
                <w:sz w:val="20"/>
                <w:szCs w:val="20"/>
              </w:rPr>
              <w:t>Dividend and to determine the Existing Ordinary</w:t>
            </w:r>
          </w:p>
          <w:p w14:paraId="05FF8826" w14:textId="77777777" w:rsidR="00F54E74" w:rsidRPr="002D77F2" w:rsidRDefault="00A6276A" w:rsidP="002D77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7F2">
              <w:rPr>
                <w:rFonts w:ascii="Arial" w:hAnsi="Arial" w:cs="Arial"/>
                <w:sz w:val="20"/>
                <w:szCs w:val="20"/>
              </w:rPr>
              <w:t>Shares subject to the Share Consolidation</w:t>
            </w:r>
            <w:r w:rsidR="00831917" w:rsidRPr="002D77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77F2">
              <w:rPr>
                <w:rFonts w:ascii="Arial" w:hAnsi="Arial" w:cs="Arial"/>
                <w:sz w:val="20"/>
                <w:szCs w:val="20"/>
              </w:rPr>
              <w:t xml:space="preserve">(Existing Ordinary Share register closed and </w:t>
            </w:r>
          </w:p>
          <w:p w14:paraId="3716C9E9" w14:textId="77777777" w:rsidR="0016340F" w:rsidRPr="0014354C" w:rsidRDefault="00A6276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7F2">
              <w:rPr>
                <w:rFonts w:ascii="Arial" w:hAnsi="Arial" w:cs="Arial"/>
                <w:sz w:val="20"/>
                <w:szCs w:val="20"/>
              </w:rPr>
              <w:t>Existing Ordinary Shares disabled in CREST)</w:t>
            </w:r>
          </w:p>
        </w:tc>
        <w:tc>
          <w:tcPr>
            <w:tcW w:w="4508" w:type="dxa"/>
          </w:tcPr>
          <w:p w14:paraId="004CBAA7" w14:textId="77777777" w:rsidR="0016340F" w:rsidRPr="0014354C" w:rsidRDefault="0016340F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AA14554" w14:textId="77777777" w:rsidR="00A6276A" w:rsidRPr="002D77F2" w:rsidRDefault="00A6276A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7ED64E2" w14:textId="77777777" w:rsidR="00A6276A" w:rsidRPr="002D77F2" w:rsidRDefault="00A6276A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944113E" w14:textId="77777777" w:rsidR="00831917" w:rsidRPr="002D77F2" w:rsidRDefault="00831917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3564D18" w14:textId="77777777" w:rsidR="00831917" w:rsidRPr="002D77F2" w:rsidRDefault="00831917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0D855D5" w14:textId="77777777" w:rsidR="00A6276A" w:rsidRPr="0014354C" w:rsidRDefault="00A6276A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77F2">
              <w:rPr>
                <w:rFonts w:ascii="Arial" w:hAnsi="Arial" w:cs="Arial"/>
                <w:sz w:val="20"/>
                <w:szCs w:val="20"/>
              </w:rPr>
              <w:t>6.00 p.m. on 8 January 2021</w:t>
            </w:r>
          </w:p>
        </w:tc>
      </w:tr>
      <w:tr w:rsidR="0016340F" w:rsidRPr="0014354C" w14:paraId="3238DDD8" w14:textId="77777777" w:rsidTr="002D77F2">
        <w:tc>
          <w:tcPr>
            <w:tcW w:w="4508" w:type="dxa"/>
          </w:tcPr>
          <w:p w14:paraId="76169EDB" w14:textId="77777777" w:rsidR="00831917" w:rsidRPr="002D77F2" w:rsidRDefault="00831917" w:rsidP="002D77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D93297" w14:textId="77777777" w:rsidR="0016340F" w:rsidRPr="0014354C" w:rsidRDefault="00A6276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7F2">
              <w:rPr>
                <w:rFonts w:ascii="Arial" w:hAnsi="Arial" w:cs="Arial"/>
                <w:sz w:val="20"/>
                <w:szCs w:val="20"/>
              </w:rPr>
              <w:lastRenderedPageBreak/>
              <w:t>Listing of the New Ordinary Shares</w:t>
            </w:r>
            <w:r w:rsidR="00240024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4509C">
              <w:rPr>
                <w:rFonts w:ascii="Arial" w:hAnsi="Arial" w:cs="Arial"/>
                <w:sz w:val="20"/>
                <w:szCs w:val="20"/>
              </w:rPr>
              <w:t>marked e</w:t>
            </w:r>
            <w:r w:rsidR="00240024">
              <w:rPr>
                <w:rFonts w:ascii="Arial" w:hAnsi="Arial" w:cs="Arial"/>
                <w:sz w:val="20"/>
                <w:szCs w:val="20"/>
              </w:rPr>
              <w:t>x</w:t>
            </w:r>
            <w:r w:rsidR="00A4509C">
              <w:rPr>
                <w:rFonts w:ascii="Arial" w:hAnsi="Arial" w:cs="Arial"/>
                <w:sz w:val="20"/>
                <w:szCs w:val="20"/>
              </w:rPr>
              <w:t>-</w:t>
            </w:r>
            <w:r w:rsidR="00240024">
              <w:rPr>
                <w:rFonts w:ascii="Arial" w:hAnsi="Arial" w:cs="Arial"/>
                <w:sz w:val="20"/>
                <w:szCs w:val="20"/>
              </w:rPr>
              <w:t>entitlement to Special Dividend)</w:t>
            </w:r>
          </w:p>
        </w:tc>
        <w:tc>
          <w:tcPr>
            <w:tcW w:w="4508" w:type="dxa"/>
          </w:tcPr>
          <w:p w14:paraId="1376AE97" w14:textId="77777777" w:rsidR="00831917" w:rsidRPr="002D77F2" w:rsidRDefault="00831917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B148144" w14:textId="77777777" w:rsidR="00240024" w:rsidRDefault="00240024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CAFE032" w14:textId="77777777" w:rsidR="0016340F" w:rsidRPr="0014354C" w:rsidRDefault="00A6276A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77F2">
              <w:rPr>
                <w:rFonts w:ascii="Arial" w:hAnsi="Arial" w:cs="Arial"/>
                <w:sz w:val="20"/>
                <w:szCs w:val="20"/>
              </w:rPr>
              <w:lastRenderedPageBreak/>
              <w:t>8.00 a.m. on 11 January 2021</w:t>
            </w:r>
          </w:p>
        </w:tc>
      </w:tr>
      <w:tr w:rsidR="00A6276A" w:rsidRPr="0014354C" w14:paraId="381802DC" w14:textId="77777777" w:rsidTr="002D77F2">
        <w:tc>
          <w:tcPr>
            <w:tcW w:w="4508" w:type="dxa"/>
          </w:tcPr>
          <w:p w14:paraId="4AA36EBA" w14:textId="77777777" w:rsidR="00F54E74" w:rsidRPr="002D77F2" w:rsidRDefault="00F54E74" w:rsidP="002D77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DBA571" w14:textId="77777777" w:rsidR="00A6276A" w:rsidRPr="002D77F2" w:rsidRDefault="00A6276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7F2">
              <w:rPr>
                <w:rFonts w:ascii="Arial" w:hAnsi="Arial" w:cs="Arial"/>
                <w:sz w:val="20"/>
                <w:szCs w:val="20"/>
              </w:rPr>
              <w:t>Dealings in the New Ordinary Shares commence and enablement in CREST in respect of uncertificated New Ordinary Shares</w:t>
            </w:r>
          </w:p>
        </w:tc>
        <w:tc>
          <w:tcPr>
            <w:tcW w:w="4508" w:type="dxa"/>
          </w:tcPr>
          <w:p w14:paraId="5766D204" w14:textId="77777777" w:rsidR="00A6276A" w:rsidRPr="002D77F2" w:rsidRDefault="00A6276A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E93C7EF" w14:textId="77777777" w:rsidR="00A6276A" w:rsidRPr="002D77F2" w:rsidRDefault="00A6276A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669E58E" w14:textId="77777777" w:rsidR="00F54E74" w:rsidRPr="002D77F2" w:rsidRDefault="00F54E74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798483C" w14:textId="77777777" w:rsidR="00A6276A" w:rsidRPr="0014354C" w:rsidRDefault="00A6276A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77F2">
              <w:rPr>
                <w:rFonts w:ascii="Arial" w:hAnsi="Arial" w:cs="Arial"/>
                <w:sz w:val="20"/>
                <w:szCs w:val="20"/>
              </w:rPr>
              <w:t>8.00 a.m. on 11 January 2021</w:t>
            </w:r>
          </w:p>
        </w:tc>
      </w:tr>
      <w:tr w:rsidR="006521C6" w:rsidRPr="0014354C" w14:paraId="38468FE2" w14:textId="77777777" w:rsidTr="002D77F2">
        <w:tc>
          <w:tcPr>
            <w:tcW w:w="4508" w:type="dxa"/>
          </w:tcPr>
          <w:p w14:paraId="0C327C54" w14:textId="77777777" w:rsidR="006521C6" w:rsidRDefault="006521C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D86428" w14:textId="77777777" w:rsidR="006521C6" w:rsidRPr="002D77F2" w:rsidRDefault="006521C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CREST accounts to be credited with New </w:t>
            </w:r>
            <w:r w:rsidRPr="002D77F2">
              <w:rPr>
                <w:rFonts w:ascii="Arial" w:hAnsi="Arial" w:cs="Arial"/>
                <w:sz w:val="20"/>
                <w:szCs w:val="20"/>
              </w:rPr>
              <w:t>Ordinary</w:t>
            </w:r>
            <w:r>
              <w:rPr>
                <w:rFonts w:ascii="Arial" w:hAnsi="Arial" w:cs="Arial"/>
                <w:sz w:val="20"/>
                <w:szCs w:val="20"/>
              </w:rPr>
              <w:t xml:space="preserve"> Shares</w:t>
            </w:r>
          </w:p>
        </w:tc>
        <w:tc>
          <w:tcPr>
            <w:tcW w:w="4508" w:type="dxa"/>
          </w:tcPr>
          <w:p w14:paraId="13870A81" w14:textId="77777777" w:rsidR="006521C6" w:rsidRDefault="006521C6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EAAC4A4" w14:textId="77777777" w:rsidR="006521C6" w:rsidRPr="002D77F2" w:rsidRDefault="006521C6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 or soon after </w:t>
            </w:r>
            <w:r w:rsidRPr="002D77F2">
              <w:rPr>
                <w:rFonts w:ascii="Arial" w:hAnsi="Arial" w:cs="Arial"/>
                <w:sz w:val="20"/>
                <w:szCs w:val="20"/>
              </w:rPr>
              <w:t xml:space="preserve">8.00 a.m.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D77F2">
              <w:rPr>
                <w:rFonts w:ascii="Arial" w:hAnsi="Arial" w:cs="Arial"/>
                <w:sz w:val="20"/>
                <w:szCs w:val="20"/>
              </w:rPr>
              <w:t>on 11 January 2021</w:t>
            </w:r>
          </w:p>
        </w:tc>
      </w:tr>
      <w:tr w:rsidR="00A6276A" w:rsidRPr="0014354C" w14:paraId="7FB7602C" w14:textId="77777777" w:rsidTr="002D77F2">
        <w:tc>
          <w:tcPr>
            <w:tcW w:w="4508" w:type="dxa"/>
          </w:tcPr>
          <w:p w14:paraId="060AB5CF" w14:textId="77777777" w:rsidR="00F54E74" w:rsidRPr="002D77F2" w:rsidRDefault="00F54E74" w:rsidP="002D77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ED7E78" w14:textId="77777777" w:rsidR="00A6276A" w:rsidRPr="002D77F2" w:rsidRDefault="00A6276A" w:rsidP="002D77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7F2">
              <w:rPr>
                <w:rFonts w:ascii="Arial" w:hAnsi="Arial" w:cs="Arial"/>
                <w:sz w:val="20"/>
                <w:szCs w:val="20"/>
              </w:rPr>
              <w:t>Despatch of share certificates in respect of</w:t>
            </w:r>
          </w:p>
          <w:p w14:paraId="2919AB3F" w14:textId="77777777" w:rsidR="00A6276A" w:rsidRPr="002D77F2" w:rsidRDefault="00A6276A" w:rsidP="002D77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7F2">
              <w:rPr>
                <w:rFonts w:ascii="Arial" w:hAnsi="Arial" w:cs="Arial"/>
                <w:sz w:val="20"/>
                <w:szCs w:val="20"/>
              </w:rPr>
              <w:t>certificated New Ordinary Shares</w:t>
            </w:r>
          </w:p>
        </w:tc>
        <w:tc>
          <w:tcPr>
            <w:tcW w:w="4508" w:type="dxa"/>
          </w:tcPr>
          <w:p w14:paraId="58CB47B5" w14:textId="77777777" w:rsidR="00A6276A" w:rsidRPr="002D77F2" w:rsidRDefault="00A6276A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98AD0F6" w14:textId="77777777" w:rsidR="00F54E74" w:rsidRPr="002D77F2" w:rsidRDefault="00F54E74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D7F178E" w14:textId="77777777" w:rsidR="00A6276A" w:rsidRPr="0014354C" w:rsidRDefault="00A6276A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77F2">
              <w:rPr>
                <w:rFonts w:ascii="Arial" w:hAnsi="Arial" w:cs="Arial"/>
                <w:sz w:val="20"/>
                <w:szCs w:val="20"/>
              </w:rPr>
              <w:t>25 January 2021</w:t>
            </w:r>
          </w:p>
        </w:tc>
      </w:tr>
      <w:tr w:rsidR="00A6276A" w:rsidRPr="0014354C" w14:paraId="4B7A0A49" w14:textId="77777777" w:rsidTr="002D77F2">
        <w:tc>
          <w:tcPr>
            <w:tcW w:w="4508" w:type="dxa"/>
          </w:tcPr>
          <w:p w14:paraId="38F18407" w14:textId="77777777" w:rsidR="00F54E74" w:rsidRPr="002D77F2" w:rsidRDefault="00F54E74" w:rsidP="002D77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62C6C1" w14:textId="77777777" w:rsidR="00A6276A" w:rsidRPr="002D77F2" w:rsidRDefault="00A6276A" w:rsidP="002D77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7F2">
              <w:rPr>
                <w:rFonts w:ascii="Arial" w:hAnsi="Arial" w:cs="Arial"/>
                <w:sz w:val="20"/>
                <w:szCs w:val="20"/>
              </w:rPr>
              <w:t>Payment of Special Dividend to Eligible</w:t>
            </w:r>
          </w:p>
          <w:p w14:paraId="7C6F9527" w14:textId="77777777" w:rsidR="00A6276A" w:rsidRPr="002D77F2" w:rsidRDefault="00A6276A" w:rsidP="002D77F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7F2">
              <w:rPr>
                <w:rFonts w:ascii="Arial" w:hAnsi="Arial" w:cs="Arial"/>
                <w:sz w:val="20"/>
                <w:szCs w:val="20"/>
              </w:rPr>
              <w:t>Shareholders</w:t>
            </w:r>
          </w:p>
        </w:tc>
        <w:tc>
          <w:tcPr>
            <w:tcW w:w="4508" w:type="dxa"/>
          </w:tcPr>
          <w:p w14:paraId="5FB9FE77" w14:textId="77777777" w:rsidR="00A6276A" w:rsidRPr="002D77F2" w:rsidRDefault="00A6276A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D63FA76" w14:textId="77777777" w:rsidR="00F54E74" w:rsidRPr="002D77F2" w:rsidRDefault="00F54E74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F8C7BE5" w14:textId="77777777" w:rsidR="00A6276A" w:rsidRPr="0014354C" w:rsidRDefault="00A6276A" w:rsidP="00AA6E7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77F2">
              <w:rPr>
                <w:rFonts w:ascii="Arial" w:hAnsi="Arial" w:cs="Arial"/>
                <w:sz w:val="20"/>
                <w:szCs w:val="20"/>
              </w:rPr>
              <w:t>25 January 2021</w:t>
            </w:r>
          </w:p>
        </w:tc>
      </w:tr>
    </w:tbl>
    <w:p w14:paraId="23E9635F" w14:textId="77777777" w:rsidR="0016340F" w:rsidRPr="002D77F2" w:rsidRDefault="0016340F" w:rsidP="00C42CBD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B95E69D" w14:textId="77777777" w:rsidR="00F54E74" w:rsidRPr="002D77F2" w:rsidRDefault="00F54E74" w:rsidP="00C42CBD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50BCEA3A" w14:textId="77777777" w:rsidR="0016340F" w:rsidRPr="002D77F2" w:rsidRDefault="0016340F" w:rsidP="00C42CBD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2D77F2">
        <w:rPr>
          <w:rFonts w:ascii="Arial" w:hAnsi="Arial" w:cs="Arial"/>
          <w:b/>
          <w:bCs/>
          <w:sz w:val="20"/>
          <w:szCs w:val="20"/>
          <w:lang w:val="en-GB"/>
        </w:rPr>
        <w:t>Notes to Editors</w:t>
      </w:r>
    </w:p>
    <w:p w14:paraId="7A72A110" w14:textId="77777777" w:rsidR="0016340F" w:rsidRPr="002D77F2" w:rsidRDefault="0016340F" w:rsidP="00C42CBD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D77F2">
        <w:rPr>
          <w:rFonts w:ascii="Arial" w:hAnsi="Arial" w:cs="Arial"/>
          <w:sz w:val="20"/>
          <w:szCs w:val="20"/>
          <w:lang w:val="en-GB"/>
        </w:rPr>
        <w:t>Unless otherwise stated, defined terms set out in this announcement have the same meaning as in the Circular posted to Shareholders</w:t>
      </w:r>
      <w:r w:rsidR="0001443E">
        <w:rPr>
          <w:rFonts w:ascii="Arial" w:hAnsi="Arial" w:cs="Arial"/>
          <w:sz w:val="20"/>
          <w:szCs w:val="20"/>
          <w:lang w:val="en-GB"/>
        </w:rPr>
        <w:t xml:space="preserve"> dated</w:t>
      </w:r>
      <w:r w:rsidR="00F71B58">
        <w:rPr>
          <w:rFonts w:ascii="Arial" w:hAnsi="Arial" w:cs="Arial"/>
          <w:sz w:val="20"/>
          <w:szCs w:val="20"/>
          <w:lang w:val="en-GB"/>
        </w:rPr>
        <w:t xml:space="preserve"> 17 December 2020</w:t>
      </w:r>
      <w:r w:rsidR="00E17337" w:rsidRPr="002D77F2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1A99D588" w14:textId="77777777" w:rsidR="00AC509C" w:rsidRDefault="00AC509C" w:rsidP="00C42CBD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6212"/>
        <w:gridCol w:w="2572"/>
      </w:tblGrid>
      <w:tr w:rsidR="002E1C3C" w:rsidRPr="0014354C" w14:paraId="6FFBDBEA" w14:textId="77777777" w:rsidTr="00CD4636">
        <w:tc>
          <w:tcPr>
            <w:tcW w:w="6212" w:type="dxa"/>
          </w:tcPr>
          <w:p w14:paraId="1AA1797B" w14:textId="77777777" w:rsidR="002D77F2" w:rsidRDefault="002D77F2" w:rsidP="002D77F2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FBE2A91" w14:textId="77777777" w:rsidR="002D77F2" w:rsidRPr="00F71B58" w:rsidRDefault="002D77F2" w:rsidP="002D77F2">
            <w:pPr>
              <w:spacing w:after="160" w:line="259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D73D011" w14:textId="77777777" w:rsidR="002E1C3C" w:rsidRPr="0014354C" w:rsidRDefault="00AC509C" w:rsidP="002D77F2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1B5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Enquiries</w:t>
            </w:r>
            <w:r w:rsidRPr="002D77F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572" w:type="dxa"/>
          </w:tcPr>
          <w:p w14:paraId="5F0222BF" w14:textId="77777777" w:rsidR="002E1C3C" w:rsidRPr="0014354C" w:rsidRDefault="002E1C3C" w:rsidP="0060118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1C3C" w:rsidRPr="0014354C" w14:paraId="1285C300" w14:textId="77777777" w:rsidTr="00CD4636">
        <w:tc>
          <w:tcPr>
            <w:tcW w:w="6212" w:type="dxa"/>
            <w:hideMark/>
          </w:tcPr>
          <w:p w14:paraId="2C309ABE" w14:textId="77777777" w:rsidR="002E1C3C" w:rsidRPr="0014354C" w:rsidRDefault="002E1C3C" w:rsidP="0060118C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4354C">
              <w:rPr>
                <w:rFonts w:ascii="Arial" w:hAnsi="Arial" w:cs="Arial"/>
                <w:sz w:val="20"/>
                <w:szCs w:val="20"/>
                <w:u w:val="single"/>
              </w:rPr>
              <w:t>Analysts/Investors</w:t>
            </w:r>
          </w:p>
        </w:tc>
        <w:tc>
          <w:tcPr>
            <w:tcW w:w="2572" w:type="dxa"/>
          </w:tcPr>
          <w:p w14:paraId="5FAD32E1" w14:textId="77777777" w:rsidR="002E1C3C" w:rsidRPr="0014354C" w:rsidRDefault="002E1C3C" w:rsidP="006011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C3C" w:rsidRPr="0014354C" w14:paraId="7ED48990" w14:textId="77777777" w:rsidTr="00CD4636">
        <w:tc>
          <w:tcPr>
            <w:tcW w:w="6212" w:type="dxa"/>
            <w:hideMark/>
          </w:tcPr>
          <w:p w14:paraId="309681A3" w14:textId="77777777" w:rsidR="002E1C3C" w:rsidRPr="0014354C" w:rsidRDefault="002E1C3C" w:rsidP="006011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4354C">
              <w:rPr>
                <w:rFonts w:ascii="Arial" w:hAnsi="Arial" w:cs="Arial"/>
                <w:sz w:val="20"/>
                <w:szCs w:val="20"/>
              </w:rPr>
              <w:t xml:space="preserve">David Nisbet, Corporate Affairs </w:t>
            </w:r>
          </w:p>
        </w:tc>
        <w:tc>
          <w:tcPr>
            <w:tcW w:w="2572" w:type="dxa"/>
            <w:hideMark/>
          </w:tcPr>
          <w:p w14:paraId="18F80B41" w14:textId="77777777" w:rsidR="002E1C3C" w:rsidRPr="0014354C" w:rsidRDefault="002E1C3C" w:rsidP="0060118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354C">
              <w:rPr>
                <w:rFonts w:ascii="Arial" w:hAnsi="Arial" w:cs="Arial"/>
                <w:b/>
                <w:sz w:val="20"/>
                <w:szCs w:val="20"/>
              </w:rPr>
              <w:t>Tel: 0131 475 3000</w:t>
            </w:r>
          </w:p>
        </w:tc>
      </w:tr>
      <w:tr w:rsidR="002E1C3C" w:rsidRPr="0014354C" w14:paraId="203AA8BC" w14:textId="77777777" w:rsidTr="00CD4636">
        <w:tc>
          <w:tcPr>
            <w:tcW w:w="6212" w:type="dxa"/>
            <w:hideMark/>
          </w:tcPr>
          <w:p w14:paraId="3AAE480F" w14:textId="77777777" w:rsidR="002E1C3C" w:rsidRPr="0014354C" w:rsidRDefault="002E1C3C" w:rsidP="0060118C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4354C">
              <w:rPr>
                <w:rFonts w:ascii="Arial" w:hAnsi="Arial" w:cs="Arial"/>
                <w:sz w:val="20"/>
                <w:szCs w:val="20"/>
                <w:u w:val="single"/>
              </w:rPr>
              <w:t>Media</w:t>
            </w:r>
          </w:p>
        </w:tc>
        <w:tc>
          <w:tcPr>
            <w:tcW w:w="2572" w:type="dxa"/>
          </w:tcPr>
          <w:p w14:paraId="4B0F2CE8" w14:textId="77777777" w:rsidR="002E1C3C" w:rsidRPr="0014354C" w:rsidRDefault="002E1C3C" w:rsidP="0060118C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E1C3C" w:rsidRPr="0014354C" w14:paraId="3E688DBF" w14:textId="77777777" w:rsidTr="00CD4636">
        <w:tc>
          <w:tcPr>
            <w:tcW w:w="6212" w:type="dxa"/>
          </w:tcPr>
          <w:p w14:paraId="0567EFB8" w14:textId="77777777" w:rsidR="002E1C3C" w:rsidRPr="0014354C" w:rsidRDefault="002E1C3C" w:rsidP="0060118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354C">
              <w:rPr>
                <w:rFonts w:ascii="Arial" w:hAnsi="Arial" w:cs="Arial"/>
                <w:sz w:val="20"/>
                <w:szCs w:val="20"/>
              </w:rPr>
              <w:t>Linda Bain, Corporate Affairs</w:t>
            </w:r>
          </w:p>
        </w:tc>
        <w:tc>
          <w:tcPr>
            <w:tcW w:w="2572" w:type="dxa"/>
          </w:tcPr>
          <w:p w14:paraId="7F641AE4" w14:textId="77777777" w:rsidR="002E1C3C" w:rsidRPr="0014354C" w:rsidRDefault="002E1C3C" w:rsidP="0060118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354C">
              <w:rPr>
                <w:rFonts w:ascii="Arial" w:hAnsi="Arial" w:cs="Arial"/>
                <w:b/>
                <w:sz w:val="20"/>
                <w:szCs w:val="20"/>
              </w:rPr>
              <w:t>Tel: 0131 475 3000</w:t>
            </w:r>
          </w:p>
        </w:tc>
      </w:tr>
      <w:tr w:rsidR="002E1C3C" w:rsidRPr="0014354C" w14:paraId="63F50D48" w14:textId="77777777" w:rsidTr="00CD4636">
        <w:tc>
          <w:tcPr>
            <w:tcW w:w="6212" w:type="dxa"/>
          </w:tcPr>
          <w:p w14:paraId="4C12A809" w14:textId="77777777" w:rsidR="002E1C3C" w:rsidRPr="0014354C" w:rsidRDefault="002E1C3C" w:rsidP="0060118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</w:tcPr>
          <w:p w14:paraId="02C53E56" w14:textId="77777777" w:rsidR="002E1C3C" w:rsidRPr="0014354C" w:rsidRDefault="002E1C3C" w:rsidP="0060118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1C3C" w:rsidRPr="0014354C" w14:paraId="701879B8" w14:textId="77777777" w:rsidTr="00CD4636">
        <w:trPr>
          <w:trHeight w:val="623"/>
        </w:trPr>
        <w:tc>
          <w:tcPr>
            <w:tcW w:w="6212" w:type="dxa"/>
          </w:tcPr>
          <w:p w14:paraId="4B0B6B29" w14:textId="77777777" w:rsidR="002E1C3C" w:rsidRPr="0014354C" w:rsidRDefault="002E1C3C" w:rsidP="0060118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354C">
              <w:rPr>
                <w:rFonts w:ascii="Arial" w:hAnsi="Arial" w:cs="Arial"/>
                <w:sz w:val="20"/>
                <w:szCs w:val="20"/>
              </w:rPr>
              <w:t xml:space="preserve">Patrick Handley/David </w:t>
            </w:r>
            <w:proofErr w:type="spellStart"/>
            <w:r w:rsidRPr="0014354C">
              <w:rPr>
                <w:rFonts w:ascii="Arial" w:hAnsi="Arial" w:cs="Arial"/>
                <w:sz w:val="20"/>
                <w:szCs w:val="20"/>
              </w:rPr>
              <w:t>Litterick</w:t>
            </w:r>
            <w:proofErr w:type="spellEnd"/>
            <w:r w:rsidRPr="0014354C">
              <w:rPr>
                <w:rFonts w:ascii="Arial" w:hAnsi="Arial" w:cs="Arial"/>
                <w:sz w:val="20"/>
                <w:szCs w:val="20"/>
              </w:rPr>
              <w:t>, Brunswick Group LLP</w:t>
            </w:r>
          </w:p>
        </w:tc>
        <w:tc>
          <w:tcPr>
            <w:tcW w:w="2572" w:type="dxa"/>
            <w:hideMark/>
          </w:tcPr>
          <w:p w14:paraId="101AD2DF" w14:textId="77777777" w:rsidR="00E956DD" w:rsidRPr="0014354C" w:rsidRDefault="002E1C3C" w:rsidP="0060118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354C">
              <w:rPr>
                <w:rFonts w:ascii="Arial" w:hAnsi="Arial" w:cs="Arial"/>
                <w:b/>
                <w:sz w:val="20"/>
                <w:szCs w:val="20"/>
              </w:rPr>
              <w:t>Tel: 0207 404 5959</w:t>
            </w:r>
          </w:p>
        </w:tc>
      </w:tr>
    </w:tbl>
    <w:p w14:paraId="76027756" w14:textId="77777777" w:rsidR="006C34AD" w:rsidRPr="002D77F2" w:rsidRDefault="006C34AD" w:rsidP="0060118C">
      <w:pPr>
        <w:spacing w:line="36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7A902DF" w14:textId="77777777" w:rsidR="00EF1886" w:rsidRPr="002D77F2" w:rsidRDefault="00EF1886" w:rsidP="0060118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9DFFCC2" w14:textId="77777777" w:rsidR="00AB3941" w:rsidRPr="002D77F2" w:rsidRDefault="00AB3941" w:rsidP="0060118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2D77F2">
        <w:rPr>
          <w:rFonts w:ascii="Arial" w:hAnsi="Arial" w:cs="Arial"/>
          <w:b/>
          <w:bCs/>
          <w:sz w:val="20"/>
          <w:szCs w:val="20"/>
          <w:lang w:val="en-GB"/>
        </w:rPr>
        <w:t>About Cairn Energy PLC</w:t>
      </w:r>
    </w:p>
    <w:p w14:paraId="70F0467C" w14:textId="77777777" w:rsidR="00AB3941" w:rsidRPr="002D77F2" w:rsidRDefault="00AB3941" w:rsidP="0060118C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D77F2">
        <w:rPr>
          <w:rFonts w:ascii="Arial" w:hAnsi="Arial" w:cs="Arial"/>
          <w:sz w:val="20"/>
          <w:szCs w:val="20"/>
          <w:lang w:val="en-GB"/>
        </w:rPr>
        <w:t xml:space="preserve">Cairn is one of Europe's leading independent oil and gas exploration and development companies and </w:t>
      </w:r>
    </w:p>
    <w:p w14:paraId="4CCD0319" w14:textId="77777777" w:rsidR="00AB3941" w:rsidRPr="002D77F2" w:rsidRDefault="00AB3941" w:rsidP="0060118C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D77F2">
        <w:rPr>
          <w:rFonts w:ascii="Arial" w:hAnsi="Arial" w:cs="Arial"/>
          <w:sz w:val="20"/>
          <w:szCs w:val="20"/>
          <w:lang w:val="en-GB"/>
        </w:rPr>
        <w:t xml:space="preserve">has been listed on the London Stock Exchange for 30 years.  Cairn has explored, discovered, developed and produced oil and gas in a variety of locations throughout the world as an operator and partner in all stages of the oil and gas lifecycle.  </w:t>
      </w:r>
    </w:p>
    <w:p w14:paraId="6FFCC041" w14:textId="77777777" w:rsidR="00AB3941" w:rsidRPr="0014354C" w:rsidRDefault="00AB3941" w:rsidP="0060118C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E686636" w14:textId="77777777" w:rsidR="00AB3941" w:rsidRPr="002D77F2" w:rsidRDefault="00AB3941" w:rsidP="0060118C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D77F2">
        <w:rPr>
          <w:rFonts w:ascii="Arial" w:hAnsi="Arial" w:cs="Arial"/>
          <w:sz w:val="20"/>
          <w:szCs w:val="20"/>
          <w:lang w:val="en-GB"/>
        </w:rPr>
        <w:lastRenderedPageBreak/>
        <w:t xml:space="preserve">Cairn’s exploration activities have a geographical focus in the North Sea, West Africa and Latin America, underpinned by interests in production </w:t>
      </w:r>
      <w:r w:rsidR="00C25AB5" w:rsidRPr="002D77F2">
        <w:rPr>
          <w:rFonts w:ascii="Arial" w:hAnsi="Arial" w:cs="Arial"/>
          <w:sz w:val="20"/>
          <w:szCs w:val="20"/>
          <w:lang w:val="en-GB"/>
        </w:rPr>
        <w:t>in the UK North Sea.</w:t>
      </w:r>
      <w:r w:rsidRPr="002D77F2">
        <w:rPr>
          <w:rFonts w:ascii="Arial" w:hAnsi="Arial" w:cs="Arial"/>
          <w:sz w:val="20"/>
          <w:szCs w:val="20"/>
          <w:lang w:val="en-GB"/>
        </w:rPr>
        <w:t xml:space="preserve"> Cairn has its headquarters in Edinburgh, Scotland</w:t>
      </w:r>
      <w:r w:rsidR="003B4804" w:rsidRPr="002D77F2">
        <w:rPr>
          <w:rFonts w:ascii="Arial" w:hAnsi="Arial" w:cs="Arial"/>
          <w:sz w:val="20"/>
          <w:szCs w:val="20"/>
          <w:lang w:val="en-GB"/>
        </w:rPr>
        <w:t>,</w:t>
      </w:r>
      <w:r w:rsidRPr="002D77F2">
        <w:rPr>
          <w:rFonts w:ascii="Arial" w:hAnsi="Arial" w:cs="Arial"/>
          <w:sz w:val="20"/>
          <w:szCs w:val="20"/>
          <w:lang w:val="en-GB"/>
        </w:rPr>
        <w:t xml:space="preserve"> supported by operational offices in London and Mexico.</w:t>
      </w:r>
    </w:p>
    <w:p w14:paraId="16261557" w14:textId="77777777" w:rsidR="00AB3941" w:rsidRPr="002D77F2" w:rsidRDefault="00AB3941" w:rsidP="0060118C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E0D5769" w14:textId="77777777" w:rsidR="00AB3941" w:rsidRPr="0014354C" w:rsidRDefault="00AB3941" w:rsidP="0060118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2D77F2">
        <w:rPr>
          <w:rFonts w:ascii="Arial" w:hAnsi="Arial" w:cs="Arial"/>
          <w:sz w:val="20"/>
          <w:szCs w:val="20"/>
          <w:lang w:val="en-GB"/>
        </w:rPr>
        <w:t xml:space="preserve">For further information on Cairn please see: </w:t>
      </w:r>
      <w:hyperlink r:id="rId11" w:history="1">
        <w:r w:rsidRPr="002D77F2">
          <w:rPr>
            <w:rStyle w:val="Hyperlink"/>
            <w:rFonts w:ascii="Arial" w:hAnsi="Arial" w:cs="Arial"/>
            <w:sz w:val="20"/>
            <w:szCs w:val="20"/>
            <w:lang w:val="en-GB"/>
          </w:rPr>
          <w:t>www.cairnenergy.com</w:t>
        </w:r>
      </w:hyperlink>
    </w:p>
    <w:sectPr w:rsidR="00AB3941" w:rsidRPr="0014354C" w:rsidSect="005A44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45E2B" w14:textId="77777777" w:rsidR="000D45D6" w:rsidRDefault="000D45D6" w:rsidP="00450798">
      <w:r>
        <w:separator/>
      </w:r>
    </w:p>
  </w:endnote>
  <w:endnote w:type="continuationSeparator" w:id="0">
    <w:p w14:paraId="15AF378E" w14:textId="77777777" w:rsidR="000D45D6" w:rsidRDefault="000D45D6" w:rsidP="0045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73BE2" w14:textId="77777777" w:rsidR="004F72CC" w:rsidRDefault="004F72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C37C7" w14:textId="77777777" w:rsidR="0092481B" w:rsidRDefault="00151439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7785058" wp14:editId="19181C9A">
              <wp:simplePos x="0" y="0"/>
              <wp:positionH relativeFrom="page">
                <wp:posOffset>0</wp:posOffset>
              </wp:positionH>
              <wp:positionV relativeFrom="page">
                <wp:posOffset>10134600</wp:posOffset>
              </wp:positionV>
              <wp:extent cx="7560310" cy="252095"/>
              <wp:effectExtent l="0" t="0" r="0" b="14605"/>
              <wp:wrapNone/>
              <wp:docPr id="2" name="MSIPCMc3d6487ba62ad126fc8597e2" descr="{&quot;HashCode&quot;:-2642396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DF48CF" w14:textId="63598D34" w:rsidR="00151439" w:rsidRPr="00151439" w:rsidRDefault="00151439" w:rsidP="00151439">
                          <w:pPr>
                            <w:jc w:val="center"/>
                            <w:rPr>
                              <w:rFonts w:ascii="Arial" w:hAnsi="Arial" w:cs="Arial"/>
                              <w:color w:val="7C7C8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785058" id="_x0000_t202" coordsize="21600,21600" o:spt="202" path="m,l,21600r21600,l21600,xe">
              <v:stroke joinstyle="miter"/>
              <v:path gradientshapeok="t" o:connecttype="rect"/>
            </v:shapetype>
            <v:shape id="MSIPCMc3d6487ba62ad126fc8597e2" o:spid="_x0000_s1026" type="#_x0000_t202" alt="{&quot;HashCode&quot;:-264239657,&quot;Height&quot;:841.0,&quot;Width&quot;:595.0,&quot;Placement&quot;:&quot;Footer&quot;,&quot;Index&quot;:&quot;Primary&quot;,&quot;Section&quot;:1,&quot;Top&quot;:0.0,&quot;Left&quot;:0.0}" style="position:absolute;margin-left:0;margin-top:798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" o:allowincell="f" filled="f" stroked="f" strokeweight=".5pt">
              <v:textbox inset=",0,,0">
                <w:txbxContent>
                  <w:p w14:paraId="70DF48CF" w14:textId="63598D34" w:rsidR="00151439" w:rsidRPr="00151439" w:rsidRDefault="00151439" w:rsidP="00151439">
                    <w:pPr>
                      <w:jc w:val="center"/>
                      <w:rPr>
                        <w:rFonts w:ascii="Arial" w:hAnsi="Arial" w:cs="Arial"/>
                        <w:color w:val="7C7C8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33608" w14:textId="77777777" w:rsidR="0092481B" w:rsidRDefault="00151439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92510FB" wp14:editId="163B0DB1">
              <wp:simplePos x="0" y="0"/>
              <wp:positionH relativeFrom="page">
                <wp:posOffset>0</wp:posOffset>
              </wp:positionH>
              <wp:positionV relativeFrom="page">
                <wp:posOffset>10134600</wp:posOffset>
              </wp:positionV>
              <wp:extent cx="7560310" cy="252095"/>
              <wp:effectExtent l="0" t="0" r="0" b="14605"/>
              <wp:wrapNone/>
              <wp:docPr id="3" name="MSIPCMb7cb49be90dbddadf97ce843" descr="{&quot;HashCode&quot;:-26423965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B797F7" w14:textId="7D8B00F1" w:rsidR="00151439" w:rsidRPr="00151439" w:rsidRDefault="00151439" w:rsidP="00151439">
                          <w:pPr>
                            <w:jc w:val="center"/>
                            <w:rPr>
                              <w:rFonts w:ascii="Arial" w:hAnsi="Arial" w:cs="Arial"/>
                              <w:color w:val="7C7C8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510FB" id="_x0000_t202" coordsize="21600,21600" o:spt="202" path="m,l,21600r21600,l21600,xe">
              <v:stroke joinstyle="miter"/>
              <v:path gradientshapeok="t" o:connecttype="rect"/>
            </v:shapetype>
            <v:shape id="MSIPCMb7cb49be90dbddadf97ce843" o:spid="_x0000_s1027" type="#_x0000_t202" alt="{&quot;HashCode&quot;:-264239657,&quot;Height&quot;:841.0,&quot;Width&quot;:595.0,&quot;Placement&quot;:&quot;Footer&quot;,&quot;Index&quot;:&quot;FirstPage&quot;,&quot;Section&quot;:1,&quot;Top&quot;:0.0,&quot;Left&quot;:0.0}" style="position:absolute;margin-left:0;margin-top:798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" o:allowincell="f" filled="f" stroked="f" strokeweight=".5pt">
              <v:textbox inset=",0,,0">
                <w:txbxContent>
                  <w:p w14:paraId="2FB797F7" w14:textId="7D8B00F1" w:rsidR="00151439" w:rsidRPr="00151439" w:rsidRDefault="00151439" w:rsidP="00151439">
                    <w:pPr>
                      <w:jc w:val="center"/>
                      <w:rPr>
                        <w:rFonts w:ascii="Arial" w:hAnsi="Arial" w:cs="Arial"/>
                        <w:color w:val="7C7C8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C4B6E" w14:textId="77777777" w:rsidR="000D45D6" w:rsidRDefault="000D45D6" w:rsidP="00450798">
      <w:r>
        <w:separator/>
      </w:r>
    </w:p>
  </w:footnote>
  <w:footnote w:type="continuationSeparator" w:id="0">
    <w:p w14:paraId="623BA78D" w14:textId="77777777" w:rsidR="000D45D6" w:rsidRDefault="000D45D6" w:rsidP="00450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B1C4E" w14:textId="77777777" w:rsidR="004F72CC" w:rsidRDefault="004F7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4F8F2" w14:textId="77777777" w:rsidR="004F72CC" w:rsidRDefault="004F72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E41F9" w14:textId="77777777" w:rsidR="005A4448" w:rsidRDefault="005A4448">
    <w:pPr>
      <w:pStyle w:val="Header"/>
    </w:pPr>
    <w:r>
      <w:rPr>
        <w:rFonts w:ascii="Arial" w:hAnsi="Arial" w:cs="Arial"/>
        <w:b/>
        <w:noProof/>
        <w:sz w:val="20"/>
        <w:szCs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67F8C65E" wp14:editId="4DDF040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076325" cy="586385"/>
          <wp:effectExtent l="0" t="0" r="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irn PLC Logo transparent with Spacing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05" t="17256" r="11749" b="23137"/>
                  <a:stretch/>
                </pic:blipFill>
                <pic:spPr bwMode="auto">
                  <a:xfrm>
                    <a:off x="0" y="0"/>
                    <a:ext cx="1076325" cy="586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D5C3B4" w14:textId="77777777" w:rsidR="005A4448" w:rsidRDefault="005A4448">
    <w:pPr>
      <w:pStyle w:val="Header"/>
    </w:pPr>
  </w:p>
  <w:p w14:paraId="0AC1867E" w14:textId="77777777" w:rsidR="005A4448" w:rsidRDefault="005A4448">
    <w:pPr>
      <w:pStyle w:val="Header"/>
    </w:pPr>
  </w:p>
  <w:p w14:paraId="3D5148CB" w14:textId="77777777" w:rsidR="005A4448" w:rsidRDefault="005A44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72F31"/>
    <w:multiLevelType w:val="hybridMultilevel"/>
    <w:tmpl w:val="7222110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98"/>
    <w:rsid w:val="000027EB"/>
    <w:rsid w:val="000031D7"/>
    <w:rsid w:val="0001411F"/>
    <w:rsid w:val="0001443E"/>
    <w:rsid w:val="0002290C"/>
    <w:rsid w:val="000237E6"/>
    <w:rsid w:val="00045625"/>
    <w:rsid w:val="0005601C"/>
    <w:rsid w:val="00056421"/>
    <w:rsid w:val="000608CF"/>
    <w:rsid w:val="00077999"/>
    <w:rsid w:val="000A010A"/>
    <w:rsid w:val="000B1043"/>
    <w:rsid w:val="000D056B"/>
    <w:rsid w:val="000D45D6"/>
    <w:rsid w:val="000D61AB"/>
    <w:rsid w:val="000E0F05"/>
    <w:rsid w:val="000F18A9"/>
    <w:rsid w:val="0014354C"/>
    <w:rsid w:val="00151439"/>
    <w:rsid w:val="0015654C"/>
    <w:rsid w:val="0016340F"/>
    <w:rsid w:val="0017375E"/>
    <w:rsid w:val="0019542C"/>
    <w:rsid w:val="001A0FCF"/>
    <w:rsid w:val="001B4869"/>
    <w:rsid w:val="001D4923"/>
    <w:rsid w:val="001D6D40"/>
    <w:rsid w:val="001E5C29"/>
    <w:rsid w:val="001F5B6D"/>
    <w:rsid w:val="00211F8C"/>
    <w:rsid w:val="0023331D"/>
    <w:rsid w:val="00240024"/>
    <w:rsid w:val="002437CF"/>
    <w:rsid w:val="00252501"/>
    <w:rsid w:val="00257113"/>
    <w:rsid w:val="002672DA"/>
    <w:rsid w:val="00283513"/>
    <w:rsid w:val="00296728"/>
    <w:rsid w:val="002A48F1"/>
    <w:rsid w:val="002B3AEA"/>
    <w:rsid w:val="002D5802"/>
    <w:rsid w:val="002D77F2"/>
    <w:rsid w:val="002D7D31"/>
    <w:rsid w:val="002E1C3C"/>
    <w:rsid w:val="002E4035"/>
    <w:rsid w:val="002E4BDB"/>
    <w:rsid w:val="00326509"/>
    <w:rsid w:val="0032735D"/>
    <w:rsid w:val="00331A43"/>
    <w:rsid w:val="00352CAB"/>
    <w:rsid w:val="0036061B"/>
    <w:rsid w:val="0036128B"/>
    <w:rsid w:val="00375263"/>
    <w:rsid w:val="00393556"/>
    <w:rsid w:val="003B4804"/>
    <w:rsid w:val="003C4CDE"/>
    <w:rsid w:val="003D4508"/>
    <w:rsid w:val="003E0F77"/>
    <w:rsid w:val="003F46BA"/>
    <w:rsid w:val="0042191C"/>
    <w:rsid w:val="0042648F"/>
    <w:rsid w:val="00444FDE"/>
    <w:rsid w:val="00450798"/>
    <w:rsid w:val="0045586D"/>
    <w:rsid w:val="004645BC"/>
    <w:rsid w:val="0047303C"/>
    <w:rsid w:val="00487150"/>
    <w:rsid w:val="004A0889"/>
    <w:rsid w:val="004A4F86"/>
    <w:rsid w:val="004E27AB"/>
    <w:rsid w:val="004E47BC"/>
    <w:rsid w:val="004F4DAA"/>
    <w:rsid w:val="004F6C93"/>
    <w:rsid w:val="004F72CC"/>
    <w:rsid w:val="00501617"/>
    <w:rsid w:val="00515637"/>
    <w:rsid w:val="00530FE4"/>
    <w:rsid w:val="0053625A"/>
    <w:rsid w:val="0058077B"/>
    <w:rsid w:val="005A299D"/>
    <w:rsid w:val="005A4448"/>
    <w:rsid w:val="005B4F49"/>
    <w:rsid w:val="005B5BB2"/>
    <w:rsid w:val="005C2155"/>
    <w:rsid w:val="005E1340"/>
    <w:rsid w:val="005E3FE7"/>
    <w:rsid w:val="0060118C"/>
    <w:rsid w:val="00610100"/>
    <w:rsid w:val="0062648A"/>
    <w:rsid w:val="00636070"/>
    <w:rsid w:val="0063726E"/>
    <w:rsid w:val="00644038"/>
    <w:rsid w:val="006521C6"/>
    <w:rsid w:val="006767C4"/>
    <w:rsid w:val="006855E2"/>
    <w:rsid w:val="00690335"/>
    <w:rsid w:val="00693A51"/>
    <w:rsid w:val="00695414"/>
    <w:rsid w:val="006A01B7"/>
    <w:rsid w:val="006A0F28"/>
    <w:rsid w:val="006B2BA4"/>
    <w:rsid w:val="006C34AD"/>
    <w:rsid w:val="00743B7C"/>
    <w:rsid w:val="007719C5"/>
    <w:rsid w:val="007775F1"/>
    <w:rsid w:val="00781498"/>
    <w:rsid w:val="00786173"/>
    <w:rsid w:val="007B07B6"/>
    <w:rsid w:val="007B2D72"/>
    <w:rsid w:val="007C6B6C"/>
    <w:rsid w:val="007E2438"/>
    <w:rsid w:val="007E6BAA"/>
    <w:rsid w:val="007F37BB"/>
    <w:rsid w:val="00803665"/>
    <w:rsid w:val="00814031"/>
    <w:rsid w:val="00831917"/>
    <w:rsid w:val="008354CD"/>
    <w:rsid w:val="008414EA"/>
    <w:rsid w:val="0085217F"/>
    <w:rsid w:val="00864ABE"/>
    <w:rsid w:val="008A2E5B"/>
    <w:rsid w:val="008B562A"/>
    <w:rsid w:val="008F0E28"/>
    <w:rsid w:val="009022A8"/>
    <w:rsid w:val="00905109"/>
    <w:rsid w:val="00915E4C"/>
    <w:rsid w:val="0092481B"/>
    <w:rsid w:val="00927CEB"/>
    <w:rsid w:val="0093332F"/>
    <w:rsid w:val="00942257"/>
    <w:rsid w:val="00943464"/>
    <w:rsid w:val="009642D8"/>
    <w:rsid w:val="00971E03"/>
    <w:rsid w:val="00971E23"/>
    <w:rsid w:val="00976745"/>
    <w:rsid w:val="009850D1"/>
    <w:rsid w:val="009909CB"/>
    <w:rsid w:val="009A6C84"/>
    <w:rsid w:val="009B3DFC"/>
    <w:rsid w:val="009E5C35"/>
    <w:rsid w:val="009E5CE5"/>
    <w:rsid w:val="009E6707"/>
    <w:rsid w:val="009E77DD"/>
    <w:rsid w:val="009F06C1"/>
    <w:rsid w:val="009F1A3E"/>
    <w:rsid w:val="009F6BFA"/>
    <w:rsid w:val="00A16BF0"/>
    <w:rsid w:val="00A223CC"/>
    <w:rsid w:val="00A2407E"/>
    <w:rsid w:val="00A24753"/>
    <w:rsid w:val="00A24DA9"/>
    <w:rsid w:val="00A32F86"/>
    <w:rsid w:val="00A37BE9"/>
    <w:rsid w:val="00A41C7A"/>
    <w:rsid w:val="00A42609"/>
    <w:rsid w:val="00A4509C"/>
    <w:rsid w:val="00A461A0"/>
    <w:rsid w:val="00A6276A"/>
    <w:rsid w:val="00A64379"/>
    <w:rsid w:val="00A72E6D"/>
    <w:rsid w:val="00A800EC"/>
    <w:rsid w:val="00A841DF"/>
    <w:rsid w:val="00A92115"/>
    <w:rsid w:val="00AA6E73"/>
    <w:rsid w:val="00AB3148"/>
    <w:rsid w:val="00AB3941"/>
    <w:rsid w:val="00AB5FC2"/>
    <w:rsid w:val="00AB7E9C"/>
    <w:rsid w:val="00AC509C"/>
    <w:rsid w:val="00AC5FEB"/>
    <w:rsid w:val="00AD4BC8"/>
    <w:rsid w:val="00AF5024"/>
    <w:rsid w:val="00B12444"/>
    <w:rsid w:val="00B31C3F"/>
    <w:rsid w:val="00B32F1F"/>
    <w:rsid w:val="00B3725A"/>
    <w:rsid w:val="00B431A2"/>
    <w:rsid w:val="00B60842"/>
    <w:rsid w:val="00B67D6B"/>
    <w:rsid w:val="00B723BC"/>
    <w:rsid w:val="00B8273B"/>
    <w:rsid w:val="00B8595C"/>
    <w:rsid w:val="00BA1FAF"/>
    <w:rsid w:val="00BB14C3"/>
    <w:rsid w:val="00BB73FE"/>
    <w:rsid w:val="00BC03C1"/>
    <w:rsid w:val="00BC3909"/>
    <w:rsid w:val="00BD0EA1"/>
    <w:rsid w:val="00BE6E98"/>
    <w:rsid w:val="00C219CB"/>
    <w:rsid w:val="00C23678"/>
    <w:rsid w:val="00C25AB5"/>
    <w:rsid w:val="00C40340"/>
    <w:rsid w:val="00C40D48"/>
    <w:rsid w:val="00C41C9E"/>
    <w:rsid w:val="00C42CBD"/>
    <w:rsid w:val="00C53167"/>
    <w:rsid w:val="00C63E70"/>
    <w:rsid w:val="00C6590C"/>
    <w:rsid w:val="00C71470"/>
    <w:rsid w:val="00C7397A"/>
    <w:rsid w:val="00C8196F"/>
    <w:rsid w:val="00C92BA0"/>
    <w:rsid w:val="00C97984"/>
    <w:rsid w:val="00CA120E"/>
    <w:rsid w:val="00CC7EE2"/>
    <w:rsid w:val="00D04404"/>
    <w:rsid w:val="00D077C8"/>
    <w:rsid w:val="00D12BE2"/>
    <w:rsid w:val="00D2046A"/>
    <w:rsid w:val="00D2352B"/>
    <w:rsid w:val="00D27FBE"/>
    <w:rsid w:val="00D42F6B"/>
    <w:rsid w:val="00D4650C"/>
    <w:rsid w:val="00D5535C"/>
    <w:rsid w:val="00D60AC0"/>
    <w:rsid w:val="00D66BD6"/>
    <w:rsid w:val="00DA1B88"/>
    <w:rsid w:val="00DC420F"/>
    <w:rsid w:val="00DD426D"/>
    <w:rsid w:val="00DF71DB"/>
    <w:rsid w:val="00E001DA"/>
    <w:rsid w:val="00E00554"/>
    <w:rsid w:val="00E13D7A"/>
    <w:rsid w:val="00E17337"/>
    <w:rsid w:val="00E224BF"/>
    <w:rsid w:val="00E23734"/>
    <w:rsid w:val="00E24E25"/>
    <w:rsid w:val="00E258CD"/>
    <w:rsid w:val="00E4485B"/>
    <w:rsid w:val="00E5491F"/>
    <w:rsid w:val="00E6655D"/>
    <w:rsid w:val="00E666E9"/>
    <w:rsid w:val="00E67CFD"/>
    <w:rsid w:val="00E70E01"/>
    <w:rsid w:val="00E8214D"/>
    <w:rsid w:val="00E956DD"/>
    <w:rsid w:val="00ED5F90"/>
    <w:rsid w:val="00EE0EA0"/>
    <w:rsid w:val="00EF1886"/>
    <w:rsid w:val="00F02490"/>
    <w:rsid w:val="00F02E5A"/>
    <w:rsid w:val="00F071E7"/>
    <w:rsid w:val="00F10F51"/>
    <w:rsid w:val="00F12869"/>
    <w:rsid w:val="00F23C34"/>
    <w:rsid w:val="00F272C1"/>
    <w:rsid w:val="00F31780"/>
    <w:rsid w:val="00F31F5D"/>
    <w:rsid w:val="00F34B2D"/>
    <w:rsid w:val="00F35EBA"/>
    <w:rsid w:val="00F541ED"/>
    <w:rsid w:val="00F54E74"/>
    <w:rsid w:val="00F71B58"/>
    <w:rsid w:val="00F77113"/>
    <w:rsid w:val="00F93849"/>
    <w:rsid w:val="00FA1802"/>
    <w:rsid w:val="00FB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1DA56C"/>
  <w15:chartTrackingRefBased/>
  <w15:docId w15:val="{92557842-A92C-4CDB-B1EB-ADCFA1D4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79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0798"/>
    <w:pPr>
      <w:spacing w:after="150"/>
    </w:pPr>
    <w:rPr>
      <w:rFonts w:ascii="Times New Roman" w:hAnsi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501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C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C3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E1C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C3C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2E1C3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E1C3C"/>
    <w:rPr>
      <w:b/>
      <w:bCs/>
    </w:rPr>
  </w:style>
  <w:style w:type="paragraph" w:customStyle="1" w:styleId="paragraph">
    <w:name w:val="paragraph"/>
    <w:basedOn w:val="Normal"/>
    <w:rsid w:val="009022A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2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2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3941"/>
    <w:rPr>
      <w:rFonts w:ascii="Times New Roman" w:hAnsi="Times New Roman" w:cs="Times New Roman" w:hint="default"/>
      <w:color w:val="0000FF"/>
      <w:u w:val="single"/>
    </w:rPr>
  </w:style>
  <w:style w:type="paragraph" w:customStyle="1" w:styleId="fq">
    <w:name w:val="fq"/>
    <w:basedOn w:val="Normal"/>
    <w:rsid w:val="000031D7"/>
    <w:pPr>
      <w:spacing w:before="100" w:beforeAutospacing="1" w:after="100" w:afterAutospacing="1"/>
    </w:pPr>
    <w:rPr>
      <w:lang w:val="en-GB" w:eastAsia="en-GB"/>
    </w:rPr>
  </w:style>
  <w:style w:type="paragraph" w:customStyle="1" w:styleId="fr">
    <w:name w:val="fr"/>
    <w:basedOn w:val="Normal"/>
    <w:rsid w:val="000031D7"/>
    <w:pPr>
      <w:spacing w:before="100" w:beforeAutospacing="1" w:after="100" w:afterAutospacing="1"/>
    </w:pPr>
    <w:rPr>
      <w:lang w:val="en-GB" w:eastAsia="en-GB"/>
    </w:rPr>
  </w:style>
  <w:style w:type="paragraph" w:customStyle="1" w:styleId="fs">
    <w:name w:val="fs"/>
    <w:basedOn w:val="Normal"/>
    <w:rsid w:val="000031D7"/>
    <w:pPr>
      <w:spacing w:before="100" w:beforeAutospacing="1" w:after="100" w:afterAutospacing="1"/>
    </w:pPr>
    <w:rPr>
      <w:lang w:val="en-GB" w:eastAsia="en-GB"/>
    </w:rPr>
  </w:style>
  <w:style w:type="character" w:customStyle="1" w:styleId="fj">
    <w:name w:val="fj"/>
    <w:basedOn w:val="DefaultParagraphFont"/>
    <w:rsid w:val="000031D7"/>
  </w:style>
  <w:style w:type="character" w:customStyle="1" w:styleId="ez">
    <w:name w:val="ez"/>
    <w:basedOn w:val="DefaultParagraphFont"/>
    <w:rsid w:val="000031D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3AEA"/>
    <w:rPr>
      <w:color w:val="605E5C"/>
      <w:shd w:val="clear" w:color="auto" w:fill="E1DFDD"/>
    </w:rPr>
  </w:style>
  <w:style w:type="paragraph" w:customStyle="1" w:styleId="cp">
    <w:name w:val="cp"/>
    <w:basedOn w:val="Normal"/>
    <w:rsid w:val="001634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ja-JP"/>
    </w:rPr>
  </w:style>
  <w:style w:type="character" w:customStyle="1" w:styleId="ax">
    <w:name w:val="ax"/>
    <w:basedOn w:val="DefaultParagraphFont"/>
    <w:rsid w:val="00E17337"/>
  </w:style>
  <w:style w:type="character" w:customStyle="1" w:styleId="ap">
    <w:name w:val="ap"/>
    <w:basedOn w:val="DefaultParagraphFont"/>
    <w:rsid w:val="00211F8C"/>
  </w:style>
  <w:style w:type="character" w:customStyle="1" w:styleId="at">
    <w:name w:val="at"/>
    <w:basedOn w:val="DefaultParagraphFont"/>
    <w:rsid w:val="00211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83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1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7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irnenergy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E5079F99AC04281E3964DF2E80F86" ma:contentTypeVersion="10" ma:contentTypeDescription="Create a new document." ma:contentTypeScope="" ma:versionID="f2a48c4ec4ecbb896b57ef796cc640e6">
  <xsd:schema xmlns:xsd="http://www.w3.org/2001/XMLSchema" xmlns:xs="http://www.w3.org/2001/XMLSchema" xmlns:p="http://schemas.microsoft.com/office/2006/metadata/properties" xmlns:ns3="7cbfa13f-c7e2-41f7-bd36-d1a73d7f6ff3" targetNamespace="http://schemas.microsoft.com/office/2006/metadata/properties" ma:root="true" ma:fieldsID="a572c8864713c6fabf5662f06d03c99f" ns3:_="">
    <xsd:import namespace="7cbfa13f-c7e2-41f7-bd36-d1a73d7f6f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fa13f-c7e2-41f7-bd36-d1a73d7f6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5526A-E263-402A-A838-B1835E2C2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fa13f-c7e2-41f7-bd36-d1a73d7f6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8518BF-15F5-46E5-8D93-AEDD0055B36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cbfa13f-c7e2-41f7-bd36-d1a73d7f6ff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E473FE-B98B-4430-8E36-EB256BA2C9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E2C9D6-83B4-438F-8114-432E907A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2875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eni S.p.A.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Bertelli Luca</dc:creator>
  <cp:keywords/>
  <dc:description/>
  <cp:lastModifiedBy>Maryth Guild</cp:lastModifiedBy>
  <cp:revision>2</cp:revision>
  <dcterms:created xsi:type="dcterms:W3CDTF">2021-01-07T11:02:00Z</dcterms:created>
  <dcterms:modified xsi:type="dcterms:W3CDTF">2021-01-07T11:02:00Z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0x010100E76E5079F99AC04281E3964DF2E80F86</vt:lpwstr>
  </property>
  <property fmtid="{D5CDD505-2E9C-101B-9397-08002B2CF9AE}" pid="3" name="MSIP_Label_27f19db2-d867-48b1-bee5-621b02f2470f_Enabled">
    <vt:lpwstr>true</vt:lpwstr>
  </property>
  <property fmtid="{D5CDD505-2E9C-101B-9397-08002B2CF9AE}" pid="4" name="MSIP_Label_27f19db2-d867-48b1-bee5-621b02f2470f_SetDate">
    <vt:lpwstr>2021-01-06T15:44:35Z</vt:lpwstr>
  </property>
  <property fmtid="{D5CDD505-2E9C-101B-9397-08002B2CF9AE}" pid="5" name="MSIP_Label_27f19db2-d867-48b1-bee5-621b02f2470f_Method">
    <vt:lpwstr>Privileged</vt:lpwstr>
  </property>
  <property fmtid="{D5CDD505-2E9C-101B-9397-08002B2CF9AE}" pid="6" name="MSIP_Label_27f19db2-d867-48b1-bee5-621b02f2470f_Name">
    <vt:lpwstr>RAndCoConfidentialMarked</vt:lpwstr>
  </property>
  <property fmtid="{D5CDD505-2E9C-101B-9397-08002B2CF9AE}" pid="7" name="MSIP_Label_27f19db2-d867-48b1-bee5-621b02f2470f_SiteId">
    <vt:lpwstr>a3a61790-e8ca-448a-b1be-e046da74a581</vt:lpwstr>
  </property>
  <property fmtid="{D5CDD505-2E9C-101B-9397-08002B2CF9AE}" pid="8" name="MSIP_Label_27f19db2-d867-48b1-bee5-621b02f2470f_ActionId">
    <vt:lpwstr>2ebd2ed4-0b13-49aa-a0bc-4c925ca7d3a7</vt:lpwstr>
  </property>
  <property fmtid="{D5CDD505-2E9C-101B-9397-08002B2CF9AE}" pid="9" name="MSIP_Label_27f19db2-d867-48b1-bee5-621b02f2470f_ContentBits">
    <vt:lpwstr>2</vt:lpwstr>
  </property>
  <property fmtid="{D5CDD505-2E9C-101B-9397-08002B2CF9AE}" pid="10" name="RTHDocumentSensitivity">
    <vt:lpwstr>Confidential</vt:lpwstr>
  </property>
  <property fmtid="{D5CDD505-2E9C-101B-9397-08002B2CF9AE}" pid="11" name="RTHDocumentSensitivityFR">
    <vt:lpwstr>Confidentiel</vt:lpwstr>
  </property>
</Properties>
</file>