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F3C5" w14:textId="0E916DB1" w:rsidR="0018621D" w:rsidRPr="0018621D" w:rsidRDefault="002E2D11" w:rsidP="0018621D">
      <w:pPr>
        <w:tabs>
          <w:tab w:val="right" w:pos="9000"/>
        </w:tabs>
        <w:spacing w:line="280" w:lineRule="exact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IMMEDIATE RELEASE</w:t>
      </w:r>
      <w:r w:rsidR="00F83224" w:rsidRPr="00F8322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="0018621D" w:rsidRPr="0018621D">
        <w:rPr>
          <w:rFonts w:ascii="Arial" w:hAnsi="Arial" w:cs="Arial"/>
          <w:b/>
          <w:color w:val="000000"/>
          <w:sz w:val="20"/>
          <w:szCs w:val="20"/>
        </w:rPr>
        <w:tab/>
      </w:r>
      <w:r w:rsidR="00855B45">
        <w:rPr>
          <w:rFonts w:ascii="Arial" w:hAnsi="Arial" w:cs="Arial"/>
          <w:b/>
          <w:color w:val="000000"/>
          <w:sz w:val="20"/>
          <w:szCs w:val="20"/>
        </w:rPr>
        <w:t>13 December 2021</w:t>
      </w:r>
    </w:p>
    <w:p w14:paraId="6062A129" w14:textId="77777777" w:rsidR="0018621D" w:rsidRPr="0018621D" w:rsidRDefault="0018621D" w:rsidP="0018621D">
      <w:pPr>
        <w:spacing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07B082F" w14:textId="77777777" w:rsidR="0018621D" w:rsidRPr="0018621D" w:rsidRDefault="0018621D" w:rsidP="0018621D">
      <w:pPr>
        <w:spacing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AF5CD6F" w14:textId="77777777" w:rsidR="0018621D" w:rsidRPr="0018621D" w:rsidRDefault="0018621D" w:rsidP="001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20"/>
          <w:szCs w:val="20"/>
          <w:lang w:val="en-US" w:eastAsia="en-US"/>
        </w:rPr>
      </w:pPr>
    </w:p>
    <w:p w14:paraId="72D71DC6" w14:textId="77777777" w:rsidR="0018621D" w:rsidRPr="0018621D" w:rsidRDefault="0018621D" w:rsidP="001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000000"/>
          <w:sz w:val="20"/>
          <w:szCs w:val="20"/>
          <w:lang w:val="en-US" w:eastAsia="en-US"/>
        </w:rPr>
      </w:pPr>
      <w:r w:rsidRPr="0018621D">
        <w:rPr>
          <w:rFonts w:ascii="Arial" w:hAnsi="Arial" w:cs="Arial"/>
          <w:b/>
          <w:color w:val="000000"/>
          <w:sz w:val="20"/>
          <w:szCs w:val="20"/>
          <w:lang w:val="en-US" w:eastAsia="en-US"/>
        </w:rPr>
        <w:t>CAPRICORN ENERGY PLC (“Capricorn” or “the Company”)</w:t>
      </w:r>
    </w:p>
    <w:p w14:paraId="419E17E9" w14:textId="77777777" w:rsidR="0018621D" w:rsidRPr="0018621D" w:rsidRDefault="0018621D" w:rsidP="001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0000"/>
          <w:sz w:val="20"/>
          <w:szCs w:val="20"/>
          <w:lang w:val="en-US" w:eastAsia="en-US"/>
        </w:rPr>
      </w:pPr>
    </w:p>
    <w:p w14:paraId="69081D89" w14:textId="77777777" w:rsidR="0018621D" w:rsidRPr="0018621D" w:rsidRDefault="0018621D" w:rsidP="001862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000000"/>
          <w:sz w:val="20"/>
          <w:szCs w:val="20"/>
          <w:lang w:val="en-US" w:eastAsia="en-US"/>
        </w:rPr>
      </w:pPr>
    </w:p>
    <w:p w14:paraId="402B6028" w14:textId="77777777" w:rsidR="00855B45" w:rsidRPr="00855B45" w:rsidRDefault="00855B45" w:rsidP="00855B45">
      <w:pPr>
        <w:spacing w:after="98" w:line="256" w:lineRule="auto"/>
        <w:ind w:right="2"/>
        <w:jc w:val="center"/>
        <w:rPr>
          <w:rFonts w:ascii="Arial" w:hAnsi="Arial" w:cs="Arial"/>
          <w:sz w:val="20"/>
          <w:szCs w:val="20"/>
        </w:rPr>
      </w:pPr>
      <w:r w:rsidRPr="00855B45">
        <w:rPr>
          <w:rFonts w:ascii="Arial" w:hAnsi="Arial" w:cs="Arial"/>
          <w:b/>
          <w:sz w:val="20"/>
          <w:szCs w:val="20"/>
        </w:rPr>
        <w:t xml:space="preserve">Change of Company Name  </w:t>
      </w:r>
    </w:p>
    <w:p w14:paraId="5B14B11A" w14:textId="77777777" w:rsidR="00855B45" w:rsidRPr="00855B45" w:rsidRDefault="00855B45" w:rsidP="00855B45">
      <w:pPr>
        <w:ind w:left="-5"/>
        <w:jc w:val="both"/>
        <w:rPr>
          <w:rFonts w:ascii="Arial" w:hAnsi="Arial" w:cs="Arial"/>
          <w:sz w:val="20"/>
          <w:szCs w:val="20"/>
        </w:rPr>
      </w:pPr>
    </w:p>
    <w:p w14:paraId="43DB12BA" w14:textId="786E7973" w:rsidR="00855B45" w:rsidRPr="00855B45" w:rsidRDefault="00855B45" w:rsidP="00855B45">
      <w:pPr>
        <w:spacing w:line="360" w:lineRule="auto"/>
        <w:ind w:left="-5"/>
        <w:jc w:val="both"/>
        <w:rPr>
          <w:rFonts w:ascii="Arial" w:hAnsi="Arial" w:cs="Arial"/>
          <w:sz w:val="20"/>
          <w:szCs w:val="20"/>
        </w:rPr>
      </w:pPr>
      <w:r w:rsidRPr="00855B45">
        <w:rPr>
          <w:rFonts w:ascii="Arial" w:hAnsi="Arial" w:cs="Arial"/>
          <w:sz w:val="20"/>
          <w:szCs w:val="20"/>
        </w:rPr>
        <w:t>F</w:t>
      </w:r>
      <w:r w:rsidR="007507EE">
        <w:rPr>
          <w:rFonts w:ascii="Arial" w:hAnsi="Arial" w:cs="Arial"/>
          <w:sz w:val="20"/>
          <w:szCs w:val="20"/>
        </w:rPr>
        <w:t>urther to the announcement of 3 November 2021, f</w:t>
      </w:r>
      <w:r w:rsidRPr="00855B45">
        <w:rPr>
          <w:rFonts w:ascii="Arial" w:hAnsi="Arial" w:cs="Arial"/>
          <w:sz w:val="20"/>
          <w:szCs w:val="20"/>
        </w:rPr>
        <w:t xml:space="preserve">rom today, 13 December 2021, the company name of Cairn Energy PLC has changed to Capricorn Energy PLC. The LSE stock ticker remains as CNE. </w:t>
      </w:r>
    </w:p>
    <w:p w14:paraId="466A5312" w14:textId="77777777" w:rsidR="00855B45" w:rsidRPr="00855B45" w:rsidRDefault="00855B45" w:rsidP="00855B45">
      <w:pPr>
        <w:spacing w:after="96" w:line="360" w:lineRule="auto"/>
        <w:jc w:val="both"/>
        <w:rPr>
          <w:rFonts w:ascii="Arial" w:hAnsi="Arial" w:cs="Arial"/>
          <w:sz w:val="20"/>
          <w:szCs w:val="20"/>
        </w:rPr>
      </w:pPr>
      <w:r w:rsidRPr="00855B45">
        <w:rPr>
          <w:rFonts w:ascii="Arial" w:hAnsi="Arial" w:cs="Arial"/>
          <w:sz w:val="20"/>
          <w:szCs w:val="20"/>
        </w:rPr>
        <w:t xml:space="preserve"> </w:t>
      </w:r>
    </w:p>
    <w:p w14:paraId="7801A9C9" w14:textId="1F37871E" w:rsidR="00855B45" w:rsidRDefault="00855B45" w:rsidP="00855B45">
      <w:pPr>
        <w:spacing w:after="98" w:line="360" w:lineRule="auto"/>
        <w:ind w:left="-5"/>
        <w:jc w:val="both"/>
        <w:rPr>
          <w:rFonts w:ascii="Arial" w:hAnsi="Arial" w:cs="Arial"/>
          <w:sz w:val="20"/>
          <w:szCs w:val="20"/>
        </w:rPr>
      </w:pPr>
      <w:r w:rsidRPr="00855B45">
        <w:rPr>
          <w:rFonts w:ascii="Arial" w:hAnsi="Arial" w:cs="Arial"/>
          <w:sz w:val="20"/>
          <w:szCs w:val="20"/>
        </w:rPr>
        <w:t xml:space="preserve">No action from shareholders is required in relation to the change. </w:t>
      </w:r>
    </w:p>
    <w:p w14:paraId="30473D60" w14:textId="102F0A14" w:rsidR="00855B45" w:rsidRPr="00855B45" w:rsidRDefault="00855B45" w:rsidP="00855B45">
      <w:pPr>
        <w:spacing w:after="98" w:line="360" w:lineRule="auto"/>
        <w:ind w:left="-5"/>
        <w:jc w:val="both"/>
        <w:rPr>
          <w:rFonts w:ascii="Arial" w:hAnsi="Arial" w:cs="Arial"/>
          <w:b/>
          <w:bCs/>
          <w:sz w:val="20"/>
          <w:szCs w:val="20"/>
        </w:rPr>
      </w:pPr>
      <w:r w:rsidRPr="00855B45">
        <w:rPr>
          <w:rFonts w:ascii="Arial" w:hAnsi="Arial" w:cs="Arial"/>
          <w:b/>
          <w:bCs/>
          <w:sz w:val="20"/>
          <w:szCs w:val="20"/>
        </w:rPr>
        <w:t>ENDS</w:t>
      </w:r>
    </w:p>
    <w:p w14:paraId="72DB7276" w14:textId="77777777" w:rsidR="00855B45" w:rsidRDefault="00855B45" w:rsidP="00855B45">
      <w:pPr>
        <w:spacing w:after="96" w:line="256" w:lineRule="auto"/>
      </w:pPr>
      <w:r>
        <w:t xml:space="preserve"> </w:t>
      </w:r>
    </w:p>
    <w:p w14:paraId="67C30F2D" w14:textId="77777777" w:rsidR="00855B45" w:rsidRDefault="00855B45" w:rsidP="00855B45">
      <w:pPr>
        <w:spacing w:after="98" w:line="256" w:lineRule="auto"/>
      </w:pPr>
      <w:r>
        <w:t xml:space="preserve"> </w:t>
      </w:r>
    </w:p>
    <w:p w14:paraId="2F7FCB63" w14:textId="4543C87A" w:rsidR="00D643DC" w:rsidRPr="0018621D" w:rsidRDefault="00D643DC" w:rsidP="00011916">
      <w:pPr>
        <w:rPr>
          <w:rFonts w:ascii="Arial" w:hAnsi="Arial" w:cs="Arial"/>
          <w:lang w:val="en-US"/>
        </w:rPr>
      </w:pPr>
    </w:p>
    <w:p w14:paraId="3C2D12D3" w14:textId="77777777" w:rsidR="00F83224" w:rsidRDefault="00F83224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E2706D3" w14:textId="66789D07" w:rsidR="0018621D" w:rsidRDefault="00F83224" w:rsidP="005173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E</w:t>
      </w:r>
      <w:r w:rsidR="0018621D" w:rsidRPr="0018621D">
        <w:rPr>
          <w:rFonts w:ascii="Arial" w:hAnsi="Arial" w:cs="Arial"/>
          <w:b/>
          <w:bCs/>
          <w:sz w:val="20"/>
          <w:szCs w:val="20"/>
        </w:rPr>
        <w:t>nquiries to</w:t>
      </w:r>
      <w:r w:rsidR="0018621D" w:rsidRPr="0018621D">
        <w:rPr>
          <w:rFonts w:ascii="Arial" w:hAnsi="Arial" w:cs="Arial"/>
          <w:sz w:val="20"/>
          <w:szCs w:val="20"/>
        </w:rPr>
        <w:t>: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7304"/>
        <w:gridCol w:w="1480"/>
      </w:tblGrid>
      <w:tr w:rsidR="0018621D" w:rsidRPr="0018621D" w14:paraId="62620F31" w14:textId="77777777" w:rsidTr="005173E0">
        <w:tc>
          <w:tcPr>
            <w:tcW w:w="7304" w:type="dxa"/>
            <w:shd w:val="clear" w:color="auto" w:fill="auto"/>
          </w:tcPr>
          <w:p w14:paraId="31E84637" w14:textId="77777777" w:rsidR="005173E0" w:rsidRDefault="005173E0" w:rsidP="005173E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3DC511" w14:textId="6510004C" w:rsidR="0018621D" w:rsidRPr="0018621D" w:rsidRDefault="0018621D" w:rsidP="005173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621D">
              <w:rPr>
                <w:rFonts w:ascii="Arial" w:hAnsi="Arial" w:cs="Arial"/>
                <w:sz w:val="20"/>
                <w:szCs w:val="20"/>
                <w:u w:val="single"/>
              </w:rPr>
              <w:t>Analysts / Investors</w:t>
            </w:r>
          </w:p>
        </w:tc>
        <w:tc>
          <w:tcPr>
            <w:tcW w:w="1480" w:type="dxa"/>
            <w:shd w:val="clear" w:color="auto" w:fill="auto"/>
          </w:tcPr>
          <w:p w14:paraId="4EBDCCAE" w14:textId="77777777" w:rsidR="0018621D" w:rsidRPr="0018621D" w:rsidRDefault="0018621D" w:rsidP="005173E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21D" w:rsidRPr="0018621D" w14:paraId="7952417A" w14:textId="77777777" w:rsidTr="005173E0">
        <w:tc>
          <w:tcPr>
            <w:tcW w:w="7304" w:type="dxa"/>
            <w:shd w:val="clear" w:color="auto" w:fill="auto"/>
          </w:tcPr>
          <w:p w14:paraId="66EDBECA" w14:textId="77777777" w:rsidR="0018621D" w:rsidRPr="0018621D" w:rsidRDefault="0018621D" w:rsidP="005173E0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21D">
              <w:rPr>
                <w:rFonts w:ascii="Arial" w:hAnsi="Arial" w:cs="Arial"/>
                <w:sz w:val="20"/>
                <w:szCs w:val="20"/>
              </w:rPr>
              <w:t xml:space="preserve">David Nisbet, Corporate Affairs </w:t>
            </w:r>
          </w:p>
        </w:tc>
        <w:tc>
          <w:tcPr>
            <w:tcW w:w="1480" w:type="dxa"/>
            <w:shd w:val="clear" w:color="auto" w:fill="auto"/>
          </w:tcPr>
          <w:p w14:paraId="49BD2C1D" w14:textId="77777777" w:rsidR="0018621D" w:rsidRPr="0018621D" w:rsidRDefault="0018621D" w:rsidP="005173E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621D">
              <w:rPr>
                <w:rFonts w:ascii="Arial" w:hAnsi="Arial" w:cs="Arial"/>
                <w:b/>
                <w:sz w:val="20"/>
                <w:szCs w:val="20"/>
              </w:rPr>
              <w:t>Tel: 0131 475 3000</w:t>
            </w:r>
          </w:p>
        </w:tc>
      </w:tr>
      <w:tr w:rsidR="0018621D" w:rsidRPr="0018621D" w14:paraId="6B29E70D" w14:textId="77777777" w:rsidTr="005173E0">
        <w:tc>
          <w:tcPr>
            <w:tcW w:w="7304" w:type="dxa"/>
            <w:shd w:val="clear" w:color="auto" w:fill="auto"/>
          </w:tcPr>
          <w:p w14:paraId="63A6E991" w14:textId="77777777" w:rsidR="0018621D" w:rsidRPr="0018621D" w:rsidRDefault="0018621D" w:rsidP="005173E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80" w:type="dxa"/>
            <w:shd w:val="clear" w:color="auto" w:fill="auto"/>
          </w:tcPr>
          <w:p w14:paraId="155B5072" w14:textId="77777777" w:rsidR="0018621D" w:rsidRPr="0018621D" w:rsidRDefault="0018621D" w:rsidP="005173E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21D" w:rsidRPr="0018621D" w14:paraId="02B6AE40" w14:textId="77777777" w:rsidTr="005173E0">
        <w:tc>
          <w:tcPr>
            <w:tcW w:w="7304" w:type="dxa"/>
            <w:shd w:val="clear" w:color="auto" w:fill="auto"/>
          </w:tcPr>
          <w:p w14:paraId="4191BC0F" w14:textId="77777777" w:rsidR="0018621D" w:rsidRPr="0018621D" w:rsidRDefault="0018621D" w:rsidP="005173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621D">
              <w:rPr>
                <w:rFonts w:ascii="Arial" w:hAnsi="Arial" w:cs="Arial"/>
                <w:sz w:val="20"/>
                <w:szCs w:val="20"/>
                <w:u w:val="single"/>
              </w:rPr>
              <w:t>Media</w:t>
            </w:r>
          </w:p>
        </w:tc>
        <w:tc>
          <w:tcPr>
            <w:tcW w:w="1480" w:type="dxa"/>
            <w:shd w:val="clear" w:color="auto" w:fill="auto"/>
          </w:tcPr>
          <w:p w14:paraId="0EE8594E" w14:textId="77777777" w:rsidR="0018621D" w:rsidRPr="0018621D" w:rsidRDefault="0018621D" w:rsidP="005173E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21D" w:rsidRPr="0018621D" w14:paraId="66894213" w14:textId="77777777" w:rsidTr="005173E0">
        <w:tc>
          <w:tcPr>
            <w:tcW w:w="7304" w:type="dxa"/>
            <w:shd w:val="clear" w:color="auto" w:fill="auto"/>
          </w:tcPr>
          <w:p w14:paraId="35478778" w14:textId="7A4C219D" w:rsidR="0018621D" w:rsidRPr="0018621D" w:rsidRDefault="0018621D" w:rsidP="005173E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621D">
              <w:rPr>
                <w:rFonts w:ascii="Arial" w:hAnsi="Arial" w:cs="Arial"/>
                <w:sz w:val="20"/>
                <w:szCs w:val="20"/>
              </w:rPr>
              <w:t xml:space="preserve">Jonathan Milne/Linda Bain, Corporate Affairs                     </w:t>
            </w:r>
            <w:r w:rsidRPr="0018621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18621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480" w:type="dxa"/>
            <w:shd w:val="clear" w:color="auto" w:fill="auto"/>
          </w:tcPr>
          <w:p w14:paraId="1424E59C" w14:textId="689875DB" w:rsidR="005173E0" w:rsidRPr="0018621D" w:rsidRDefault="0018621D" w:rsidP="005173E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621D">
              <w:rPr>
                <w:rFonts w:ascii="Arial" w:hAnsi="Arial" w:cs="Arial"/>
                <w:b/>
                <w:sz w:val="20"/>
                <w:szCs w:val="20"/>
              </w:rPr>
              <w:t>Tel: 0131 475 3000</w:t>
            </w:r>
          </w:p>
        </w:tc>
      </w:tr>
      <w:tr w:rsidR="0018621D" w:rsidRPr="0018621D" w14:paraId="53FA6D07" w14:textId="77777777" w:rsidTr="005173E0">
        <w:tc>
          <w:tcPr>
            <w:tcW w:w="7304" w:type="dxa"/>
            <w:shd w:val="clear" w:color="auto" w:fill="auto"/>
          </w:tcPr>
          <w:p w14:paraId="3AB8B9C8" w14:textId="77777777" w:rsidR="0018621D" w:rsidRPr="0018621D" w:rsidRDefault="0018621D" w:rsidP="005173E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5BBBF031" w14:textId="77777777" w:rsidR="0018621D" w:rsidRPr="0018621D" w:rsidRDefault="0018621D" w:rsidP="005173E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21D" w:rsidRPr="0018621D" w14:paraId="7A0C839C" w14:textId="77777777" w:rsidTr="005173E0">
        <w:tc>
          <w:tcPr>
            <w:tcW w:w="7304" w:type="dxa"/>
            <w:shd w:val="clear" w:color="auto" w:fill="auto"/>
          </w:tcPr>
          <w:p w14:paraId="49358E98" w14:textId="77777777" w:rsidR="0018621D" w:rsidRPr="0018621D" w:rsidRDefault="0018621D" w:rsidP="00517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21D">
              <w:rPr>
                <w:rFonts w:ascii="Arial" w:hAnsi="Arial" w:cs="Arial"/>
                <w:sz w:val="20"/>
                <w:szCs w:val="20"/>
              </w:rPr>
              <w:t>Patrick Handley, David Litterick</w:t>
            </w:r>
          </w:p>
          <w:p w14:paraId="26AC2A06" w14:textId="77777777" w:rsidR="0018621D" w:rsidRPr="0018621D" w:rsidRDefault="0018621D" w:rsidP="00517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621D">
              <w:rPr>
                <w:rFonts w:ascii="Arial" w:hAnsi="Arial" w:cs="Arial"/>
                <w:sz w:val="20"/>
                <w:szCs w:val="20"/>
              </w:rPr>
              <w:t>Brunswick Group LLP</w:t>
            </w:r>
          </w:p>
          <w:p w14:paraId="35D4E2A0" w14:textId="77777777" w:rsidR="0018621D" w:rsidRPr="0018621D" w:rsidRDefault="0018621D" w:rsidP="005173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 w14:paraId="4306E1AD" w14:textId="77777777" w:rsidR="0018621D" w:rsidRPr="0018621D" w:rsidRDefault="0018621D" w:rsidP="005173E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621D">
              <w:rPr>
                <w:rFonts w:ascii="Arial" w:hAnsi="Arial" w:cs="Arial"/>
                <w:b/>
                <w:sz w:val="20"/>
                <w:szCs w:val="20"/>
              </w:rPr>
              <w:t>Tel: 0207 404 5959</w:t>
            </w:r>
          </w:p>
        </w:tc>
      </w:tr>
    </w:tbl>
    <w:p w14:paraId="4D21E8BD" w14:textId="77777777" w:rsidR="0018621D" w:rsidRPr="0018621D" w:rsidRDefault="0018621D" w:rsidP="0018621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14:paraId="28EA783F" w14:textId="77777777" w:rsidR="0018621D" w:rsidRPr="0018621D" w:rsidRDefault="0018621D" w:rsidP="0018621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14:paraId="4613DDB5" w14:textId="77777777" w:rsidR="0018621D" w:rsidRPr="0018621D" w:rsidRDefault="0018621D" w:rsidP="0018621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14:paraId="032D33E9" w14:textId="77777777" w:rsidR="0018621D" w:rsidRPr="0018621D" w:rsidRDefault="0018621D" w:rsidP="0018621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18621D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About Capricorn Energy PLC</w:t>
      </w:r>
    </w:p>
    <w:p w14:paraId="782D2C3C" w14:textId="4D44912D" w:rsidR="0018621D" w:rsidRPr="0018621D" w:rsidRDefault="0018621D" w:rsidP="001862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>Capricorn is one of Europe's leading independent energy companies. The company has explored</w:t>
      </w:r>
      <w:r w:rsidR="00784B9A">
        <w:rPr>
          <w:rFonts w:ascii="Arial" w:hAnsi="Arial" w:cs="Arial"/>
          <w:color w:val="000000"/>
          <w:sz w:val="20"/>
          <w:szCs w:val="20"/>
          <w:lang w:eastAsia="en-US"/>
        </w:rPr>
        <w:t xml:space="preserve"> for</w:t>
      </w:r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 xml:space="preserve">, discovered, </w:t>
      </w:r>
      <w:proofErr w:type="gramStart"/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>developed</w:t>
      </w:r>
      <w:proofErr w:type="gramEnd"/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 xml:space="preserve"> and produced oil and gas in a variety of locations throughout the world as an operator and partner in all stages of the oil and gas lifecycle.</w:t>
      </w:r>
    </w:p>
    <w:p w14:paraId="7806FBA6" w14:textId="77777777" w:rsidR="0018621D" w:rsidRPr="0018621D" w:rsidRDefault="0018621D" w:rsidP="001862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66EB58CB" w14:textId="18246BEB" w:rsidR="009D70A0" w:rsidRDefault="0018621D" w:rsidP="001862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 xml:space="preserve">Our </w:t>
      </w:r>
      <w:r w:rsidR="009D70A0">
        <w:rPr>
          <w:rFonts w:ascii="Arial" w:hAnsi="Arial" w:cs="Arial"/>
          <w:color w:val="000000"/>
          <w:sz w:val="20"/>
          <w:szCs w:val="20"/>
          <w:lang w:eastAsia="en-US"/>
        </w:rPr>
        <w:t xml:space="preserve">production, development and exploration activity </w:t>
      </w:r>
      <w:proofErr w:type="gramStart"/>
      <w:r w:rsidR="009D70A0">
        <w:rPr>
          <w:rFonts w:ascii="Arial" w:hAnsi="Arial" w:cs="Arial"/>
          <w:color w:val="000000"/>
          <w:sz w:val="20"/>
          <w:szCs w:val="20"/>
          <w:lang w:eastAsia="en-US"/>
        </w:rPr>
        <w:t>is</w:t>
      </w:r>
      <w:proofErr w:type="gramEnd"/>
      <w:r w:rsidR="009D70A0">
        <w:rPr>
          <w:rFonts w:ascii="Arial" w:hAnsi="Arial" w:cs="Arial"/>
          <w:color w:val="000000"/>
          <w:sz w:val="20"/>
          <w:szCs w:val="20"/>
          <w:lang w:eastAsia="en-US"/>
        </w:rPr>
        <w:t xml:space="preserve"> focused on Egypt, with further expl</w:t>
      </w:r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>oration activities</w:t>
      </w:r>
      <w:r w:rsidR="009D70A0">
        <w:rPr>
          <w:rFonts w:ascii="Arial" w:hAnsi="Arial" w:cs="Arial"/>
          <w:color w:val="000000"/>
          <w:sz w:val="20"/>
          <w:szCs w:val="20"/>
          <w:lang w:eastAsia="en-US"/>
        </w:rPr>
        <w:t xml:space="preserve"> in the </w:t>
      </w:r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>UK North Sea, West Africa and Latin America</w:t>
      </w:r>
      <w:r w:rsidR="009D70A0">
        <w:rPr>
          <w:rFonts w:ascii="Arial" w:hAnsi="Arial" w:cs="Arial"/>
          <w:color w:val="000000"/>
          <w:sz w:val="20"/>
          <w:szCs w:val="20"/>
          <w:lang w:eastAsia="en-US"/>
        </w:rPr>
        <w:t>.</w:t>
      </w:r>
      <w:r w:rsidR="003E16F8">
        <w:rPr>
          <w:rFonts w:ascii="Arial" w:hAnsi="Arial" w:cs="Arial"/>
          <w:color w:val="000000"/>
          <w:sz w:val="20"/>
          <w:szCs w:val="20"/>
          <w:lang w:eastAsia="en-US"/>
        </w:rPr>
        <w:t xml:space="preserve"> The company is </w:t>
      </w:r>
      <w:r w:rsidR="0007429A">
        <w:rPr>
          <w:rFonts w:ascii="Arial" w:hAnsi="Arial" w:cs="Arial"/>
          <w:color w:val="000000"/>
          <w:sz w:val="20"/>
          <w:szCs w:val="20"/>
          <w:lang w:eastAsia="en-US"/>
        </w:rPr>
        <w:t xml:space="preserve">currently </w:t>
      </w:r>
      <w:r w:rsidR="009D70A0">
        <w:rPr>
          <w:rFonts w:ascii="Arial" w:hAnsi="Arial" w:cs="Arial"/>
          <w:color w:val="000000"/>
          <w:sz w:val="20"/>
          <w:szCs w:val="20"/>
          <w:lang w:eastAsia="en-US"/>
        </w:rPr>
        <w:t>focused on using its strong balance sheet to pursue value accretive acquisitions of production assets</w:t>
      </w:r>
      <w:r w:rsidR="0007429A">
        <w:rPr>
          <w:rFonts w:ascii="Arial" w:hAnsi="Arial" w:cs="Arial"/>
          <w:color w:val="000000"/>
          <w:sz w:val="20"/>
          <w:szCs w:val="20"/>
          <w:lang w:eastAsia="en-US"/>
        </w:rPr>
        <w:t xml:space="preserve"> with attractive growth potential</w:t>
      </w:r>
      <w:r w:rsidR="009D70A0">
        <w:rPr>
          <w:rFonts w:ascii="Arial" w:hAnsi="Arial" w:cs="Arial"/>
          <w:color w:val="000000"/>
          <w:sz w:val="20"/>
          <w:szCs w:val="20"/>
          <w:lang w:eastAsia="en-US"/>
        </w:rPr>
        <w:t xml:space="preserve">.  </w:t>
      </w:r>
    </w:p>
    <w:p w14:paraId="1DB6CB35" w14:textId="77777777" w:rsidR="009D70A0" w:rsidRDefault="009D70A0" w:rsidP="001862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EF0F7D4" w14:textId="6DBA435A" w:rsidR="0018621D" w:rsidRPr="0018621D" w:rsidRDefault="0018621D" w:rsidP="001862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 xml:space="preserve">Capricorn has its headquarters in Edinburgh, Scotland supported by operational offices in London, Mexico, </w:t>
      </w:r>
      <w:proofErr w:type="gramStart"/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>Egypt</w:t>
      </w:r>
      <w:proofErr w:type="gramEnd"/>
      <w:r w:rsidRPr="0018621D">
        <w:rPr>
          <w:rFonts w:ascii="Arial" w:hAnsi="Arial" w:cs="Arial"/>
          <w:color w:val="000000"/>
          <w:sz w:val="20"/>
          <w:szCs w:val="20"/>
          <w:lang w:eastAsia="en-US"/>
        </w:rPr>
        <w:t xml:space="preserve"> and Mauritania.</w:t>
      </w:r>
    </w:p>
    <w:p w14:paraId="3D6068D7" w14:textId="77777777" w:rsidR="0018621D" w:rsidRPr="0018621D" w:rsidRDefault="0018621D" w:rsidP="0018621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4E652F" w14:textId="4FC8A0D8" w:rsidR="0018621D" w:rsidRPr="0018621D" w:rsidRDefault="0018621D" w:rsidP="00855B45">
      <w:pPr>
        <w:spacing w:line="360" w:lineRule="auto"/>
        <w:ind w:right="33"/>
        <w:jc w:val="both"/>
        <w:rPr>
          <w:rFonts w:ascii="Arial" w:hAnsi="Arial" w:cs="Arial"/>
        </w:rPr>
      </w:pPr>
      <w:r w:rsidRPr="0018621D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For further information on Capricorn please see: </w:t>
      </w:r>
      <w:r w:rsidR="00855B45">
        <w:rPr>
          <w:rFonts w:ascii="Arial" w:hAnsi="Arial" w:cs="Arial"/>
          <w:b/>
          <w:color w:val="000000"/>
          <w:sz w:val="20"/>
          <w:szCs w:val="20"/>
          <w:lang w:eastAsia="en-US"/>
        </w:rPr>
        <w:t>www.capricornenergy.com</w:t>
      </w:r>
    </w:p>
    <w:p w14:paraId="6935BF2B" w14:textId="4DF3BDE5" w:rsidR="0018621D" w:rsidRPr="0018621D" w:rsidRDefault="0018621D" w:rsidP="0018621D">
      <w:pPr>
        <w:rPr>
          <w:rFonts w:ascii="Arial" w:hAnsi="Arial" w:cs="Arial"/>
        </w:rPr>
      </w:pPr>
    </w:p>
    <w:p w14:paraId="1AC8DBE7" w14:textId="26A8DB00" w:rsidR="0018621D" w:rsidRPr="0018621D" w:rsidRDefault="0018621D" w:rsidP="0018621D">
      <w:pPr>
        <w:rPr>
          <w:rFonts w:ascii="Arial" w:hAnsi="Arial" w:cs="Arial"/>
        </w:rPr>
      </w:pPr>
    </w:p>
    <w:p w14:paraId="36E65DAD" w14:textId="3EA4850C" w:rsidR="0018621D" w:rsidRPr="0018621D" w:rsidRDefault="0018621D" w:rsidP="0018621D">
      <w:pPr>
        <w:rPr>
          <w:rFonts w:ascii="Arial" w:hAnsi="Arial" w:cs="Arial"/>
        </w:rPr>
      </w:pPr>
    </w:p>
    <w:p w14:paraId="4890F6F9" w14:textId="7C5F9195" w:rsidR="0018621D" w:rsidRPr="0018621D" w:rsidRDefault="0018621D" w:rsidP="0018621D">
      <w:pPr>
        <w:rPr>
          <w:rFonts w:ascii="Arial" w:hAnsi="Arial" w:cs="Arial"/>
        </w:rPr>
      </w:pPr>
    </w:p>
    <w:p w14:paraId="79610D3E" w14:textId="77777777" w:rsidR="0018621D" w:rsidRPr="0018621D" w:rsidRDefault="0018621D" w:rsidP="0018621D">
      <w:pPr>
        <w:rPr>
          <w:rFonts w:ascii="Arial" w:hAnsi="Arial" w:cs="Arial"/>
        </w:rPr>
      </w:pPr>
    </w:p>
    <w:sectPr w:rsidR="0018621D" w:rsidRPr="0018621D" w:rsidSect="00186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246B" w14:textId="77777777" w:rsidR="00DC54AA" w:rsidRDefault="00DC54AA" w:rsidP="0070523D">
      <w:r>
        <w:separator/>
      </w:r>
    </w:p>
    <w:p w14:paraId="07559619" w14:textId="77777777" w:rsidR="00F65995" w:rsidRDefault="00F65995"/>
  </w:endnote>
  <w:endnote w:type="continuationSeparator" w:id="0">
    <w:p w14:paraId="194E1DCB" w14:textId="77777777" w:rsidR="00DC54AA" w:rsidRDefault="00DC54AA" w:rsidP="0070523D">
      <w:r>
        <w:continuationSeparator/>
      </w:r>
    </w:p>
    <w:p w14:paraId="5FFA7E28" w14:textId="77777777" w:rsidR="00F65995" w:rsidRDefault="00F65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ECBC" w14:textId="77777777" w:rsidR="006A78ED" w:rsidRDefault="006A78ED">
    <w:pPr>
      <w:pStyle w:val="Footer"/>
    </w:pPr>
  </w:p>
  <w:p w14:paraId="523ACE31" w14:textId="77777777" w:rsidR="00F65995" w:rsidRDefault="00F659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5B11" w14:textId="77777777" w:rsidR="009676A8" w:rsidRDefault="00967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5098" w14:textId="77777777" w:rsidR="009676A8" w:rsidRDefault="0096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72DF" w14:textId="77777777" w:rsidR="00DC54AA" w:rsidRDefault="00DC54AA" w:rsidP="0070523D">
      <w:r>
        <w:separator/>
      </w:r>
    </w:p>
    <w:p w14:paraId="7A5FD3CE" w14:textId="77777777" w:rsidR="00F65995" w:rsidRDefault="00F65995"/>
  </w:footnote>
  <w:footnote w:type="continuationSeparator" w:id="0">
    <w:p w14:paraId="7A4ABF56" w14:textId="77777777" w:rsidR="00DC54AA" w:rsidRDefault="00DC54AA" w:rsidP="0070523D">
      <w:r>
        <w:continuationSeparator/>
      </w:r>
    </w:p>
    <w:p w14:paraId="5EFC4CB2" w14:textId="77777777" w:rsidR="00F65995" w:rsidRDefault="00F65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73E7" w14:textId="77777777" w:rsidR="006A78ED" w:rsidRDefault="006A78ED">
    <w:pPr>
      <w:pStyle w:val="Header"/>
    </w:pPr>
  </w:p>
  <w:p w14:paraId="268411BB" w14:textId="77777777" w:rsidR="00F65995" w:rsidRDefault="00F659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E60A" w14:textId="77777777" w:rsidR="009676A8" w:rsidRDefault="009676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7675" w14:textId="18C8E060" w:rsidR="0070523D" w:rsidRDefault="004C5479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  <w:r w:rsidRPr="00A77BFF">
      <w:rPr>
        <w:rFonts w:ascii="Arial" w:hAnsi="Arial" w:cs="Arial"/>
        <w:noProof/>
        <w:szCs w:val="20"/>
      </w:rPr>
      <w:drawing>
        <wp:anchor distT="0" distB="0" distL="114300" distR="114300" simplePos="0" relativeHeight="251658240" behindDoc="0" locked="0" layoutInCell="1" allowOverlap="1" wp14:anchorId="0A29C2BA" wp14:editId="0D1407AB">
          <wp:simplePos x="0" y="0"/>
          <wp:positionH relativeFrom="margin">
            <wp:align>right</wp:align>
          </wp:positionH>
          <wp:positionV relativeFrom="insideMargin">
            <wp:align>center</wp:align>
          </wp:positionV>
          <wp:extent cx="1018800" cy="835200"/>
          <wp:effectExtent l="0" t="0" r="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83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47D64" w14:textId="5D5B6036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1586CD43" w14:textId="6F7D4E6A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353638DC" w14:textId="7C302F9A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5F9F256C" w14:textId="776B9173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74B7D439" w14:textId="4B557AD4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2955F50D" w14:textId="61A6CBFD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56EC81B3" w14:textId="4A38933B" w:rsidR="0018621D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  <w:p w14:paraId="77752B27" w14:textId="77777777" w:rsidR="0018621D" w:rsidRPr="00011916" w:rsidRDefault="0018621D" w:rsidP="0018621D">
    <w:pPr>
      <w:tabs>
        <w:tab w:val="left" w:pos="2550"/>
        <w:tab w:val="right" w:pos="9026"/>
      </w:tabs>
      <w:rPr>
        <w:rFonts w:ascii="Arial" w:hAnsi="Arial" w:cs="Arial"/>
        <w:color w:val="251B5B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3D"/>
    <w:rsid w:val="00011916"/>
    <w:rsid w:val="0007429A"/>
    <w:rsid w:val="000F3B3B"/>
    <w:rsid w:val="0018621D"/>
    <w:rsid w:val="001D066E"/>
    <w:rsid w:val="00284663"/>
    <w:rsid w:val="002E2D11"/>
    <w:rsid w:val="003A276B"/>
    <w:rsid w:val="003A2D15"/>
    <w:rsid w:val="003E16F8"/>
    <w:rsid w:val="004A7E41"/>
    <w:rsid w:val="004C5479"/>
    <w:rsid w:val="005173E0"/>
    <w:rsid w:val="00546A0B"/>
    <w:rsid w:val="00625D20"/>
    <w:rsid w:val="006A78ED"/>
    <w:rsid w:val="006B7F26"/>
    <w:rsid w:val="006C591A"/>
    <w:rsid w:val="006E3AA7"/>
    <w:rsid w:val="0070523D"/>
    <w:rsid w:val="007507EE"/>
    <w:rsid w:val="00784B9A"/>
    <w:rsid w:val="00855B45"/>
    <w:rsid w:val="00947006"/>
    <w:rsid w:val="009676A8"/>
    <w:rsid w:val="009D70A0"/>
    <w:rsid w:val="00A37F3E"/>
    <w:rsid w:val="00A77BFF"/>
    <w:rsid w:val="00AB651A"/>
    <w:rsid w:val="00BF5D0F"/>
    <w:rsid w:val="00C52195"/>
    <w:rsid w:val="00D643DC"/>
    <w:rsid w:val="00DC54AA"/>
    <w:rsid w:val="00EA7DB9"/>
    <w:rsid w:val="00F65995"/>
    <w:rsid w:val="00F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F6642"/>
  <w15:chartTrackingRefBased/>
  <w15:docId w15:val="{D5D34365-EFEE-4781-8662-D2492730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B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11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23D"/>
  </w:style>
  <w:style w:type="paragraph" w:styleId="Footer">
    <w:name w:val="footer"/>
    <w:basedOn w:val="Normal"/>
    <w:link w:val="FooterChar"/>
    <w:uiPriority w:val="99"/>
    <w:unhideWhenUsed/>
    <w:rsid w:val="007052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23D"/>
  </w:style>
  <w:style w:type="character" w:customStyle="1" w:styleId="Heading2Char">
    <w:name w:val="Heading 2 Char"/>
    <w:basedOn w:val="DefaultParagraphFont"/>
    <w:link w:val="Heading2"/>
    <w:uiPriority w:val="9"/>
    <w:rsid w:val="0001191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191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1191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55B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50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2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7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01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83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Sumner</dc:creator>
  <cp:keywords/>
  <dc:description/>
  <cp:lastModifiedBy>Jonathan Milne</cp:lastModifiedBy>
  <cp:revision>2</cp:revision>
  <cp:lastPrinted>2021-11-15T12:24:00Z</cp:lastPrinted>
  <dcterms:created xsi:type="dcterms:W3CDTF">2021-12-08T09:39:00Z</dcterms:created>
  <dcterms:modified xsi:type="dcterms:W3CDTF">2021-12-08T09:39:00Z</dcterms:modified>
</cp:coreProperties>
</file>