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68D3D" w14:textId="77777777" w:rsidR="00466003" w:rsidRDefault="00466003" w:rsidP="00466003"/>
    <w:p w14:paraId="5675137B" w14:textId="77777777" w:rsidR="00466003" w:rsidRDefault="00466003" w:rsidP="00466003"/>
    <w:p w14:paraId="647949F8" w14:textId="77777777" w:rsidR="00466003" w:rsidRDefault="00466003" w:rsidP="00466003"/>
    <w:p w14:paraId="1C17ABB4" w14:textId="77777777" w:rsidR="00466003" w:rsidRDefault="00466003" w:rsidP="00466003"/>
    <w:p w14:paraId="5322CE7D" w14:textId="77777777" w:rsidR="00466003" w:rsidRDefault="00466003" w:rsidP="00466003"/>
    <w:p w14:paraId="795870CA" w14:textId="77777777" w:rsidR="00466003" w:rsidRDefault="00466003" w:rsidP="00466003"/>
    <w:p w14:paraId="50EBFE5A" w14:textId="77777777" w:rsidR="00466003" w:rsidRDefault="00466003" w:rsidP="00466003"/>
    <w:p w14:paraId="08899E09" w14:textId="77777777" w:rsidR="00466003" w:rsidRDefault="00466003" w:rsidP="00466003"/>
    <w:p w14:paraId="228082DB" w14:textId="77777777" w:rsidR="00466003" w:rsidRDefault="00466003" w:rsidP="00466003"/>
    <w:tbl>
      <w:tblPr>
        <w:tblStyle w:val="TableGrid"/>
        <w:tblpPr w:leftFromText="180" w:rightFromText="180" w:vertAnchor="text" w:horzAnchor="margin" w:tblpXSpec="center" w:tblpY="498"/>
        <w:tblW w:w="0" w:type="auto"/>
        <w:tblLook w:val="04A0" w:firstRow="1" w:lastRow="0" w:firstColumn="1" w:lastColumn="0" w:noHBand="0" w:noVBand="1"/>
      </w:tblPr>
      <w:tblGrid>
        <w:gridCol w:w="5448"/>
      </w:tblGrid>
      <w:tr w:rsidR="00466003" w:rsidRPr="00E734EE" w14:paraId="28D90CED" w14:textId="77777777" w:rsidTr="00AD480A">
        <w:tc>
          <w:tcPr>
            <w:tcW w:w="5448" w:type="dxa"/>
            <w:shd w:val="clear" w:color="auto" w:fill="70AD47" w:themeFill="accent6"/>
          </w:tcPr>
          <w:p w14:paraId="3728DF41" w14:textId="77777777" w:rsidR="00466003" w:rsidRPr="00E734EE" w:rsidRDefault="00466003" w:rsidP="00AD480A">
            <w:pPr>
              <w:keepNext/>
              <w:keepLines/>
              <w:spacing w:before="40"/>
              <w:outlineLvl w:val="1"/>
              <w:rPr>
                <w:rFonts w:eastAsiaTheme="majorEastAsia" w:cstheme="majorBidi"/>
                <w:b/>
                <w:bCs/>
                <w:sz w:val="36"/>
                <w:szCs w:val="36"/>
              </w:rPr>
            </w:pPr>
            <w:r w:rsidRPr="00E734EE">
              <w:rPr>
                <w:rFonts w:eastAsiaTheme="majorEastAsia" w:cstheme="majorBidi"/>
                <w:b/>
                <w:bCs/>
                <w:sz w:val="36"/>
                <w:szCs w:val="36"/>
              </w:rPr>
              <w:t>PARAGON BANKING GROUP PLC</w:t>
            </w:r>
          </w:p>
          <w:p w14:paraId="36099655" w14:textId="77777777" w:rsidR="00466003" w:rsidRPr="00E734EE" w:rsidRDefault="00466003" w:rsidP="00AD480A">
            <w:pPr>
              <w:rPr>
                <w:rFonts w:eastAsia="Times New Roman" w:cs="Times New Roman"/>
                <w:b/>
                <w:color w:val="FFFFFF" w:themeColor="background1"/>
                <w:sz w:val="36"/>
                <w:szCs w:val="36"/>
              </w:rPr>
            </w:pPr>
          </w:p>
        </w:tc>
      </w:tr>
      <w:tr w:rsidR="00466003" w:rsidRPr="00E734EE" w14:paraId="1741CE1C" w14:textId="77777777" w:rsidTr="00AD480A">
        <w:tc>
          <w:tcPr>
            <w:tcW w:w="5448" w:type="dxa"/>
            <w:shd w:val="clear" w:color="auto" w:fill="A8D08D" w:themeFill="accent6" w:themeFillTint="99"/>
          </w:tcPr>
          <w:p w14:paraId="29D1B5F8" w14:textId="0BE92E36" w:rsidR="00466003" w:rsidRPr="00E734EE" w:rsidRDefault="00466003" w:rsidP="00AD480A">
            <w:pPr>
              <w:keepNext/>
              <w:keepLines/>
              <w:spacing w:before="40"/>
              <w:outlineLvl w:val="1"/>
              <w:rPr>
                <w:rFonts w:eastAsiaTheme="majorEastAsia" w:cstheme="majorBidi"/>
                <w:b/>
                <w:bCs/>
                <w:sz w:val="32"/>
                <w:szCs w:val="32"/>
              </w:rPr>
            </w:pPr>
            <w:r w:rsidRPr="00E734EE">
              <w:rPr>
                <w:rFonts w:eastAsiaTheme="majorEastAsia" w:cstheme="majorBidi"/>
                <w:b/>
                <w:bCs/>
                <w:sz w:val="32"/>
                <w:szCs w:val="32"/>
              </w:rPr>
              <w:t xml:space="preserve">Half Year </w:t>
            </w:r>
            <w:r>
              <w:rPr>
                <w:rFonts w:eastAsiaTheme="majorEastAsia" w:cstheme="majorBidi"/>
                <w:b/>
                <w:bCs/>
                <w:sz w:val="32"/>
                <w:szCs w:val="32"/>
              </w:rPr>
              <w:t>Pillar 3 Disclosures</w:t>
            </w:r>
          </w:p>
          <w:p w14:paraId="6D3EA4B6" w14:textId="77777777" w:rsidR="00466003" w:rsidRPr="00E734EE" w:rsidRDefault="00466003" w:rsidP="00AD480A">
            <w:pPr>
              <w:rPr>
                <w:rFonts w:eastAsia="Times New Roman" w:cs="Times New Roman"/>
                <w:b/>
                <w:sz w:val="32"/>
                <w:szCs w:val="20"/>
              </w:rPr>
            </w:pPr>
          </w:p>
        </w:tc>
      </w:tr>
      <w:tr w:rsidR="00466003" w:rsidRPr="00E734EE" w14:paraId="06C56893" w14:textId="77777777" w:rsidTr="00AD480A">
        <w:trPr>
          <w:trHeight w:val="1079"/>
        </w:trPr>
        <w:tc>
          <w:tcPr>
            <w:tcW w:w="5448" w:type="dxa"/>
          </w:tcPr>
          <w:p w14:paraId="528CC28A" w14:textId="3AEACFF4" w:rsidR="00466003" w:rsidRPr="00E734EE" w:rsidRDefault="00466003" w:rsidP="00AD480A">
            <w:pPr>
              <w:tabs>
                <w:tab w:val="center" w:pos="4513"/>
                <w:tab w:val="right" w:pos="9026"/>
              </w:tabs>
              <w:spacing w:before="40"/>
              <w:rPr>
                <w:rFonts w:eastAsia="Times New Roman" w:cs="Times New Roman"/>
                <w:sz w:val="28"/>
                <w:szCs w:val="28"/>
              </w:rPr>
            </w:pPr>
            <w:r w:rsidRPr="00E734EE">
              <w:rPr>
                <w:rFonts w:eastAsia="Times New Roman" w:cs="Times New Roman"/>
                <w:sz w:val="28"/>
                <w:szCs w:val="28"/>
              </w:rPr>
              <w:t>For the six months ended 31 March 202</w:t>
            </w:r>
            <w:r w:rsidR="00E61279">
              <w:rPr>
                <w:rFonts w:eastAsia="Times New Roman" w:cs="Times New Roman"/>
                <w:sz w:val="28"/>
                <w:szCs w:val="28"/>
              </w:rPr>
              <w:t>4</w:t>
            </w:r>
          </w:p>
          <w:p w14:paraId="7D101513" w14:textId="77777777" w:rsidR="00466003" w:rsidRPr="00E734EE" w:rsidRDefault="00466003" w:rsidP="00AD480A">
            <w:pPr>
              <w:tabs>
                <w:tab w:val="center" w:pos="4513"/>
                <w:tab w:val="right" w:pos="9026"/>
              </w:tabs>
              <w:rPr>
                <w:rFonts w:eastAsia="Times New Roman" w:cs="Times New Roman"/>
                <w:sz w:val="28"/>
                <w:szCs w:val="28"/>
              </w:rPr>
            </w:pPr>
          </w:p>
          <w:p w14:paraId="6D057E26" w14:textId="77777777" w:rsidR="00466003" w:rsidRPr="00E734EE" w:rsidRDefault="00466003" w:rsidP="00AD480A">
            <w:pPr>
              <w:tabs>
                <w:tab w:val="center" w:pos="4513"/>
                <w:tab w:val="right" w:pos="9026"/>
              </w:tabs>
              <w:rPr>
                <w:rFonts w:eastAsia="Times New Roman" w:cs="Times New Roman"/>
                <w:sz w:val="28"/>
                <w:szCs w:val="28"/>
              </w:rPr>
            </w:pPr>
          </w:p>
        </w:tc>
      </w:tr>
    </w:tbl>
    <w:p w14:paraId="5E49911D" w14:textId="77777777" w:rsidR="00466003" w:rsidRDefault="00466003" w:rsidP="00466003"/>
    <w:p w14:paraId="4750EAD7" w14:textId="77777777" w:rsidR="00466003" w:rsidRPr="00362CB5" w:rsidRDefault="00466003" w:rsidP="00466003"/>
    <w:p w14:paraId="064E03C4" w14:textId="77777777" w:rsidR="00466003" w:rsidRPr="00362CB5" w:rsidRDefault="00466003" w:rsidP="00466003"/>
    <w:p w14:paraId="79F31884" w14:textId="77777777" w:rsidR="00466003" w:rsidRPr="00362CB5" w:rsidRDefault="00466003" w:rsidP="00466003"/>
    <w:p w14:paraId="7E00877F" w14:textId="77777777" w:rsidR="00466003" w:rsidRPr="00362CB5" w:rsidRDefault="00466003" w:rsidP="00466003"/>
    <w:p w14:paraId="755B039A" w14:textId="77777777" w:rsidR="00466003" w:rsidRPr="00362CB5" w:rsidRDefault="00466003" w:rsidP="00466003"/>
    <w:p w14:paraId="3FA61D83" w14:textId="77777777" w:rsidR="00466003" w:rsidRPr="00362CB5" w:rsidRDefault="00466003" w:rsidP="00466003"/>
    <w:p w14:paraId="62C6FA16" w14:textId="77777777" w:rsidR="00466003" w:rsidRPr="00362CB5" w:rsidRDefault="00466003" w:rsidP="00466003"/>
    <w:p w14:paraId="0675137C" w14:textId="77777777" w:rsidR="00466003" w:rsidRPr="00362CB5" w:rsidRDefault="00466003" w:rsidP="00466003"/>
    <w:p w14:paraId="54792854" w14:textId="77777777" w:rsidR="00466003" w:rsidRPr="00362CB5" w:rsidRDefault="00466003" w:rsidP="00466003"/>
    <w:p w14:paraId="470D05C4" w14:textId="77777777" w:rsidR="00466003" w:rsidRPr="00362CB5" w:rsidRDefault="00466003" w:rsidP="00466003"/>
    <w:p w14:paraId="59A31594" w14:textId="77777777" w:rsidR="00466003" w:rsidRDefault="00466003" w:rsidP="00466003"/>
    <w:p w14:paraId="607FC5C0" w14:textId="77777777" w:rsidR="00466003" w:rsidRDefault="00466003" w:rsidP="00466003">
      <w:pPr>
        <w:tabs>
          <w:tab w:val="left" w:pos="1800"/>
        </w:tabs>
      </w:pPr>
      <w:r>
        <w:tab/>
      </w:r>
    </w:p>
    <w:p w14:paraId="291761F3" w14:textId="78916ED1" w:rsidR="00B23C9D" w:rsidRDefault="00B23C9D"/>
    <w:p w14:paraId="512F3109" w14:textId="77777777" w:rsidR="00466003" w:rsidRDefault="00466003">
      <w:pPr>
        <w:sectPr w:rsidR="00466003" w:rsidSect="00A60C7D">
          <w:footerReference w:type="default" r:id="rId6"/>
          <w:pgSz w:w="11906" w:h="16838"/>
          <w:pgMar w:top="1440" w:right="1440" w:bottom="1440" w:left="1440" w:header="708" w:footer="708" w:gutter="0"/>
          <w:cols w:space="708"/>
          <w:docGrid w:linePitch="360"/>
        </w:sectPr>
      </w:pPr>
    </w:p>
    <w:p w14:paraId="7E553DC9" w14:textId="12B941B5" w:rsidR="00466003" w:rsidRPr="00466003" w:rsidRDefault="00466003">
      <w:pPr>
        <w:rPr>
          <w:b/>
          <w:bCs/>
          <w:color w:val="00B050"/>
          <w:sz w:val="28"/>
          <w:szCs w:val="28"/>
        </w:rPr>
      </w:pPr>
      <w:r w:rsidRPr="00466003">
        <w:rPr>
          <w:b/>
          <w:bCs/>
          <w:color w:val="00B050"/>
          <w:sz w:val="28"/>
          <w:szCs w:val="28"/>
        </w:rPr>
        <w:lastRenderedPageBreak/>
        <w:t>Introduction</w:t>
      </w:r>
    </w:p>
    <w:p w14:paraId="00B756D2" w14:textId="3260486F" w:rsidR="00466003" w:rsidRDefault="00466003" w:rsidP="00466003">
      <w:pPr>
        <w:jc w:val="both"/>
      </w:pPr>
      <w:r>
        <w:t xml:space="preserve">As a UK banking group regulated by the Prudential Regulation Authority (‘PRA’), Paragon Banking Group PLC is required to make half yearly disclosures of key metrics related to the capital and liquidity position of the accounting group of companies which it heads (‘the Group’) by the Disclosure </w:t>
      </w:r>
      <w:r w:rsidR="00091EDE">
        <w:t xml:space="preserve">(CRR) </w:t>
      </w:r>
      <w:r>
        <w:t>Part of the PRA Rulebook</w:t>
      </w:r>
      <w:r w:rsidR="00AE0122">
        <w:t xml:space="preserve"> (</w:t>
      </w:r>
      <w:r w:rsidR="00887BBA">
        <w:t>‘</w:t>
      </w:r>
      <w:r w:rsidR="00AE0122">
        <w:t>the Rulebook’)</w:t>
      </w:r>
      <w:r>
        <w:t>.</w:t>
      </w:r>
    </w:p>
    <w:p w14:paraId="17E43043" w14:textId="4D3A913D" w:rsidR="00BC3F5A" w:rsidRDefault="00BC3F5A" w:rsidP="00466003">
      <w:pPr>
        <w:jc w:val="both"/>
      </w:pPr>
      <w:r>
        <w:t xml:space="preserve">These disclosures were reviewed and approved by the directors of Paragon Banking Group PLC </w:t>
      </w:r>
      <w:r w:rsidR="00ED089F">
        <w:t xml:space="preserve">on </w:t>
      </w:r>
      <w:r w:rsidR="008A6483">
        <w:t>5</w:t>
      </w:r>
      <w:r w:rsidR="0082095A">
        <w:t> June 202</w:t>
      </w:r>
      <w:r w:rsidR="00E61279">
        <w:t>4</w:t>
      </w:r>
      <w:r>
        <w:t>.</w:t>
      </w:r>
    </w:p>
    <w:p w14:paraId="19ECAB85" w14:textId="77777777" w:rsidR="00BC3F5A" w:rsidRDefault="00BC3F5A" w:rsidP="00466003">
      <w:pPr>
        <w:jc w:val="both"/>
      </w:pPr>
    </w:p>
    <w:p w14:paraId="4F2E128C" w14:textId="12D74AD2" w:rsidR="00BC3F5A" w:rsidRPr="00466003" w:rsidRDefault="00BC3F5A" w:rsidP="00BC3F5A">
      <w:pPr>
        <w:rPr>
          <w:b/>
          <w:bCs/>
          <w:color w:val="00B050"/>
          <w:sz w:val="28"/>
          <w:szCs w:val="28"/>
        </w:rPr>
      </w:pPr>
      <w:r>
        <w:rPr>
          <w:b/>
          <w:bCs/>
          <w:color w:val="00B050"/>
          <w:sz w:val="28"/>
          <w:szCs w:val="28"/>
        </w:rPr>
        <w:t>Form and content of disclosures</w:t>
      </w:r>
    </w:p>
    <w:p w14:paraId="749D7D5F" w14:textId="45ABDA19" w:rsidR="00FE3C98" w:rsidRDefault="00FE3C98" w:rsidP="00466003">
      <w:pPr>
        <w:jc w:val="both"/>
      </w:pPr>
      <w:r>
        <w:t>The disclosures are provided for the Group as at 31 March 202</w:t>
      </w:r>
      <w:r w:rsidR="008A6483">
        <w:t>4</w:t>
      </w:r>
      <w:r>
        <w:t>, and the reporting currency is the pound sterling. The Group’s accounts are prepared in accordance with International Accounting Standards as adopted in the United Kingdom. The scope of disclosures includes all entities in the Group.</w:t>
      </w:r>
    </w:p>
    <w:p w14:paraId="2A173075" w14:textId="28C52CDB" w:rsidR="005A168C" w:rsidRDefault="005A168C" w:rsidP="00466003">
      <w:pPr>
        <w:jc w:val="both"/>
      </w:pPr>
      <w:r>
        <w:t xml:space="preserve">The Group does not qualify as a Large Institution, as defined by the Disclosure Part, </w:t>
      </w:r>
      <w:r w:rsidR="00466003">
        <w:t xml:space="preserve">having a balance sheet of less than €30.0 billion. </w:t>
      </w:r>
    </w:p>
    <w:p w14:paraId="0CA860E1" w14:textId="380D2987" w:rsidR="00F15698" w:rsidRDefault="0019062B" w:rsidP="00466003">
      <w:pPr>
        <w:jc w:val="both"/>
      </w:pPr>
      <w:r>
        <w:rPr>
          <w:rStyle w:val="ui-provider"/>
        </w:rPr>
        <w:t>The PRA has redefined the threshold for presenting detailed Pillar 3 information to exclude Small Domestic Deposit Takers (‘SDDTs’). The Group would currently meet the SDDT criteria, but this status requires a PRA waiver. The Group has not (so far) applied for such a waiver.</w:t>
      </w:r>
      <w:r w:rsidR="005A168C">
        <w:rPr>
          <w:rStyle w:val="ui-provider"/>
        </w:rPr>
        <w:t xml:space="preserve"> Its balance sheet also exceeds the grandfathered €5.0 billion threshold set in the previous version of the Rulebook for reduced disclosure.</w:t>
      </w:r>
    </w:p>
    <w:p w14:paraId="6D4B4201" w14:textId="4064CE6E" w:rsidR="005A168C" w:rsidRDefault="005A168C" w:rsidP="00466003">
      <w:pPr>
        <w:jc w:val="both"/>
      </w:pPr>
      <w:r>
        <w:t xml:space="preserve">The Group is therefore defined as an ‘Other Institution’ under these rules and its disclosure requirements are those set out in the Article 433c chapter of the Rulebook. For a half yearly report the requirement is for a table of key metrics. The disclosures </w:t>
      </w:r>
      <w:r w:rsidR="00E179B0">
        <w:t>must</w:t>
      </w:r>
      <w:r>
        <w:t xml:space="preserve"> be presented in accordance with the fixed template, template UK KM1 set out in the Rulebook. </w:t>
      </w:r>
    </w:p>
    <w:p w14:paraId="7BC2D1F6" w14:textId="6CF494AE" w:rsidR="00BC3F5A" w:rsidRDefault="00BC3F5A" w:rsidP="00466003">
      <w:pPr>
        <w:jc w:val="both"/>
      </w:pPr>
      <w:r>
        <w:t>In addition to the key metric template, ‘Other Institutions’ are required to g</w:t>
      </w:r>
      <w:r w:rsidR="00AE0122">
        <w:t>ive disclosures relating to own funds and eligible liabilities ratios, calculated in accordance with Articles 92a and 92b of the Rulebook.</w:t>
      </w:r>
      <w:r>
        <w:t xml:space="preserve"> </w:t>
      </w:r>
      <w:r w:rsidR="00E179B0">
        <w:t>However, t</w:t>
      </w:r>
      <w:r w:rsidR="00AE0122">
        <w:t>hese articles are not applicable to the Group and hence no such disclos</w:t>
      </w:r>
      <w:r w:rsidR="00887BBA">
        <w:t>ur</w:t>
      </w:r>
      <w:r w:rsidR="00AE0122">
        <w:t>es are given.</w:t>
      </w:r>
    </w:p>
    <w:p w14:paraId="60964181" w14:textId="06F42761" w:rsidR="00F15698" w:rsidRDefault="00FE3C98" w:rsidP="00466003">
      <w:pPr>
        <w:jc w:val="both"/>
      </w:pPr>
      <w:r>
        <w:t>T</w:t>
      </w:r>
      <w:r w:rsidR="00F15698">
        <w:t>he Group discusses its capital and liquidity position at 31 March 202</w:t>
      </w:r>
      <w:r w:rsidR="008A6483">
        <w:t>4</w:t>
      </w:r>
      <w:r w:rsidR="00F15698">
        <w:t xml:space="preserve"> in its half yearly report</w:t>
      </w:r>
      <w:r w:rsidR="00E179B0">
        <w:t>,</w:t>
      </w:r>
      <w:r w:rsidR="00F15698">
        <w:t xml:space="preserve"> which is available on </w:t>
      </w:r>
      <w:r w:rsidR="00E179B0">
        <w:t>the</w:t>
      </w:r>
      <w:r w:rsidR="00F15698">
        <w:t xml:space="preserve"> investor relations </w:t>
      </w:r>
      <w:r w:rsidR="00E179B0">
        <w:t xml:space="preserve">section of its corporate </w:t>
      </w:r>
      <w:r w:rsidR="00F15698">
        <w:t xml:space="preserve">website at </w:t>
      </w:r>
      <w:hyperlink r:id="rId7" w:history="1">
        <w:r w:rsidR="00F15698" w:rsidRPr="003D5E88">
          <w:rPr>
            <w:rStyle w:val="Hyperlink"/>
          </w:rPr>
          <w:t>www.paragonbankinggroup.co.uk</w:t>
        </w:r>
      </w:hyperlink>
      <w:r w:rsidR="00F15698">
        <w:t>.</w:t>
      </w:r>
    </w:p>
    <w:p w14:paraId="69A517BD" w14:textId="4593B838" w:rsidR="001513E1" w:rsidRPr="00655FBA" w:rsidRDefault="00F15698" w:rsidP="00655FBA">
      <w:pPr>
        <w:jc w:val="both"/>
      </w:pPr>
      <w:r>
        <w:t>Full Pillar 3 disclosures</w:t>
      </w:r>
      <w:r w:rsidR="0091719F">
        <w:t xml:space="preserve"> for the Group</w:t>
      </w:r>
      <w:r>
        <w:t xml:space="preserve"> are required only at year end. The Group’s most recent Pillar 3 disclosures, for the year ended 30 September 202</w:t>
      </w:r>
      <w:r w:rsidR="008A6483">
        <w:t>3</w:t>
      </w:r>
      <w:r>
        <w:t xml:space="preserve">, can be found on the investor relations </w:t>
      </w:r>
      <w:r w:rsidR="00E179B0">
        <w:t xml:space="preserve">section of its corporate </w:t>
      </w:r>
      <w:r>
        <w:t xml:space="preserve">website. </w:t>
      </w:r>
      <w:r w:rsidR="0082095A">
        <w:t>F</w:t>
      </w:r>
      <w:r>
        <w:t xml:space="preserve">ull year Pillar 3 disclosures under the Rulebook </w:t>
      </w:r>
      <w:r w:rsidR="0082095A">
        <w:t>are</w:t>
      </w:r>
      <w:r>
        <w:t xml:space="preserve"> published</w:t>
      </w:r>
      <w:r w:rsidR="0082095A">
        <w:t xml:space="preserve"> annually</w:t>
      </w:r>
      <w:r>
        <w:t xml:space="preserve"> at approximately the same time as the Group’s report and account</w:t>
      </w:r>
      <w:r w:rsidR="006E116D">
        <w:t>s</w:t>
      </w:r>
      <w:r>
        <w:t xml:space="preserve"> for the</w:t>
      </w:r>
      <w:r w:rsidR="0082095A">
        <w:t xml:space="preserve"> same financial year</w:t>
      </w:r>
      <w:r>
        <w:t>.</w:t>
      </w:r>
    </w:p>
    <w:p w14:paraId="581597FE" w14:textId="2F2D1083" w:rsidR="00F15698" w:rsidRDefault="00F15698" w:rsidP="00FE3C98">
      <w:pPr>
        <w:keepNext/>
        <w:rPr>
          <w:b/>
          <w:bCs/>
          <w:color w:val="00B050"/>
          <w:sz w:val="28"/>
          <w:szCs w:val="28"/>
        </w:rPr>
      </w:pPr>
      <w:r>
        <w:rPr>
          <w:b/>
          <w:bCs/>
          <w:color w:val="00B050"/>
          <w:sz w:val="28"/>
          <w:szCs w:val="28"/>
        </w:rPr>
        <w:lastRenderedPageBreak/>
        <w:t>Key metrics table</w:t>
      </w:r>
    </w:p>
    <w:p w14:paraId="460D6015" w14:textId="241FB2ED" w:rsidR="00AE0122" w:rsidRPr="00AE0122" w:rsidRDefault="00AE0122" w:rsidP="00FE3C98">
      <w:pPr>
        <w:keepNext/>
        <w:jc w:val="both"/>
        <w:rPr>
          <w:i/>
          <w:iCs/>
        </w:rPr>
      </w:pPr>
      <w:r>
        <w:rPr>
          <w:i/>
          <w:iCs/>
        </w:rPr>
        <w:t xml:space="preserve">Presented in accordance with Template UK KM1, set out </w:t>
      </w:r>
      <w:r w:rsidR="00091EDE">
        <w:rPr>
          <w:i/>
          <w:iCs/>
        </w:rPr>
        <w:t>in Annex I to the Disclosure (CRR) Part of the PRA Rulebook.</w:t>
      </w:r>
    </w:p>
    <w:tbl>
      <w:tblPr>
        <w:tblW w:w="5000" w:type="pct"/>
        <w:tblLayout w:type="fixed"/>
        <w:tblLook w:val="04A0" w:firstRow="1" w:lastRow="0" w:firstColumn="1" w:lastColumn="0" w:noHBand="0" w:noVBand="1"/>
      </w:tblPr>
      <w:tblGrid>
        <w:gridCol w:w="900"/>
        <w:gridCol w:w="3994"/>
        <w:gridCol w:w="1030"/>
        <w:gridCol w:w="1030"/>
        <w:gridCol w:w="1031"/>
        <w:gridCol w:w="1031"/>
      </w:tblGrid>
      <w:tr w:rsidR="008A6483" w:rsidRPr="00A60C7D" w14:paraId="4D83BF4F" w14:textId="0CD76AD2" w:rsidTr="00B23C9D">
        <w:trPr>
          <w:trHeight w:val="288"/>
          <w:tblHeader/>
        </w:trPr>
        <w:tc>
          <w:tcPr>
            <w:tcW w:w="499" w:type="pct"/>
            <w:tcBorders>
              <w:top w:val="single" w:sz="4" w:space="0" w:color="auto"/>
              <w:left w:val="single" w:sz="4" w:space="0" w:color="auto"/>
              <w:bottom w:val="single" w:sz="4" w:space="0" w:color="auto"/>
              <w:right w:val="nil"/>
            </w:tcBorders>
            <w:shd w:val="clear" w:color="auto" w:fill="auto"/>
            <w:vAlign w:val="center"/>
            <w:hideMark/>
          </w:tcPr>
          <w:p w14:paraId="63E0AC42" w14:textId="77777777" w:rsidR="008A6483" w:rsidRPr="00A60C7D" w:rsidRDefault="008A6483" w:rsidP="008A6483">
            <w:pPr>
              <w:keepNext/>
              <w:spacing w:after="0" w:line="240" w:lineRule="auto"/>
              <w:rPr>
                <w:rFonts w:ascii="Calibri" w:eastAsia="Times New Roman" w:hAnsi="Calibri" w:cs="Calibri"/>
                <w:i/>
                <w:iCs/>
                <w:color w:val="AA322F"/>
                <w:lang w:eastAsia="en-GB"/>
              </w:rPr>
            </w:pPr>
            <w:r w:rsidRPr="00A60C7D">
              <w:rPr>
                <w:rFonts w:ascii="Calibri" w:eastAsia="Times New Roman" w:hAnsi="Calibri" w:cs="Calibri"/>
                <w:i/>
                <w:iCs/>
                <w:color w:val="AA322F"/>
                <w:lang w:eastAsia="en-GB"/>
              </w:rPr>
              <w:t> </w:t>
            </w:r>
          </w:p>
        </w:tc>
        <w:tc>
          <w:tcPr>
            <w:tcW w:w="2215" w:type="pct"/>
            <w:tcBorders>
              <w:top w:val="single" w:sz="4" w:space="0" w:color="auto"/>
              <w:left w:val="nil"/>
              <w:bottom w:val="single" w:sz="4" w:space="0" w:color="auto"/>
              <w:right w:val="single" w:sz="4" w:space="0" w:color="auto"/>
            </w:tcBorders>
            <w:shd w:val="clear" w:color="auto" w:fill="auto"/>
            <w:vAlign w:val="center"/>
            <w:hideMark/>
          </w:tcPr>
          <w:p w14:paraId="3D3D4C19" w14:textId="77777777" w:rsidR="008A6483" w:rsidRPr="00A60C7D" w:rsidRDefault="008A6483" w:rsidP="008A6483">
            <w:pPr>
              <w:keepNext/>
              <w:spacing w:after="0" w:line="240" w:lineRule="auto"/>
              <w:rPr>
                <w:rFonts w:ascii="Calibri" w:eastAsia="Times New Roman" w:hAnsi="Calibri" w:cs="Calibri"/>
                <w:i/>
                <w:iCs/>
                <w:color w:val="AA322F"/>
                <w:lang w:eastAsia="en-GB"/>
              </w:rPr>
            </w:pPr>
            <w:r w:rsidRPr="00A60C7D">
              <w:rPr>
                <w:rFonts w:ascii="Calibri" w:eastAsia="Times New Roman" w:hAnsi="Calibri" w:cs="Calibri"/>
                <w:i/>
                <w:iCs/>
                <w:color w:val="AA322F"/>
                <w:lang w:eastAsia="en-GB"/>
              </w:rPr>
              <w:t> </w:t>
            </w:r>
          </w:p>
        </w:tc>
        <w:tc>
          <w:tcPr>
            <w:tcW w:w="571" w:type="pct"/>
            <w:tcBorders>
              <w:top w:val="single" w:sz="4" w:space="0" w:color="auto"/>
              <w:left w:val="nil"/>
              <w:bottom w:val="single" w:sz="4" w:space="0" w:color="auto"/>
              <w:right w:val="single" w:sz="4" w:space="0" w:color="auto"/>
            </w:tcBorders>
            <w:shd w:val="clear" w:color="auto" w:fill="00B050"/>
            <w:vAlign w:val="center"/>
            <w:hideMark/>
          </w:tcPr>
          <w:p w14:paraId="739D390A" w14:textId="6F506A4B" w:rsidR="008A6483" w:rsidRPr="00B23C9D" w:rsidRDefault="008A6483" w:rsidP="008A6483">
            <w:pPr>
              <w:keepNext/>
              <w:spacing w:after="0" w:line="240" w:lineRule="auto"/>
              <w:jc w:val="center"/>
              <w:rPr>
                <w:rFonts w:ascii="Calibri" w:eastAsia="Times New Roman" w:hAnsi="Calibri" w:cs="Calibri"/>
                <w:b/>
                <w:bCs/>
                <w:color w:val="000000"/>
                <w:lang w:eastAsia="en-GB"/>
              </w:rPr>
            </w:pPr>
            <w:r w:rsidRPr="00B23C9D">
              <w:rPr>
                <w:rFonts w:ascii="Calibri" w:eastAsia="Times New Roman" w:hAnsi="Calibri" w:cs="Calibri"/>
                <w:b/>
                <w:bCs/>
                <w:color w:val="000000"/>
                <w:lang w:eastAsia="en-GB"/>
              </w:rPr>
              <w:t>31 Mar</w:t>
            </w:r>
            <w:r w:rsidRPr="00B23C9D">
              <w:rPr>
                <w:rFonts w:ascii="Calibri" w:eastAsia="Times New Roman" w:hAnsi="Calibri" w:cs="Calibri"/>
                <w:b/>
                <w:bCs/>
                <w:color w:val="000000"/>
                <w:lang w:eastAsia="en-GB"/>
              </w:rPr>
              <w:br/>
              <w:t>202</w:t>
            </w:r>
            <w:r>
              <w:rPr>
                <w:rFonts w:ascii="Calibri" w:eastAsia="Times New Roman" w:hAnsi="Calibri" w:cs="Calibri"/>
                <w:b/>
                <w:bCs/>
                <w:color w:val="000000"/>
                <w:lang w:eastAsia="en-GB"/>
              </w:rPr>
              <w:t>4</w:t>
            </w:r>
          </w:p>
        </w:tc>
        <w:tc>
          <w:tcPr>
            <w:tcW w:w="571" w:type="pct"/>
            <w:tcBorders>
              <w:top w:val="single" w:sz="4" w:space="0" w:color="auto"/>
              <w:left w:val="nil"/>
              <w:bottom w:val="single" w:sz="4" w:space="0" w:color="auto"/>
              <w:right w:val="single" w:sz="4" w:space="0" w:color="auto"/>
            </w:tcBorders>
            <w:shd w:val="clear" w:color="auto" w:fill="00B050"/>
            <w:vAlign w:val="center"/>
            <w:hideMark/>
          </w:tcPr>
          <w:p w14:paraId="71A22C4A" w14:textId="5CBFE82C" w:rsidR="008A6483" w:rsidRPr="00B23C9D" w:rsidRDefault="008A6483" w:rsidP="008A6483">
            <w:pPr>
              <w:keepNext/>
              <w:spacing w:after="0" w:line="240" w:lineRule="auto"/>
              <w:jc w:val="center"/>
              <w:rPr>
                <w:rFonts w:ascii="Calibri" w:eastAsia="Times New Roman" w:hAnsi="Calibri" w:cs="Calibri"/>
                <w:b/>
                <w:bCs/>
                <w:color w:val="000000"/>
                <w:lang w:eastAsia="en-GB"/>
              </w:rPr>
            </w:pPr>
            <w:r w:rsidRPr="00B23C9D">
              <w:rPr>
                <w:rFonts w:ascii="Calibri" w:eastAsia="Times New Roman" w:hAnsi="Calibri" w:cs="Calibri"/>
                <w:b/>
                <w:bCs/>
                <w:color w:val="000000"/>
                <w:lang w:eastAsia="en-GB"/>
              </w:rPr>
              <w:t>30 Sep</w:t>
            </w:r>
            <w:r w:rsidRPr="00B23C9D">
              <w:rPr>
                <w:rFonts w:ascii="Calibri" w:eastAsia="Times New Roman" w:hAnsi="Calibri" w:cs="Calibri"/>
                <w:b/>
                <w:bCs/>
                <w:color w:val="000000"/>
                <w:lang w:eastAsia="en-GB"/>
              </w:rPr>
              <w:br/>
              <w:t>202</w:t>
            </w:r>
            <w:r>
              <w:rPr>
                <w:rFonts w:ascii="Calibri" w:eastAsia="Times New Roman" w:hAnsi="Calibri" w:cs="Calibri"/>
                <w:b/>
                <w:bCs/>
                <w:color w:val="000000"/>
                <w:lang w:eastAsia="en-GB"/>
              </w:rPr>
              <w:t>3</w:t>
            </w:r>
          </w:p>
        </w:tc>
        <w:tc>
          <w:tcPr>
            <w:tcW w:w="572" w:type="pct"/>
            <w:tcBorders>
              <w:top w:val="single" w:sz="4" w:space="0" w:color="auto"/>
              <w:left w:val="nil"/>
              <w:bottom w:val="single" w:sz="4" w:space="0" w:color="auto"/>
              <w:right w:val="single" w:sz="4" w:space="0" w:color="auto"/>
            </w:tcBorders>
            <w:shd w:val="clear" w:color="auto" w:fill="00B050"/>
            <w:vAlign w:val="center"/>
            <w:hideMark/>
          </w:tcPr>
          <w:p w14:paraId="758A163B" w14:textId="28705293" w:rsidR="008A6483" w:rsidRPr="00B23C9D" w:rsidRDefault="008A6483" w:rsidP="008A6483">
            <w:pPr>
              <w:keepNext/>
              <w:spacing w:after="0" w:line="240" w:lineRule="auto"/>
              <w:jc w:val="center"/>
              <w:rPr>
                <w:rFonts w:ascii="Calibri" w:eastAsia="Times New Roman" w:hAnsi="Calibri" w:cs="Calibri"/>
                <w:b/>
                <w:bCs/>
                <w:color w:val="000000"/>
                <w:lang w:eastAsia="en-GB"/>
              </w:rPr>
            </w:pPr>
            <w:r w:rsidRPr="00B23C9D">
              <w:rPr>
                <w:rFonts w:ascii="Calibri" w:eastAsia="Times New Roman" w:hAnsi="Calibri" w:cs="Calibri"/>
                <w:b/>
                <w:bCs/>
                <w:color w:val="000000"/>
                <w:lang w:eastAsia="en-GB"/>
              </w:rPr>
              <w:t>31 Mar</w:t>
            </w:r>
            <w:r w:rsidRPr="00B23C9D">
              <w:rPr>
                <w:rFonts w:ascii="Calibri" w:eastAsia="Times New Roman" w:hAnsi="Calibri" w:cs="Calibri"/>
                <w:b/>
                <w:bCs/>
                <w:color w:val="000000"/>
                <w:lang w:eastAsia="en-GB"/>
              </w:rPr>
              <w:br/>
              <w:t>202</w:t>
            </w:r>
            <w:r>
              <w:rPr>
                <w:rFonts w:ascii="Calibri" w:eastAsia="Times New Roman" w:hAnsi="Calibri" w:cs="Calibri"/>
                <w:b/>
                <w:bCs/>
                <w:color w:val="000000"/>
                <w:lang w:eastAsia="en-GB"/>
              </w:rPr>
              <w:t>3</w:t>
            </w:r>
          </w:p>
        </w:tc>
        <w:tc>
          <w:tcPr>
            <w:tcW w:w="572" w:type="pct"/>
            <w:tcBorders>
              <w:top w:val="single" w:sz="4" w:space="0" w:color="auto"/>
              <w:left w:val="nil"/>
              <w:bottom w:val="single" w:sz="4" w:space="0" w:color="auto"/>
              <w:right w:val="single" w:sz="4" w:space="0" w:color="auto"/>
            </w:tcBorders>
            <w:shd w:val="clear" w:color="auto" w:fill="00B050"/>
          </w:tcPr>
          <w:p w14:paraId="3F29C07F" w14:textId="5669BB28" w:rsidR="008A6483" w:rsidRPr="00B23C9D" w:rsidRDefault="008A6483" w:rsidP="008A6483">
            <w:pPr>
              <w:keepNext/>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Notes</w:t>
            </w:r>
          </w:p>
        </w:tc>
      </w:tr>
      <w:tr w:rsidR="008A6483" w:rsidRPr="00A60C7D" w14:paraId="03F4310F" w14:textId="3FCAA98B" w:rsidTr="00B23C9D">
        <w:trPr>
          <w:trHeight w:val="288"/>
          <w:tblHeader/>
        </w:trPr>
        <w:tc>
          <w:tcPr>
            <w:tcW w:w="499" w:type="pct"/>
            <w:tcBorders>
              <w:top w:val="single" w:sz="4" w:space="0" w:color="auto"/>
              <w:left w:val="single" w:sz="4" w:space="0" w:color="auto"/>
              <w:bottom w:val="single" w:sz="4" w:space="0" w:color="auto"/>
              <w:right w:val="nil"/>
            </w:tcBorders>
            <w:shd w:val="clear" w:color="auto" w:fill="auto"/>
            <w:vAlign w:val="center"/>
          </w:tcPr>
          <w:p w14:paraId="4D83CB5F" w14:textId="77777777" w:rsidR="008A6483" w:rsidRPr="00A60C7D" w:rsidRDefault="008A6483" w:rsidP="008A6483">
            <w:pPr>
              <w:keepNext/>
              <w:spacing w:after="0" w:line="240" w:lineRule="auto"/>
              <w:rPr>
                <w:rFonts w:ascii="Calibri" w:eastAsia="Times New Roman" w:hAnsi="Calibri" w:cs="Calibri"/>
                <w:i/>
                <w:iCs/>
                <w:color w:val="AA322F"/>
                <w:lang w:eastAsia="en-GB"/>
              </w:rPr>
            </w:pPr>
          </w:p>
        </w:tc>
        <w:tc>
          <w:tcPr>
            <w:tcW w:w="2215" w:type="pct"/>
            <w:tcBorders>
              <w:top w:val="single" w:sz="4" w:space="0" w:color="auto"/>
              <w:left w:val="nil"/>
              <w:bottom w:val="single" w:sz="4" w:space="0" w:color="auto"/>
              <w:right w:val="single" w:sz="4" w:space="0" w:color="auto"/>
            </w:tcBorders>
            <w:shd w:val="clear" w:color="auto" w:fill="auto"/>
            <w:vAlign w:val="center"/>
          </w:tcPr>
          <w:p w14:paraId="541DD3B4" w14:textId="77777777" w:rsidR="008A6483" w:rsidRPr="00A60C7D" w:rsidRDefault="008A6483" w:rsidP="008A6483">
            <w:pPr>
              <w:keepNext/>
              <w:spacing w:after="0" w:line="240" w:lineRule="auto"/>
              <w:rPr>
                <w:rFonts w:ascii="Calibri" w:eastAsia="Times New Roman" w:hAnsi="Calibri" w:cs="Calibri"/>
                <w:i/>
                <w:iCs/>
                <w:color w:val="AA322F"/>
                <w:lang w:eastAsia="en-GB"/>
              </w:rPr>
            </w:pPr>
          </w:p>
        </w:tc>
        <w:tc>
          <w:tcPr>
            <w:tcW w:w="571" w:type="pct"/>
            <w:tcBorders>
              <w:top w:val="nil"/>
              <w:left w:val="nil"/>
              <w:bottom w:val="single" w:sz="4" w:space="0" w:color="auto"/>
              <w:right w:val="single" w:sz="4" w:space="0" w:color="auto"/>
            </w:tcBorders>
            <w:shd w:val="clear" w:color="auto" w:fill="00B050"/>
            <w:vAlign w:val="center"/>
          </w:tcPr>
          <w:p w14:paraId="174F7237" w14:textId="1C0F7AA4" w:rsidR="008A6483" w:rsidRPr="00B23C9D" w:rsidRDefault="008A6483" w:rsidP="008A6483">
            <w:pPr>
              <w:keepNext/>
              <w:spacing w:after="0" w:line="240" w:lineRule="auto"/>
              <w:jc w:val="center"/>
              <w:rPr>
                <w:rFonts w:ascii="Calibri" w:eastAsia="Times New Roman" w:hAnsi="Calibri" w:cs="Calibri"/>
                <w:b/>
                <w:bCs/>
                <w:color w:val="000000"/>
                <w:lang w:eastAsia="en-GB"/>
              </w:rPr>
            </w:pPr>
            <w:r w:rsidRPr="00B23C9D">
              <w:rPr>
                <w:rFonts w:ascii="Calibri" w:eastAsia="Times New Roman" w:hAnsi="Calibri" w:cs="Calibri"/>
                <w:b/>
                <w:bCs/>
                <w:color w:val="000000"/>
                <w:lang w:eastAsia="en-GB"/>
              </w:rPr>
              <w:t>£m</w:t>
            </w:r>
          </w:p>
        </w:tc>
        <w:tc>
          <w:tcPr>
            <w:tcW w:w="571" w:type="pct"/>
            <w:tcBorders>
              <w:top w:val="nil"/>
              <w:left w:val="nil"/>
              <w:bottom w:val="single" w:sz="4" w:space="0" w:color="auto"/>
              <w:right w:val="single" w:sz="4" w:space="0" w:color="auto"/>
            </w:tcBorders>
            <w:shd w:val="clear" w:color="auto" w:fill="00B050"/>
            <w:vAlign w:val="center"/>
          </w:tcPr>
          <w:p w14:paraId="5DDD68F1" w14:textId="7B202278" w:rsidR="008A6483" w:rsidRPr="00B23C9D" w:rsidRDefault="008A6483" w:rsidP="008A6483">
            <w:pPr>
              <w:keepNext/>
              <w:spacing w:after="0" w:line="240" w:lineRule="auto"/>
              <w:jc w:val="center"/>
              <w:rPr>
                <w:rFonts w:ascii="Calibri" w:eastAsia="Times New Roman" w:hAnsi="Calibri" w:cs="Calibri"/>
                <w:b/>
                <w:bCs/>
                <w:color w:val="000000"/>
                <w:lang w:eastAsia="en-GB"/>
              </w:rPr>
            </w:pPr>
            <w:r w:rsidRPr="00B23C9D">
              <w:rPr>
                <w:rFonts w:ascii="Calibri" w:eastAsia="Times New Roman" w:hAnsi="Calibri" w:cs="Calibri"/>
                <w:b/>
                <w:bCs/>
                <w:color w:val="000000"/>
                <w:lang w:eastAsia="en-GB"/>
              </w:rPr>
              <w:t>£m</w:t>
            </w:r>
          </w:p>
        </w:tc>
        <w:tc>
          <w:tcPr>
            <w:tcW w:w="572" w:type="pct"/>
            <w:tcBorders>
              <w:top w:val="nil"/>
              <w:left w:val="nil"/>
              <w:bottom w:val="single" w:sz="4" w:space="0" w:color="auto"/>
              <w:right w:val="single" w:sz="4" w:space="0" w:color="auto"/>
            </w:tcBorders>
            <w:shd w:val="clear" w:color="auto" w:fill="00B050"/>
            <w:vAlign w:val="center"/>
          </w:tcPr>
          <w:p w14:paraId="120FD1E6" w14:textId="7D6C8C01" w:rsidR="008A6483" w:rsidRPr="00B23C9D" w:rsidRDefault="008A6483" w:rsidP="008A6483">
            <w:pPr>
              <w:keepNext/>
              <w:spacing w:after="0" w:line="240" w:lineRule="auto"/>
              <w:jc w:val="center"/>
              <w:rPr>
                <w:rFonts w:ascii="Calibri" w:eastAsia="Times New Roman" w:hAnsi="Calibri" w:cs="Calibri"/>
                <w:b/>
                <w:bCs/>
                <w:color w:val="000000"/>
                <w:lang w:eastAsia="en-GB"/>
              </w:rPr>
            </w:pPr>
            <w:r w:rsidRPr="00B23C9D">
              <w:rPr>
                <w:rFonts w:ascii="Calibri" w:eastAsia="Times New Roman" w:hAnsi="Calibri" w:cs="Calibri"/>
                <w:b/>
                <w:bCs/>
                <w:color w:val="000000"/>
                <w:lang w:eastAsia="en-GB"/>
              </w:rPr>
              <w:t>£m</w:t>
            </w:r>
          </w:p>
        </w:tc>
        <w:tc>
          <w:tcPr>
            <w:tcW w:w="572" w:type="pct"/>
            <w:tcBorders>
              <w:top w:val="nil"/>
              <w:left w:val="nil"/>
              <w:bottom w:val="single" w:sz="4" w:space="0" w:color="auto"/>
              <w:right w:val="single" w:sz="4" w:space="0" w:color="auto"/>
            </w:tcBorders>
            <w:shd w:val="clear" w:color="auto" w:fill="00B050"/>
          </w:tcPr>
          <w:p w14:paraId="5CD7186E" w14:textId="77777777" w:rsidR="008A6483" w:rsidRPr="00B23C9D" w:rsidRDefault="008A6483" w:rsidP="008A6483">
            <w:pPr>
              <w:keepNext/>
              <w:spacing w:after="0" w:line="240" w:lineRule="auto"/>
              <w:jc w:val="center"/>
              <w:rPr>
                <w:rFonts w:ascii="Calibri" w:eastAsia="Times New Roman" w:hAnsi="Calibri" w:cs="Calibri"/>
                <w:b/>
                <w:bCs/>
                <w:color w:val="000000"/>
                <w:lang w:eastAsia="en-GB"/>
              </w:rPr>
            </w:pPr>
          </w:p>
        </w:tc>
      </w:tr>
      <w:tr w:rsidR="008A6483" w:rsidRPr="00A60C7D" w14:paraId="2971CD40" w14:textId="42D1131F" w:rsidTr="00B23C9D">
        <w:trPr>
          <w:trHeight w:val="288"/>
        </w:trPr>
        <w:tc>
          <w:tcPr>
            <w:tcW w:w="499" w:type="pct"/>
            <w:tcBorders>
              <w:top w:val="nil"/>
              <w:left w:val="single" w:sz="4" w:space="0" w:color="auto"/>
              <w:bottom w:val="single" w:sz="4" w:space="0" w:color="auto"/>
              <w:right w:val="single" w:sz="4" w:space="0" w:color="auto"/>
            </w:tcBorders>
            <w:shd w:val="clear" w:color="auto" w:fill="A8D08D" w:themeFill="accent6" w:themeFillTint="99"/>
            <w:vAlign w:val="center"/>
            <w:hideMark/>
          </w:tcPr>
          <w:p w14:paraId="524F0680" w14:textId="77777777" w:rsidR="008A6483" w:rsidRPr="00A60C7D" w:rsidRDefault="008A6483" w:rsidP="008A6483">
            <w:pPr>
              <w:keepNext/>
              <w:spacing w:after="120" w:line="240" w:lineRule="auto"/>
              <w:rPr>
                <w:rFonts w:ascii="Calibri" w:eastAsia="Times New Roman" w:hAnsi="Calibri" w:cs="Calibri"/>
                <w:b/>
                <w:bCs/>
                <w:color w:val="000000"/>
                <w:lang w:eastAsia="en-GB"/>
              </w:rPr>
            </w:pPr>
            <w:r w:rsidRPr="00A60C7D">
              <w:rPr>
                <w:rFonts w:ascii="Calibri" w:eastAsia="Times New Roman" w:hAnsi="Calibri" w:cs="Calibri"/>
                <w:b/>
                <w:bCs/>
                <w:color w:val="000000"/>
                <w:lang w:eastAsia="en-GB"/>
              </w:rPr>
              <w:t> </w:t>
            </w:r>
          </w:p>
        </w:tc>
        <w:tc>
          <w:tcPr>
            <w:tcW w:w="3929" w:type="pct"/>
            <w:gridSpan w:val="4"/>
            <w:tcBorders>
              <w:top w:val="single" w:sz="4" w:space="0" w:color="auto"/>
              <w:left w:val="nil"/>
              <w:bottom w:val="single" w:sz="4" w:space="0" w:color="auto"/>
              <w:right w:val="single" w:sz="4" w:space="0" w:color="000000"/>
            </w:tcBorders>
            <w:shd w:val="clear" w:color="auto" w:fill="A8D08D" w:themeFill="accent6" w:themeFillTint="99"/>
            <w:vAlign w:val="center"/>
            <w:hideMark/>
          </w:tcPr>
          <w:p w14:paraId="3CB93D4F" w14:textId="7AD071ED" w:rsidR="008A6483" w:rsidRPr="00A60C7D" w:rsidRDefault="008A6483" w:rsidP="008A6483">
            <w:pPr>
              <w:keepNext/>
              <w:spacing w:after="120" w:line="240" w:lineRule="auto"/>
              <w:rPr>
                <w:rFonts w:ascii="Calibri" w:eastAsia="Times New Roman" w:hAnsi="Calibri" w:cs="Calibri"/>
                <w:b/>
                <w:bCs/>
                <w:color w:val="000000"/>
                <w:lang w:eastAsia="en-GB"/>
              </w:rPr>
            </w:pPr>
            <w:r w:rsidRPr="00A60C7D">
              <w:rPr>
                <w:rFonts w:ascii="Calibri" w:eastAsia="Times New Roman" w:hAnsi="Calibri" w:cs="Calibri"/>
                <w:b/>
                <w:bCs/>
                <w:color w:val="000000"/>
                <w:lang w:eastAsia="en-GB"/>
              </w:rPr>
              <w:t>Available own funds (amounts)</w:t>
            </w:r>
          </w:p>
        </w:tc>
        <w:tc>
          <w:tcPr>
            <w:tcW w:w="572" w:type="pct"/>
            <w:tcBorders>
              <w:top w:val="single" w:sz="4" w:space="0" w:color="auto"/>
              <w:left w:val="nil"/>
              <w:bottom w:val="single" w:sz="4" w:space="0" w:color="auto"/>
              <w:right w:val="single" w:sz="4" w:space="0" w:color="000000"/>
            </w:tcBorders>
            <w:shd w:val="clear" w:color="auto" w:fill="A8D08D" w:themeFill="accent6" w:themeFillTint="99"/>
          </w:tcPr>
          <w:p w14:paraId="69D759F6" w14:textId="77777777" w:rsidR="008A6483" w:rsidRPr="00A60C7D" w:rsidRDefault="008A6483" w:rsidP="008A6483">
            <w:pPr>
              <w:keepNext/>
              <w:spacing w:after="120" w:line="240" w:lineRule="auto"/>
              <w:rPr>
                <w:rFonts w:ascii="Calibri" w:eastAsia="Times New Roman" w:hAnsi="Calibri" w:cs="Calibri"/>
                <w:b/>
                <w:bCs/>
                <w:color w:val="000000"/>
                <w:lang w:eastAsia="en-GB"/>
              </w:rPr>
            </w:pPr>
          </w:p>
        </w:tc>
      </w:tr>
      <w:tr w:rsidR="00420E00" w:rsidRPr="00A60C7D" w14:paraId="5C184D8A" w14:textId="05A31A12" w:rsidTr="0082095A">
        <w:trPr>
          <w:trHeight w:val="288"/>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0DDBEA04" w14:textId="77777777" w:rsidR="00420E00" w:rsidRPr="00A60C7D" w:rsidRDefault="00420E00" w:rsidP="00420E00">
            <w:pPr>
              <w:keepNext/>
              <w:spacing w:after="120" w:line="240" w:lineRule="auto"/>
              <w:jc w:val="center"/>
              <w:rPr>
                <w:rFonts w:ascii="Calibri" w:eastAsia="Times New Roman" w:hAnsi="Calibri" w:cs="Calibri"/>
                <w:color w:val="000000"/>
                <w:lang w:eastAsia="en-GB"/>
              </w:rPr>
            </w:pPr>
            <w:r w:rsidRPr="00A60C7D">
              <w:rPr>
                <w:rFonts w:ascii="Calibri" w:eastAsia="Times New Roman" w:hAnsi="Calibri" w:cs="Calibri"/>
                <w:color w:val="000000"/>
                <w:lang w:eastAsia="en-GB"/>
              </w:rPr>
              <w:t>1</w:t>
            </w:r>
          </w:p>
        </w:tc>
        <w:tc>
          <w:tcPr>
            <w:tcW w:w="2215" w:type="pct"/>
            <w:tcBorders>
              <w:top w:val="nil"/>
              <w:left w:val="nil"/>
              <w:bottom w:val="single" w:sz="4" w:space="0" w:color="auto"/>
              <w:right w:val="single" w:sz="4" w:space="0" w:color="auto"/>
            </w:tcBorders>
            <w:shd w:val="clear" w:color="auto" w:fill="auto"/>
            <w:vAlign w:val="center"/>
            <w:hideMark/>
          </w:tcPr>
          <w:p w14:paraId="48AD6628" w14:textId="77777777" w:rsidR="00420E00" w:rsidRPr="00A60C7D" w:rsidRDefault="00420E00" w:rsidP="00420E00">
            <w:pPr>
              <w:keepNext/>
              <w:spacing w:after="120" w:line="240" w:lineRule="auto"/>
              <w:rPr>
                <w:rFonts w:ascii="Calibri" w:eastAsia="Times New Roman" w:hAnsi="Calibri" w:cs="Calibri"/>
                <w:color w:val="000000"/>
                <w:lang w:eastAsia="en-GB"/>
              </w:rPr>
            </w:pPr>
            <w:r w:rsidRPr="00A60C7D">
              <w:rPr>
                <w:rFonts w:ascii="Calibri" w:eastAsia="Times New Roman" w:hAnsi="Calibri" w:cs="Calibri"/>
                <w:color w:val="000000"/>
                <w:lang w:eastAsia="en-GB"/>
              </w:rPr>
              <w:t xml:space="preserve">Common Equity Tier 1 (CET1) capital </w:t>
            </w:r>
          </w:p>
        </w:tc>
        <w:tc>
          <w:tcPr>
            <w:tcW w:w="571" w:type="pct"/>
            <w:tcBorders>
              <w:top w:val="nil"/>
              <w:left w:val="nil"/>
              <w:bottom w:val="single" w:sz="4" w:space="0" w:color="auto"/>
              <w:right w:val="single" w:sz="4" w:space="0" w:color="auto"/>
            </w:tcBorders>
            <w:shd w:val="clear" w:color="auto" w:fill="auto"/>
            <w:vAlign w:val="center"/>
          </w:tcPr>
          <w:p w14:paraId="3F34EA0B" w14:textId="75892D4A" w:rsidR="00420E00" w:rsidRPr="005A168C" w:rsidRDefault="001513E1" w:rsidP="005A168C">
            <w:pPr>
              <w:keepNext/>
              <w:tabs>
                <w:tab w:val="decimal" w:pos="627"/>
              </w:tabs>
              <w:spacing w:after="120" w:line="240" w:lineRule="auto"/>
              <w:rPr>
                <w:rFonts w:cstheme="minorHAnsi"/>
                <w:color w:val="000000"/>
              </w:rPr>
            </w:pPr>
            <w:r>
              <w:rPr>
                <w:rFonts w:cstheme="minorHAnsi"/>
                <w:color w:val="000000"/>
              </w:rPr>
              <w:t>1,174.</w:t>
            </w:r>
            <w:r w:rsidR="0091719F">
              <w:rPr>
                <w:rFonts w:cstheme="minorHAnsi"/>
                <w:color w:val="000000"/>
              </w:rPr>
              <w:t>9</w:t>
            </w:r>
          </w:p>
        </w:tc>
        <w:tc>
          <w:tcPr>
            <w:tcW w:w="571" w:type="pct"/>
            <w:tcBorders>
              <w:top w:val="nil"/>
              <w:left w:val="nil"/>
              <w:bottom w:val="single" w:sz="4" w:space="0" w:color="auto"/>
              <w:right w:val="single" w:sz="4" w:space="0" w:color="auto"/>
            </w:tcBorders>
            <w:shd w:val="clear" w:color="auto" w:fill="auto"/>
            <w:vAlign w:val="center"/>
            <w:hideMark/>
          </w:tcPr>
          <w:p w14:paraId="6C0375D8" w14:textId="4001DB27" w:rsidR="00420E00" w:rsidRPr="00A60C7D" w:rsidRDefault="00420E00" w:rsidP="005A168C">
            <w:pPr>
              <w:keepNext/>
              <w:tabs>
                <w:tab w:val="decimal" w:pos="627"/>
              </w:tabs>
              <w:spacing w:after="120" w:line="240" w:lineRule="auto"/>
              <w:rPr>
                <w:rFonts w:ascii="Calibri" w:eastAsia="Times New Roman" w:hAnsi="Calibri" w:cs="Calibri"/>
                <w:color w:val="000000"/>
                <w:lang w:eastAsia="en-GB"/>
              </w:rPr>
            </w:pPr>
            <w:r>
              <w:rPr>
                <w:rFonts w:cstheme="minorHAnsi"/>
                <w:color w:val="000000"/>
              </w:rPr>
              <w:t>1,188.9</w:t>
            </w:r>
          </w:p>
        </w:tc>
        <w:tc>
          <w:tcPr>
            <w:tcW w:w="572" w:type="pct"/>
            <w:tcBorders>
              <w:top w:val="nil"/>
              <w:left w:val="nil"/>
              <w:bottom w:val="single" w:sz="4" w:space="0" w:color="auto"/>
              <w:right w:val="single" w:sz="4" w:space="0" w:color="auto"/>
            </w:tcBorders>
            <w:shd w:val="clear" w:color="auto" w:fill="auto"/>
            <w:vAlign w:val="center"/>
            <w:hideMark/>
          </w:tcPr>
          <w:p w14:paraId="5BCCD51B" w14:textId="73DE4986" w:rsidR="00420E00" w:rsidRPr="005A168C" w:rsidRDefault="00420E00" w:rsidP="005A168C">
            <w:pPr>
              <w:keepNext/>
              <w:tabs>
                <w:tab w:val="decimal" w:pos="627"/>
              </w:tabs>
              <w:spacing w:after="120" w:line="240" w:lineRule="auto"/>
              <w:rPr>
                <w:rFonts w:cstheme="minorHAnsi"/>
                <w:color w:val="000000"/>
              </w:rPr>
            </w:pPr>
            <w:r w:rsidRPr="005A168C">
              <w:rPr>
                <w:rFonts w:cstheme="minorHAnsi"/>
                <w:color w:val="000000"/>
              </w:rPr>
              <w:t>1,170.4</w:t>
            </w:r>
          </w:p>
        </w:tc>
        <w:tc>
          <w:tcPr>
            <w:tcW w:w="572" w:type="pct"/>
            <w:tcBorders>
              <w:top w:val="nil"/>
              <w:left w:val="nil"/>
              <w:bottom w:val="single" w:sz="4" w:space="0" w:color="auto"/>
              <w:right w:val="single" w:sz="4" w:space="0" w:color="auto"/>
            </w:tcBorders>
            <w:shd w:val="clear" w:color="auto" w:fill="E2EFD9" w:themeFill="accent6" w:themeFillTint="33"/>
          </w:tcPr>
          <w:p w14:paraId="5D2BE700" w14:textId="77777777" w:rsidR="00420E00" w:rsidRPr="00A60C7D" w:rsidRDefault="00420E00" w:rsidP="00420E00">
            <w:pPr>
              <w:keepNext/>
              <w:spacing w:after="120" w:line="240" w:lineRule="auto"/>
              <w:jc w:val="center"/>
              <w:rPr>
                <w:rFonts w:ascii="Calibri" w:eastAsia="Times New Roman" w:hAnsi="Calibri" w:cs="Calibri"/>
                <w:color w:val="000000"/>
                <w:lang w:eastAsia="en-GB"/>
              </w:rPr>
            </w:pPr>
          </w:p>
        </w:tc>
      </w:tr>
      <w:tr w:rsidR="00420E00" w:rsidRPr="00A60C7D" w14:paraId="1B4BDCAB" w14:textId="7849C942" w:rsidTr="0082095A">
        <w:trPr>
          <w:trHeight w:val="288"/>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2B639415" w14:textId="77777777" w:rsidR="00420E00" w:rsidRPr="00A60C7D" w:rsidRDefault="00420E00" w:rsidP="00420E00">
            <w:pPr>
              <w:spacing w:after="120" w:line="240" w:lineRule="auto"/>
              <w:jc w:val="center"/>
              <w:rPr>
                <w:rFonts w:ascii="Calibri" w:eastAsia="Times New Roman" w:hAnsi="Calibri" w:cs="Calibri"/>
                <w:color w:val="000000"/>
                <w:lang w:eastAsia="en-GB"/>
              </w:rPr>
            </w:pPr>
            <w:r w:rsidRPr="00A60C7D">
              <w:rPr>
                <w:rFonts w:ascii="Calibri" w:eastAsia="Times New Roman" w:hAnsi="Calibri" w:cs="Calibri"/>
                <w:color w:val="000000"/>
                <w:lang w:eastAsia="en-GB"/>
              </w:rPr>
              <w:t>2</w:t>
            </w:r>
          </w:p>
        </w:tc>
        <w:tc>
          <w:tcPr>
            <w:tcW w:w="2215" w:type="pct"/>
            <w:tcBorders>
              <w:top w:val="nil"/>
              <w:left w:val="nil"/>
              <w:bottom w:val="single" w:sz="4" w:space="0" w:color="auto"/>
              <w:right w:val="single" w:sz="4" w:space="0" w:color="auto"/>
            </w:tcBorders>
            <w:shd w:val="clear" w:color="auto" w:fill="auto"/>
            <w:vAlign w:val="center"/>
            <w:hideMark/>
          </w:tcPr>
          <w:p w14:paraId="2634A127" w14:textId="77777777" w:rsidR="00420E00" w:rsidRPr="00A60C7D" w:rsidRDefault="00420E00" w:rsidP="00420E00">
            <w:pPr>
              <w:spacing w:after="120" w:line="240" w:lineRule="auto"/>
              <w:rPr>
                <w:rFonts w:ascii="Calibri" w:eastAsia="Times New Roman" w:hAnsi="Calibri" w:cs="Calibri"/>
                <w:color w:val="000000"/>
                <w:lang w:eastAsia="en-GB"/>
              </w:rPr>
            </w:pPr>
            <w:r w:rsidRPr="00A60C7D">
              <w:rPr>
                <w:rFonts w:ascii="Calibri" w:eastAsia="Times New Roman" w:hAnsi="Calibri" w:cs="Calibri"/>
                <w:color w:val="000000"/>
                <w:lang w:eastAsia="en-GB"/>
              </w:rPr>
              <w:t xml:space="preserve">Tier 1 capital </w:t>
            </w:r>
          </w:p>
        </w:tc>
        <w:tc>
          <w:tcPr>
            <w:tcW w:w="571" w:type="pct"/>
            <w:tcBorders>
              <w:top w:val="nil"/>
              <w:left w:val="nil"/>
              <w:bottom w:val="single" w:sz="4" w:space="0" w:color="auto"/>
              <w:right w:val="single" w:sz="4" w:space="0" w:color="auto"/>
            </w:tcBorders>
            <w:shd w:val="clear" w:color="auto" w:fill="auto"/>
            <w:vAlign w:val="center"/>
          </w:tcPr>
          <w:p w14:paraId="4C171F7F" w14:textId="27C05266" w:rsidR="00420E00" w:rsidRPr="005A168C" w:rsidRDefault="001513E1" w:rsidP="005A168C">
            <w:pPr>
              <w:keepNext/>
              <w:tabs>
                <w:tab w:val="decimal" w:pos="627"/>
              </w:tabs>
              <w:spacing w:after="120" w:line="240" w:lineRule="auto"/>
              <w:rPr>
                <w:rFonts w:cstheme="minorHAnsi"/>
                <w:color w:val="000000"/>
              </w:rPr>
            </w:pPr>
            <w:r>
              <w:rPr>
                <w:rFonts w:cstheme="minorHAnsi"/>
                <w:color w:val="000000"/>
              </w:rPr>
              <w:t>1,174.</w:t>
            </w:r>
            <w:r w:rsidR="0091719F">
              <w:rPr>
                <w:rFonts w:cstheme="minorHAnsi"/>
                <w:color w:val="000000"/>
              </w:rPr>
              <w:t>9</w:t>
            </w:r>
          </w:p>
        </w:tc>
        <w:tc>
          <w:tcPr>
            <w:tcW w:w="571" w:type="pct"/>
            <w:tcBorders>
              <w:top w:val="nil"/>
              <w:left w:val="nil"/>
              <w:bottom w:val="single" w:sz="4" w:space="0" w:color="auto"/>
              <w:right w:val="single" w:sz="4" w:space="0" w:color="auto"/>
            </w:tcBorders>
            <w:shd w:val="clear" w:color="auto" w:fill="auto"/>
            <w:vAlign w:val="center"/>
            <w:hideMark/>
          </w:tcPr>
          <w:p w14:paraId="2E202C2C" w14:textId="2241468E" w:rsidR="00420E00" w:rsidRPr="005A168C" w:rsidRDefault="00420E00" w:rsidP="005A168C">
            <w:pPr>
              <w:keepNext/>
              <w:tabs>
                <w:tab w:val="decimal" w:pos="627"/>
              </w:tabs>
              <w:spacing w:after="120" w:line="240" w:lineRule="auto"/>
              <w:rPr>
                <w:rFonts w:cstheme="minorHAnsi"/>
                <w:color w:val="000000"/>
              </w:rPr>
            </w:pPr>
            <w:r>
              <w:rPr>
                <w:rFonts w:cstheme="minorHAnsi"/>
                <w:color w:val="000000"/>
              </w:rPr>
              <w:t>1,188.9</w:t>
            </w:r>
          </w:p>
        </w:tc>
        <w:tc>
          <w:tcPr>
            <w:tcW w:w="572" w:type="pct"/>
            <w:tcBorders>
              <w:top w:val="nil"/>
              <w:left w:val="nil"/>
              <w:bottom w:val="single" w:sz="4" w:space="0" w:color="auto"/>
              <w:right w:val="single" w:sz="4" w:space="0" w:color="auto"/>
            </w:tcBorders>
            <w:shd w:val="clear" w:color="auto" w:fill="auto"/>
            <w:vAlign w:val="center"/>
            <w:hideMark/>
          </w:tcPr>
          <w:p w14:paraId="234B5014" w14:textId="6A24759B" w:rsidR="00420E00" w:rsidRPr="005A168C" w:rsidRDefault="00420E00" w:rsidP="005A168C">
            <w:pPr>
              <w:keepNext/>
              <w:tabs>
                <w:tab w:val="decimal" w:pos="627"/>
              </w:tabs>
              <w:spacing w:after="120" w:line="240" w:lineRule="auto"/>
              <w:rPr>
                <w:rFonts w:cstheme="minorHAnsi"/>
                <w:color w:val="000000"/>
              </w:rPr>
            </w:pPr>
            <w:r w:rsidRPr="005A168C">
              <w:rPr>
                <w:rFonts w:cstheme="minorHAnsi"/>
                <w:color w:val="000000"/>
              </w:rPr>
              <w:t>1,170.4</w:t>
            </w:r>
          </w:p>
        </w:tc>
        <w:tc>
          <w:tcPr>
            <w:tcW w:w="572" w:type="pct"/>
            <w:tcBorders>
              <w:top w:val="nil"/>
              <w:left w:val="nil"/>
              <w:bottom w:val="single" w:sz="4" w:space="0" w:color="auto"/>
              <w:right w:val="single" w:sz="4" w:space="0" w:color="auto"/>
            </w:tcBorders>
            <w:shd w:val="clear" w:color="auto" w:fill="E2EFD9" w:themeFill="accent6" w:themeFillTint="33"/>
          </w:tcPr>
          <w:p w14:paraId="41BAD626" w14:textId="77777777" w:rsidR="00420E00" w:rsidRPr="00A60C7D" w:rsidRDefault="00420E00" w:rsidP="00420E00">
            <w:pPr>
              <w:spacing w:after="120" w:line="240" w:lineRule="auto"/>
              <w:jc w:val="center"/>
              <w:rPr>
                <w:rFonts w:ascii="Calibri" w:eastAsia="Times New Roman" w:hAnsi="Calibri" w:cs="Calibri"/>
                <w:color w:val="000000"/>
                <w:lang w:eastAsia="en-GB"/>
              </w:rPr>
            </w:pPr>
          </w:p>
        </w:tc>
      </w:tr>
      <w:tr w:rsidR="00420E00" w:rsidRPr="00A60C7D" w14:paraId="5338021D" w14:textId="37B63C4F" w:rsidTr="0082095A">
        <w:trPr>
          <w:trHeight w:val="288"/>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485D57F3" w14:textId="77777777" w:rsidR="00420E00" w:rsidRPr="00A60C7D" w:rsidRDefault="00420E00" w:rsidP="00420E00">
            <w:pPr>
              <w:spacing w:after="120" w:line="240" w:lineRule="auto"/>
              <w:jc w:val="center"/>
              <w:rPr>
                <w:rFonts w:ascii="Calibri" w:eastAsia="Times New Roman" w:hAnsi="Calibri" w:cs="Calibri"/>
                <w:color w:val="000000"/>
                <w:lang w:eastAsia="en-GB"/>
              </w:rPr>
            </w:pPr>
            <w:r w:rsidRPr="00A60C7D">
              <w:rPr>
                <w:rFonts w:ascii="Calibri" w:eastAsia="Times New Roman" w:hAnsi="Calibri" w:cs="Calibri"/>
                <w:color w:val="000000"/>
                <w:lang w:eastAsia="en-GB"/>
              </w:rPr>
              <w:t>3</w:t>
            </w:r>
          </w:p>
        </w:tc>
        <w:tc>
          <w:tcPr>
            <w:tcW w:w="2215" w:type="pct"/>
            <w:tcBorders>
              <w:top w:val="nil"/>
              <w:left w:val="nil"/>
              <w:bottom w:val="single" w:sz="4" w:space="0" w:color="auto"/>
              <w:right w:val="single" w:sz="4" w:space="0" w:color="auto"/>
            </w:tcBorders>
            <w:shd w:val="clear" w:color="auto" w:fill="auto"/>
            <w:vAlign w:val="center"/>
            <w:hideMark/>
          </w:tcPr>
          <w:p w14:paraId="4003D839" w14:textId="77777777" w:rsidR="00420E00" w:rsidRPr="00A60C7D" w:rsidRDefault="00420E00" w:rsidP="00420E00">
            <w:pPr>
              <w:spacing w:after="120" w:line="240" w:lineRule="auto"/>
              <w:rPr>
                <w:rFonts w:ascii="Calibri" w:eastAsia="Times New Roman" w:hAnsi="Calibri" w:cs="Calibri"/>
                <w:color w:val="000000"/>
                <w:lang w:eastAsia="en-GB"/>
              </w:rPr>
            </w:pPr>
            <w:r w:rsidRPr="00A60C7D">
              <w:rPr>
                <w:rFonts w:ascii="Calibri" w:eastAsia="Times New Roman" w:hAnsi="Calibri" w:cs="Calibri"/>
                <w:color w:val="000000"/>
                <w:lang w:eastAsia="en-GB"/>
              </w:rPr>
              <w:t xml:space="preserve">Total capital </w:t>
            </w:r>
          </w:p>
        </w:tc>
        <w:tc>
          <w:tcPr>
            <w:tcW w:w="571" w:type="pct"/>
            <w:tcBorders>
              <w:top w:val="nil"/>
              <w:left w:val="nil"/>
              <w:bottom w:val="single" w:sz="4" w:space="0" w:color="auto"/>
              <w:right w:val="single" w:sz="4" w:space="0" w:color="auto"/>
            </w:tcBorders>
            <w:shd w:val="clear" w:color="auto" w:fill="auto"/>
            <w:vAlign w:val="center"/>
          </w:tcPr>
          <w:p w14:paraId="6E8ADF77" w14:textId="46CFE61E" w:rsidR="00420E00" w:rsidRPr="005A168C" w:rsidRDefault="009E7FBF" w:rsidP="005A168C">
            <w:pPr>
              <w:keepNext/>
              <w:tabs>
                <w:tab w:val="decimal" w:pos="627"/>
              </w:tabs>
              <w:spacing w:after="120" w:line="240" w:lineRule="auto"/>
              <w:rPr>
                <w:rFonts w:cstheme="minorHAnsi"/>
                <w:color w:val="000000"/>
              </w:rPr>
            </w:pPr>
            <w:r>
              <w:rPr>
                <w:rFonts w:cstheme="minorHAnsi"/>
                <w:color w:val="000000"/>
              </w:rPr>
              <w:t>1,324.9</w:t>
            </w:r>
          </w:p>
        </w:tc>
        <w:tc>
          <w:tcPr>
            <w:tcW w:w="571" w:type="pct"/>
            <w:tcBorders>
              <w:top w:val="nil"/>
              <w:left w:val="nil"/>
              <w:bottom w:val="single" w:sz="4" w:space="0" w:color="auto"/>
              <w:right w:val="single" w:sz="4" w:space="0" w:color="auto"/>
            </w:tcBorders>
            <w:shd w:val="clear" w:color="auto" w:fill="auto"/>
            <w:vAlign w:val="center"/>
            <w:hideMark/>
          </w:tcPr>
          <w:p w14:paraId="60ABD37C" w14:textId="3D3C71D4" w:rsidR="00420E00" w:rsidRPr="005A168C" w:rsidRDefault="00420E00" w:rsidP="005A168C">
            <w:pPr>
              <w:keepNext/>
              <w:tabs>
                <w:tab w:val="decimal" w:pos="627"/>
              </w:tabs>
              <w:spacing w:after="120" w:line="240" w:lineRule="auto"/>
              <w:rPr>
                <w:rFonts w:cstheme="minorHAnsi"/>
                <w:color w:val="000000"/>
              </w:rPr>
            </w:pPr>
            <w:r>
              <w:rPr>
                <w:rFonts w:cstheme="minorHAnsi"/>
                <w:color w:val="000000"/>
              </w:rPr>
              <w:t>1,338.9</w:t>
            </w:r>
          </w:p>
        </w:tc>
        <w:tc>
          <w:tcPr>
            <w:tcW w:w="572" w:type="pct"/>
            <w:tcBorders>
              <w:top w:val="nil"/>
              <w:left w:val="nil"/>
              <w:bottom w:val="single" w:sz="4" w:space="0" w:color="auto"/>
              <w:right w:val="single" w:sz="4" w:space="0" w:color="auto"/>
            </w:tcBorders>
            <w:shd w:val="clear" w:color="auto" w:fill="auto"/>
            <w:vAlign w:val="center"/>
            <w:hideMark/>
          </w:tcPr>
          <w:p w14:paraId="3ADD349B" w14:textId="5F5A36A3" w:rsidR="00420E00" w:rsidRPr="005A168C" w:rsidRDefault="00420E00" w:rsidP="005A168C">
            <w:pPr>
              <w:keepNext/>
              <w:tabs>
                <w:tab w:val="decimal" w:pos="627"/>
              </w:tabs>
              <w:spacing w:after="120" w:line="240" w:lineRule="auto"/>
              <w:rPr>
                <w:rFonts w:cstheme="minorHAnsi"/>
                <w:color w:val="000000"/>
              </w:rPr>
            </w:pPr>
            <w:r w:rsidRPr="005A168C">
              <w:rPr>
                <w:rFonts w:cstheme="minorHAnsi"/>
                <w:color w:val="000000"/>
              </w:rPr>
              <w:t>1,320.4</w:t>
            </w:r>
          </w:p>
        </w:tc>
        <w:tc>
          <w:tcPr>
            <w:tcW w:w="572" w:type="pct"/>
            <w:tcBorders>
              <w:top w:val="nil"/>
              <w:left w:val="nil"/>
              <w:bottom w:val="single" w:sz="4" w:space="0" w:color="auto"/>
              <w:right w:val="single" w:sz="4" w:space="0" w:color="auto"/>
            </w:tcBorders>
            <w:shd w:val="clear" w:color="auto" w:fill="E2EFD9" w:themeFill="accent6" w:themeFillTint="33"/>
          </w:tcPr>
          <w:p w14:paraId="653467A2" w14:textId="77777777" w:rsidR="00420E00" w:rsidRPr="00A60C7D" w:rsidRDefault="00420E00" w:rsidP="00420E00">
            <w:pPr>
              <w:spacing w:after="120" w:line="240" w:lineRule="auto"/>
              <w:jc w:val="center"/>
              <w:rPr>
                <w:rFonts w:ascii="Calibri" w:eastAsia="Times New Roman" w:hAnsi="Calibri" w:cs="Calibri"/>
                <w:color w:val="000000"/>
                <w:lang w:eastAsia="en-GB"/>
              </w:rPr>
            </w:pPr>
          </w:p>
        </w:tc>
      </w:tr>
      <w:tr w:rsidR="00420E00" w:rsidRPr="00A60C7D" w14:paraId="361A6F50" w14:textId="26788FE3" w:rsidTr="00B23C9D">
        <w:trPr>
          <w:trHeight w:val="288"/>
        </w:trPr>
        <w:tc>
          <w:tcPr>
            <w:tcW w:w="499" w:type="pct"/>
            <w:tcBorders>
              <w:top w:val="nil"/>
              <w:left w:val="single" w:sz="4" w:space="0" w:color="auto"/>
              <w:bottom w:val="single" w:sz="4" w:space="0" w:color="auto"/>
              <w:right w:val="single" w:sz="4" w:space="0" w:color="auto"/>
            </w:tcBorders>
            <w:shd w:val="clear" w:color="auto" w:fill="A8D08D" w:themeFill="accent6" w:themeFillTint="99"/>
            <w:vAlign w:val="center"/>
            <w:hideMark/>
          </w:tcPr>
          <w:p w14:paraId="26B5EA47" w14:textId="77777777" w:rsidR="00420E00" w:rsidRPr="00A60C7D" w:rsidRDefault="00420E00" w:rsidP="00420E00">
            <w:pPr>
              <w:keepNext/>
              <w:spacing w:after="120" w:line="240" w:lineRule="auto"/>
              <w:jc w:val="center"/>
              <w:rPr>
                <w:rFonts w:ascii="Calibri" w:eastAsia="Times New Roman" w:hAnsi="Calibri" w:cs="Calibri"/>
                <w:b/>
                <w:bCs/>
                <w:color w:val="000000"/>
                <w:lang w:eastAsia="en-GB"/>
              </w:rPr>
            </w:pPr>
            <w:r w:rsidRPr="00A60C7D">
              <w:rPr>
                <w:rFonts w:ascii="Calibri" w:eastAsia="Times New Roman" w:hAnsi="Calibri" w:cs="Calibri"/>
                <w:b/>
                <w:bCs/>
                <w:color w:val="000000"/>
                <w:lang w:eastAsia="en-GB"/>
              </w:rPr>
              <w:t> </w:t>
            </w:r>
          </w:p>
        </w:tc>
        <w:tc>
          <w:tcPr>
            <w:tcW w:w="3929" w:type="pct"/>
            <w:gridSpan w:val="4"/>
            <w:tcBorders>
              <w:top w:val="single" w:sz="4" w:space="0" w:color="auto"/>
              <w:left w:val="nil"/>
              <w:bottom w:val="single" w:sz="4" w:space="0" w:color="auto"/>
              <w:right w:val="single" w:sz="4" w:space="0" w:color="000000"/>
            </w:tcBorders>
            <w:shd w:val="clear" w:color="auto" w:fill="A8D08D" w:themeFill="accent6" w:themeFillTint="99"/>
            <w:vAlign w:val="center"/>
            <w:hideMark/>
          </w:tcPr>
          <w:p w14:paraId="2BE9742B" w14:textId="77777777" w:rsidR="00420E00" w:rsidRPr="00A60C7D" w:rsidRDefault="00420E00" w:rsidP="00420E00">
            <w:pPr>
              <w:keepNext/>
              <w:spacing w:after="120" w:line="240" w:lineRule="auto"/>
              <w:rPr>
                <w:rFonts w:ascii="Calibri" w:eastAsia="Times New Roman" w:hAnsi="Calibri" w:cs="Calibri"/>
                <w:b/>
                <w:bCs/>
                <w:color w:val="000000"/>
                <w:lang w:eastAsia="en-GB"/>
              </w:rPr>
            </w:pPr>
            <w:r w:rsidRPr="00A60C7D">
              <w:rPr>
                <w:rFonts w:ascii="Calibri" w:eastAsia="Times New Roman" w:hAnsi="Calibri" w:cs="Calibri"/>
                <w:b/>
                <w:bCs/>
                <w:color w:val="000000"/>
                <w:lang w:eastAsia="en-GB"/>
              </w:rPr>
              <w:t>Risk-weighted exposure amounts</w:t>
            </w:r>
          </w:p>
        </w:tc>
        <w:tc>
          <w:tcPr>
            <w:tcW w:w="572" w:type="pct"/>
            <w:tcBorders>
              <w:top w:val="single" w:sz="4" w:space="0" w:color="auto"/>
              <w:left w:val="nil"/>
              <w:bottom w:val="single" w:sz="4" w:space="0" w:color="auto"/>
              <w:right w:val="single" w:sz="4" w:space="0" w:color="000000"/>
            </w:tcBorders>
            <w:shd w:val="clear" w:color="auto" w:fill="A8D08D" w:themeFill="accent6" w:themeFillTint="99"/>
          </w:tcPr>
          <w:p w14:paraId="7A34CFBA" w14:textId="77777777" w:rsidR="00420E00" w:rsidRPr="00A60C7D" w:rsidRDefault="00420E00" w:rsidP="00420E00">
            <w:pPr>
              <w:keepNext/>
              <w:spacing w:after="120" w:line="240" w:lineRule="auto"/>
              <w:rPr>
                <w:rFonts w:ascii="Calibri" w:eastAsia="Times New Roman" w:hAnsi="Calibri" w:cs="Calibri"/>
                <w:b/>
                <w:bCs/>
                <w:color w:val="000000"/>
                <w:lang w:eastAsia="en-GB"/>
              </w:rPr>
            </w:pPr>
          </w:p>
        </w:tc>
      </w:tr>
      <w:tr w:rsidR="00420E00" w:rsidRPr="00A60C7D" w14:paraId="45ABFE1D" w14:textId="571211B9" w:rsidTr="0082095A">
        <w:trPr>
          <w:trHeight w:val="288"/>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2F2D13CD" w14:textId="77777777" w:rsidR="00420E00" w:rsidRPr="00A60C7D" w:rsidRDefault="00420E00" w:rsidP="00420E00">
            <w:pPr>
              <w:spacing w:after="120" w:line="240" w:lineRule="auto"/>
              <w:jc w:val="center"/>
              <w:rPr>
                <w:rFonts w:ascii="Calibri" w:eastAsia="Times New Roman" w:hAnsi="Calibri" w:cs="Calibri"/>
                <w:color w:val="000000"/>
                <w:lang w:eastAsia="en-GB"/>
              </w:rPr>
            </w:pPr>
            <w:r w:rsidRPr="00A60C7D">
              <w:rPr>
                <w:rFonts w:ascii="Calibri" w:eastAsia="Times New Roman" w:hAnsi="Calibri" w:cs="Calibri"/>
                <w:color w:val="000000"/>
                <w:lang w:eastAsia="en-GB"/>
              </w:rPr>
              <w:t>4</w:t>
            </w:r>
          </w:p>
        </w:tc>
        <w:tc>
          <w:tcPr>
            <w:tcW w:w="2215" w:type="pct"/>
            <w:tcBorders>
              <w:top w:val="nil"/>
              <w:left w:val="nil"/>
              <w:bottom w:val="single" w:sz="4" w:space="0" w:color="auto"/>
              <w:right w:val="single" w:sz="4" w:space="0" w:color="auto"/>
            </w:tcBorders>
            <w:shd w:val="clear" w:color="auto" w:fill="auto"/>
            <w:vAlign w:val="center"/>
            <w:hideMark/>
          </w:tcPr>
          <w:p w14:paraId="6F5D5ABD" w14:textId="77777777" w:rsidR="00420E00" w:rsidRPr="00A60C7D" w:rsidRDefault="00420E00" w:rsidP="00420E00">
            <w:pPr>
              <w:spacing w:after="120" w:line="240" w:lineRule="auto"/>
              <w:rPr>
                <w:rFonts w:ascii="Calibri" w:eastAsia="Times New Roman" w:hAnsi="Calibri" w:cs="Calibri"/>
                <w:color w:val="000000"/>
                <w:lang w:eastAsia="en-GB"/>
              </w:rPr>
            </w:pPr>
            <w:r w:rsidRPr="00A60C7D">
              <w:rPr>
                <w:rFonts w:ascii="Calibri" w:eastAsia="Times New Roman" w:hAnsi="Calibri" w:cs="Calibri"/>
                <w:color w:val="000000"/>
                <w:lang w:eastAsia="en-GB"/>
              </w:rPr>
              <w:t>Total risk-weighted exposure amount</w:t>
            </w:r>
          </w:p>
        </w:tc>
        <w:tc>
          <w:tcPr>
            <w:tcW w:w="571" w:type="pct"/>
            <w:tcBorders>
              <w:top w:val="nil"/>
              <w:left w:val="nil"/>
              <w:bottom w:val="single" w:sz="4" w:space="0" w:color="auto"/>
              <w:right w:val="single" w:sz="4" w:space="0" w:color="auto"/>
            </w:tcBorders>
            <w:shd w:val="clear" w:color="auto" w:fill="auto"/>
            <w:vAlign w:val="center"/>
          </w:tcPr>
          <w:p w14:paraId="6B6EF87F" w14:textId="089ABA61" w:rsidR="00420E00" w:rsidRPr="005A168C" w:rsidRDefault="009E7FBF" w:rsidP="005A168C">
            <w:pPr>
              <w:keepNext/>
              <w:tabs>
                <w:tab w:val="decimal" w:pos="627"/>
              </w:tabs>
              <w:spacing w:after="120" w:line="240" w:lineRule="auto"/>
              <w:rPr>
                <w:rFonts w:cstheme="minorHAnsi"/>
                <w:color w:val="000000"/>
              </w:rPr>
            </w:pPr>
            <w:r>
              <w:rPr>
                <w:rFonts w:cstheme="minorHAnsi"/>
                <w:color w:val="000000"/>
              </w:rPr>
              <w:t>7,974.7</w:t>
            </w:r>
          </w:p>
        </w:tc>
        <w:tc>
          <w:tcPr>
            <w:tcW w:w="571" w:type="pct"/>
            <w:tcBorders>
              <w:top w:val="nil"/>
              <w:left w:val="nil"/>
              <w:bottom w:val="single" w:sz="4" w:space="0" w:color="auto"/>
              <w:right w:val="single" w:sz="4" w:space="0" w:color="auto"/>
            </w:tcBorders>
            <w:shd w:val="clear" w:color="auto" w:fill="auto"/>
            <w:vAlign w:val="center"/>
            <w:hideMark/>
          </w:tcPr>
          <w:p w14:paraId="1B401973" w14:textId="1CF23FA5" w:rsidR="00420E00" w:rsidRPr="005A168C" w:rsidRDefault="00420E00" w:rsidP="005A168C">
            <w:pPr>
              <w:keepNext/>
              <w:tabs>
                <w:tab w:val="decimal" w:pos="627"/>
              </w:tabs>
              <w:spacing w:after="120" w:line="240" w:lineRule="auto"/>
              <w:rPr>
                <w:rFonts w:cstheme="minorHAnsi"/>
                <w:color w:val="000000"/>
              </w:rPr>
            </w:pPr>
            <w:r>
              <w:rPr>
                <w:rFonts w:cstheme="minorHAnsi"/>
                <w:color w:val="000000"/>
              </w:rPr>
              <w:t>7,668.7</w:t>
            </w:r>
          </w:p>
        </w:tc>
        <w:tc>
          <w:tcPr>
            <w:tcW w:w="572" w:type="pct"/>
            <w:tcBorders>
              <w:top w:val="nil"/>
              <w:left w:val="nil"/>
              <w:bottom w:val="single" w:sz="4" w:space="0" w:color="auto"/>
              <w:right w:val="single" w:sz="4" w:space="0" w:color="auto"/>
            </w:tcBorders>
            <w:shd w:val="clear" w:color="auto" w:fill="auto"/>
            <w:vAlign w:val="center"/>
            <w:hideMark/>
          </w:tcPr>
          <w:p w14:paraId="051D0741" w14:textId="08402651" w:rsidR="00420E00" w:rsidRPr="005A168C" w:rsidRDefault="00420E00" w:rsidP="005A168C">
            <w:pPr>
              <w:keepNext/>
              <w:tabs>
                <w:tab w:val="decimal" w:pos="627"/>
              </w:tabs>
              <w:spacing w:after="120" w:line="240" w:lineRule="auto"/>
              <w:rPr>
                <w:rFonts w:cstheme="minorHAnsi"/>
                <w:color w:val="000000"/>
              </w:rPr>
            </w:pPr>
            <w:r w:rsidRPr="005A168C">
              <w:rPr>
                <w:rFonts w:cstheme="minorHAnsi"/>
                <w:color w:val="000000"/>
              </w:rPr>
              <w:t>7,479.9</w:t>
            </w:r>
          </w:p>
        </w:tc>
        <w:tc>
          <w:tcPr>
            <w:tcW w:w="572" w:type="pct"/>
            <w:tcBorders>
              <w:top w:val="nil"/>
              <w:left w:val="nil"/>
              <w:bottom w:val="single" w:sz="4" w:space="0" w:color="auto"/>
              <w:right w:val="single" w:sz="4" w:space="0" w:color="auto"/>
            </w:tcBorders>
            <w:shd w:val="clear" w:color="auto" w:fill="E2EFD9" w:themeFill="accent6" w:themeFillTint="33"/>
          </w:tcPr>
          <w:p w14:paraId="6B3EC97C" w14:textId="77777777" w:rsidR="00420E00" w:rsidRPr="00A60C7D" w:rsidRDefault="00420E00" w:rsidP="00420E00">
            <w:pPr>
              <w:spacing w:after="120" w:line="240" w:lineRule="auto"/>
              <w:jc w:val="center"/>
              <w:rPr>
                <w:rFonts w:ascii="Calibri" w:eastAsia="Times New Roman" w:hAnsi="Calibri" w:cs="Calibri"/>
                <w:color w:val="000000"/>
                <w:lang w:eastAsia="en-GB"/>
              </w:rPr>
            </w:pPr>
          </w:p>
        </w:tc>
      </w:tr>
      <w:tr w:rsidR="00420E00" w:rsidRPr="00A60C7D" w14:paraId="437C9586" w14:textId="62C48DBC" w:rsidTr="00B23C9D">
        <w:trPr>
          <w:trHeight w:val="300"/>
        </w:trPr>
        <w:tc>
          <w:tcPr>
            <w:tcW w:w="499" w:type="pct"/>
            <w:tcBorders>
              <w:top w:val="nil"/>
              <w:left w:val="single" w:sz="4" w:space="0" w:color="auto"/>
              <w:bottom w:val="single" w:sz="4" w:space="0" w:color="auto"/>
              <w:right w:val="single" w:sz="4" w:space="0" w:color="auto"/>
            </w:tcBorders>
            <w:shd w:val="clear" w:color="auto" w:fill="A8D08D" w:themeFill="accent6" w:themeFillTint="99"/>
            <w:vAlign w:val="center"/>
            <w:hideMark/>
          </w:tcPr>
          <w:p w14:paraId="72406C88" w14:textId="77777777" w:rsidR="00420E00" w:rsidRPr="00A60C7D" w:rsidRDefault="00420E00" w:rsidP="00420E00">
            <w:pPr>
              <w:keepNext/>
              <w:spacing w:after="120" w:line="240" w:lineRule="auto"/>
              <w:jc w:val="center"/>
              <w:rPr>
                <w:rFonts w:ascii="Calibri" w:eastAsia="Times New Roman" w:hAnsi="Calibri" w:cs="Calibri"/>
                <w:b/>
                <w:bCs/>
                <w:color w:val="000000"/>
                <w:lang w:eastAsia="en-GB"/>
              </w:rPr>
            </w:pPr>
            <w:r w:rsidRPr="00A60C7D">
              <w:rPr>
                <w:rFonts w:ascii="Calibri" w:eastAsia="Times New Roman" w:hAnsi="Calibri" w:cs="Calibri"/>
                <w:b/>
                <w:bCs/>
                <w:color w:val="000000"/>
                <w:lang w:eastAsia="en-GB"/>
              </w:rPr>
              <w:t> </w:t>
            </w:r>
          </w:p>
        </w:tc>
        <w:tc>
          <w:tcPr>
            <w:tcW w:w="3929" w:type="pct"/>
            <w:gridSpan w:val="4"/>
            <w:tcBorders>
              <w:top w:val="single" w:sz="4" w:space="0" w:color="auto"/>
              <w:left w:val="nil"/>
              <w:bottom w:val="single" w:sz="4" w:space="0" w:color="auto"/>
              <w:right w:val="single" w:sz="4" w:space="0" w:color="000000"/>
            </w:tcBorders>
            <w:shd w:val="clear" w:color="auto" w:fill="A8D08D" w:themeFill="accent6" w:themeFillTint="99"/>
            <w:vAlign w:val="center"/>
            <w:hideMark/>
          </w:tcPr>
          <w:p w14:paraId="2C90A0FB" w14:textId="77777777" w:rsidR="00420E00" w:rsidRPr="00A60C7D" w:rsidRDefault="00420E00" w:rsidP="00420E00">
            <w:pPr>
              <w:keepNext/>
              <w:spacing w:after="120" w:line="240" w:lineRule="auto"/>
              <w:rPr>
                <w:rFonts w:ascii="Calibri" w:eastAsia="Times New Roman" w:hAnsi="Calibri" w:cs="Calibri"/>
                <w:b/>
                <w:bCs/>
                <w:color w:val="000000"/>
                <w:lang w:eastAsia="en-GB"/>
              </w:rPr>
            </w:pPr>
            <w:r w:rsidRPr="00A60C7D">
              <w:rPr>
                <w:rFonts w:ascii="Calibri" w:eastAsia="Times New Roman" w:hAnsi="Calibri" w:cs="Calibri"/>
                <w:b/>
                <w:bCs/>
                <w:color w:val="000000"/>
                <w:lang w:eastAsia="en-GB"/>
              </w:rPr>
              <w:t>Capital ratios  (as a percentage of risk-weighted exposure amount)</w:t>
            </w:r>
          </w:p>
        </w:tc>
        <w:tc>
          <w:tcPr>
            <w:tcW w:w="572" w:type="pct"/>
            <w:tcBorders>
              <w:top w:val="single" w:sz="4" w:space="0" w:color="auto"/>
              <w:left w:val="nil"/>
              <w:bottom w:val="single" w:sz="4" w:space="0" w:color="auto"/>
              <w:right w:val="single" w:sz="4" w:space="0" w:color="000000"/>
            </w:tcBorders>
            <w:shd w:val="clear" w:color="auto" w:fill="A8D08D" w:themeFill="accent6" w:themeFillTint="99"/>
          </w:tcPr>
          <w:p w14:paraId="297E5085" w14:textId="77777777" w:rsidR="00420E00" w:rsidRPr="00A60C7D" w:rsidRDefault="00420E00" w:rsidP="00420E00">
            <w:pPr>
              <w:keepNext/>
              <w:spacing w:after="120" w:line="240" w:lineRule="auto"/>
              <w:rPr>
                <w:rFonts w:ascii="Calibri" w:eastAsia="Times New Roman" w:hAnsi="Calibri" w:cs="Calibri"/>
                <w:b/>
                <w:bCs/>
                <w:color w:val="000000"/>
                <w:lang w:eastAsia="en-GB"/>
              </w:rPr>
            </w:pPr>
          </w:p>
        </w:tc>
      </w:tr>
      <w:tr w:rsidR="00420E00" w:rsidRPr="00A60C7D" w14:paraId="1E34849E" w14:textId="6DE3D561" w:rsidTr="0082095A">
        <w:trPr>
          <w:trHeight w:val="288"/>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1D811571" w14:textId="77777777" w:rsidR="00420E00" w:rsidRPr="00A60C7D" w:rsidRDefault="00420E00" w:rsidP="00420E00">
            <w:pPr>
              <w:spacing w:after="120" w:line="240" w:lineRule="auto"/>
              <w:jc w:val="center"/>
              <w:rPr>
                <w:rFonts w:ascii="Calibri" w:eastAsia="Times New Roman" w:hAnsi="Calibri" w:cs="Calibri"/>
                <w:color w:val="000000"/>
                <w:lang w:eastAsia="en-GB"/>
              </w:rPr>
            </w:pPr>
            <w:r w:rsidRPr="00A60C7D">
              <w:rPr>
                <w:rFonts w:ascii="Calibri" w:eastAsia="Times New Roman" w:hAnsi="Calibri" w:cs="Calibri"/>
                <w:color w:val="000000"/>
                <w:lang w:eastAsia="en-GB"/>
              </w:rPr>
              <w:t>5</w:t>
            </w:r>
          </w:p>
        </w:tc>
        <w:tc>
          <w:tcPr>
            <w:tcW w:w="2215" w:type="pct"/>
            <w:tcBorders>
              <w:top w:val="nil"/>
              <w:left w:val="nil"/>
              <w:bottom w:val="single" w:sz="4" w:space="0" w:color="auto"/>
              <w:right w:val="single" w:sz="4" w:space="0" w:color="auto"/>
            </w:tcBorders>
            <w:shd w:val="clear" w:color="auto" w:fill="auto"/>
            <w:vAlign w:val="center"/>
            <w:hideMark/>
          </w:tcPr>
          <w:p w14:paraId="7C2048C5" w14:textId="77777777" w:rsidR="00420E00" w:rsidRPr="00A60C7D" w:rsidRDefault="00420E00" w:rsidP="00420E00">
            <w:pPr>
              <w:spacing w:after="120" w:line="240" w:lineRule="auto"/>
              <w:rPr>
                <w:rFonts w:ascii="Calibri" w:eastAsia="Times New Roman" w:hAnsi="Calibri" w:cs="Calibri"/>
                <w:color w:val="000000"/>
                <w:lang w:eastAsia="en-GB"/>
              </w:rPr>
            </w:pPr>
            <w:r w:rsidRPr="00A60C7D">
              <w:rPr>
                <w:rFonts w:ascii="Calibri" w:eastAsia="Times New Roman" w:hAnsi="Calibri" w:cs="Calibri"/>
                <w:color w:val="000000"/>
                <w:lang w:eastAsia="en-GB"/>
              </w:rPr>
              <w:t>Common Equity Tier 1 ratio (%)</w:t>
            </w:r>
          </w:p>
        </w:tc>
        <w:tc>
          <w:tcPr>
            <w:tcW w:w="571" w:type="pct"/>
            <w:tcBorders>
              <w:top w:val="nil"/>
              <w:left w:val="nil"/>
              <w:bottom w:val="single" w:sz="4" w:space="0" w:color="auto"/>
              <w:right w:val="single" w:sz="4" w:space="0" w:color="auto"/>
            </w:tcBorders>
            <w:shd w:val="clear" w:color="auto" w:fill="auto"/>
            <w:vAlign w:val="center"/>
          </w:tcPr>
          <w:p w14:paraId="7D949AA9" w14:textId="37D7A572" w:rsidR="00420E00" w:rsidRPr="005A168C" w:rsidRDefault="009E7FBF" w:rsidP="005A168C">
            <w:pPr>
              <w:keepNext/>
              <w:tabs>
                <w:tab w:val="decimal" w:pos="627"/>
              </w:tabs>
              <w:spacing w:after="120" w:line="240" w:lineRule="auto"/>
              <w:rPr>
                <w:rFonts w:cstheme="minorHAnsi"/>
                <w:color w:val="000000"/>
              </w:rPr>
            </w:pPr>
            <w:r>
              <w:rPr>
                <w:rFonts w:cstheme="minorHAnsi"/>
                <w:color w:val="000000"/>
              </w:rPr>
              <w:t>14.</w:t>
            </w:r>
            <w:r w:rsidR="00E94513">
              <w:rPr>
                <w:rFonts w:cstheme="minorHAnsi"/>
                <w:color w:val="000000"/>
              </w:rPr>
              <w:t>7</w:t>
            </w:r>
          </w:p>
        </w:tc>
        <w:tc>
          <w:tcPr>
            <w:tcW w:w="571" w:type="pct"/>
            <w:tcBorders>
              <w:top w:val="nil"/>
              <w:left w:val="nil"/>
              <w:bottom w:val="single" w:sz="4" w:space="0" w:color="auto"/>
              <w:right w:val="single" w:sz="4" w:space="0" w:color="auto"/>
            </w:tcBorders>
            <w:shd w:val="clear" w:color="auto" w:fill="auto"/>
            <w:vAlign w:val="center"/>
            <w:hideMark/>
          </w:tcPr>
          <w:p w14:paraId="48FE3137" w14:textId="538AAA1D" w:rsidR="00420E00" w:rsidRPr="005A168C" w:rsidRDefault="00420E00" w:rsidP="005A168C">
            <w:pPr>
              <w:keepNext/>
              <w:tabs>
                <w:tab w:val="decimal" w:pos="627"/>
              </w:tabs>
              <w:spacing w:after="120" w:line="240" w:lineRule="auto"/>
              <w:rPr>
                <w:rFonts w:cstheme="minorHAnsi"/>
                <w:color w:val="000000"/>
              </w:rPr>
            </w:pPr>
            <w:r w:rsidRPr="00EE5782">
              <w:rPr>
                <w:rFonts w:cstheme="minorHAnsi"/>
                <w:color w:val="000000"/>
              </w:rPr>
              <w:t>15.5</w:t>
            </w:r>
          </w:p>
        </w:tc>
        <w:tc>
          <w:tcPr>
            <w:tcW w:w="572" w:type="pct"/>
            <w:tcBorders>
              <w:top w:val="nil"/>
              <w:left w:val="nil"/>
              <w:bottom w:val="single" w:sz="4" w:space="0" w:color="auto"/>
              <w:right w:val="single" w:sz="4" w:space="0" w:color="auto"/>
            </w:tcBorders>
            <w:shd w:val="clear" w:color="auto" w:fill="auto"/>
            <w:vAlign w:val="center"/>
            <w:hideMark/>
          </w:tcPr>
          <w:p w14:paraId="5AB2F381" w14:textId="609CCAEC" w:rsidR="00420E00" w:rsidRPr="005A168C" w:rsidRDefault="00420E00" w:rsidP="005A168C">
            <w:pPr>
              <w:keepNext/>
              <w:tabs>
                <w:tab w:val="decimal" w:pos="627"/>
              </w:tabs>
              <w:spacing w:after="120" w:line="240" w:lineRule="auto"/>
              <w:rPr>
                <w:rFonts w:cstheme="minorHAnsi"/>
                <w:color w:val="000000"/>
              </w:rPr>
            </w:pPr>
            <w:r w:rsidRPr="005A168C">
              <w:rPr>
                <w:rFonts w:cstheme="minorHAnsi"/>
                <w:color w:val="000000"/>
              </w:rPr>
              <w:t>15.6</w:t>
            </w:r>
          </w:p>
        </w:tc>
        <w:tc>
          <w:tcPr>
            <w:tcW w:w="572" w:type="pct"/>
            <w:tcBorders>
              <w:top w:val="nil"/>
              <w:left w:val="nil"/>
              <w:bottom w:val="single" w:sz="4" w:space="0" w:color="auto"/>
              <w:right w:val="single" w:sz="4" w:space="0" w:color="auto"/>
            </w:tcBorders>
            <w:shd w:val="clear" w:color="auto" w:fill="E2EFD9" w:themeFill="accent6" w:themeFillTint="33"/>
          </w:tcPr>
          <w:p w14:paraId="587DECFD" w14:textId="77777777" w:rsidR="00420E00" w:rsidRPr="00A60C7D" w:rsidRDefault="00420E00" w:rsidP="00420E00">
            <w:pPr>
              <w:spacing w:after="120" w:line="240" w:lineRule="auto"/>
              <w:jc w:val="center"/>
              <w:rPr>
                <w:rFonts w:ascii="Calibri" w:eastAsia="Times New Roman" w:hAnsi="Calibri" w:cs="Calibri"/>
                <w:color w:val="000000"/>
                <w:lang w:eastAsia="en-GB"/>
              </w:rPr>
            </w:pPr>
          </w:p>
        </w:tc>
      </w:tr>
      <w:tr w:rsidR="00420E00" w:rsidRPr="00A60C7D" w14:paraId="023FE562" w14:textId="71F97E66" w:rsidTr="0082095A">
        <w:trPr>
          <w:trHeight w:val="288"/>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5FD05253" w14:textId="77777777" w:rsidR="00420E00" w:rsidRPr="00A60C7D" w:rsidRDefault="00420E00" w:rsidP="00420E00">
            <w:pPr>
              <w:spacing w:after="120" w:line="240" w:lineRule="auto"/>
              <w:jc w:val="center"/>
              <w:rPr>
                <w:rFonts w:ascii="Calibri" w:eastAsia="Times New Roman" w:hAnsi="Calibri" w:cs="Calibri"/>
                <w:color w:val="000000"/>
                <w:lang w:eastAsia="en-GB"/>
              </w:rPr>
            </w:pPr>
            <w:r w:rsidRPr="00A60C7D">
              <w:rPr>
                <w:rFonts w:ascii="Calibri" w:eastAsia="Times New Roman" w:hAnsi="Calibri" w:cs="Calibri"/>
                <w:color w:val="000000"/>
                <w:lang w:eastAsia="en-GB"/>
              </w:rPr>
              <w:t>6</w:t>
            </w:r>
          </w:p>
        </w:tc>
        <w:tc>
          <w:tcPr>
            <w:tcW w:w="2215" w:type="pct"/>
            <w:tcBorders>
              <w:top w:val="nil"/>
              <w:left w:val="nil"/>
              <w:bottom w:val="single" w:sz="4" w:space="0" w:color="auto"/>
              <w:right w:val="single" w:sz="4" w:space="0" w:color="auto"/>
            </w:tcBorders>
            <w:shd w:val="clear" w:color="auto" w:fill="auto"/>
            <w:vAlign w:val="center"/>
            <w:hideMark/>
          </w:tcPr>
          <w:p w14:paraId="55F32B71" w14:textId="77777777" w:rsidR="00420E00" w:rsidRPr="00A60C7D" w:rsidRDefault="00420E00" w:rsidP="00420E00">
            <w:pPr>
              <w:spacing w:after="120" w:line="240" w:lineRule="auto"/>
              <w:rPr>
                <w:rFonts w:ascii="Calibri" w:eastAsia="Times New Roman" w:hAnsi="Calibri" w:cs="Calibri"/>
                <w:color w:val="000000"/>
                <w:lang w:eastAsia="en-GB"/>
              </w:rPr>
            </w:pPr>
            <w:r w:rsidRPr="00A60C7D">
              <w:rPr>
                <w:rFonts w:ascii="Calibri" w:eastAsia="Times New Roman" w:hAnsi="Calibri" w:cs="Calibri"/>
                <w:color w:val="000000"/>
                <w:lang w:eastAsia="en-GB"/>
              </w:rPr>
              <w:t>Tier 1 ratio (%)</w:t>
            </w:r>
          </w:p>
        </w:tc>
        <w:tc>
          <w:tcPr>
            <w:tcW w:w="571" w:type="pct"/>
            <w:tcBorders>
              <w:top w:val="nil"/>
              <w:left w:val="nil"/>
              <w:bottom w:val="single" w:sz="4" w:space="0" w:color="auto"/>
              <w:right w:val="single" w:sz="4" w:space="0" w:color="auto"/>
            </w:tcBorders>
            <w:shd w:val="clear" w:color="auto" w:fill="auto"/>
            <w:vAlign w:val="center"/>
          </w:tcPr>
          <w:p w14:paraId="6CD68077" w14:textId="0F21A8D2" w:rsidR="00420E00" w:rsidRPr="005A168C" w:rsidRDefault="009E7FBF" w:rsidP="005A168C">
            <w:pPr>
              <w:keepNext/>
              <w:tabs>
                <w:tab w:val="decimal" w:pos="627"/>
              </w:tabs>
              <w:spacing w:after="120" w:line="240" w:lineRule="auto"/>
              <w:rPr>
                <w:rFonts w:cstheme="minorHAnsi"/>
                <w:color w:val="000000"/>
              </w:rPr>
            </w:pPr>
            <w:r>
              <w:rPr>
                <w:rFonts w:cstheme="minorHAnsi"/>
                <w:color w:val="000000"/>
              </w:rPr>
              <w:t>14.</w:t>
            </w:r>
            <w:r w:rsidR="00E94513">
              <w:rPr>
                <w:rFonts w:cstheme="minorHAnsi"/>
                <w:color w:val="000000"/>
              </w:rPr>
              <w:t>7</w:t>
            </w:r>
          </w:p>
        </w:tc>
        <w:tc>
          <w:tcPr>
            <w:tcW w:w="571" w:type="pct"/>
            <w:tcBorders>
              <w:top w:val="nil"/>
              <w:left w:val="nil"/>
              <w:bottom w:val="single" w:sz="4" w:space="0" w:color="auto"/>
              <w:right w:val="single" w:sz="4" w:space="0" w:color="auto"/>
            </w:tcBorders>
            <w:shd w:val="clear" w:color="auto" w:fill="auto"/>
            <w:vAlign w:val="center"/>
            <w:hideMark/>
          </w:tcPr>
          <w:p w14:paraId="7C0B3D14" w14:textId="09ACFD5F" w:rsidR="00420E00" w:rsidRPr="005A168C" w:rsidRDefault="00420E00" w:rsidP="005A168C">
            <w:pPr>
              <w:keepNext/>
              <w:tabs>
                <w:tab w:val="decimal" w:pos="627"/>
              </w:tabs>
              <w:spacing w:after="120" w:line="240" w:lineRule="auto"/>
              <w:rPr>
                <w:rFonts w:cstheme="minorHAnsi"/>
                <w:color w:val="000000"/>
              </w:rPr>
            </w:pPr>
            <w:r>
              <w:rPr>
                <w:rFonts w:cstheme="minorHAnsi"/>
                <w:color w:val="000000"/>
              </w:rPr>
              <w:t>15.5</w:t>
            </w:r>
          </w:p>
        </w:tc>
        <w:tc>
          <w:tcPr>
            <w:tcW w:w="572" w:type="pct"/>
            <w:tcBorders>
              <w:top w:val="nil"/>
              <w:left w:val="nil"/>
              <w:bottom w:val="single" w:sz="4" w:space="0" w:color="auto"/>
              <w:right w:val="single" w:sz="4" w:space="0" w:color="auto"/>
            </w:tcBorders>
            <w:shd w:val="clear" w:color="auto" w:fill="auto"/>
            <w:vAlign w:val="center"/>
            <w:hideMark/>
          </w:tcPr>
          <w:p w14:paraId="56331F2D" w14:textId="7732A0E1" w:rsidR="00420E00" w:rsidRPr="005A168C" w:rsidRDefault="00420E00" w:rsidP="005A168C">
            <w:pPr>
              <w:keepNext/>
              <w:tabs>
                <w:tab w:val="decimal" w:pos="627"/>
              </w:tabs>
              <w:spacing w:after="120" w:line="240" w:lineRule="auto"/>
              <w:rPr>
                <w:rFonts w:cstheme="minorHAnsi"/>
                <w:color w:val="000000"/>
              </w:rPr>
            </w:pPr>
            <w:r w:rsidRPr="005A168C">
              <w:rPr>
                <w:rFonts w:cstheme="minorHAnsi"/>
                <w:color w:val="000000"/>
              </w:rPr>
              <w:t>15.6</w:t>
            </w:r>
          </w:p>
        </w:tc>
        <w:tc>
          <w:tcPr>
            <w:tcW w:w="572" w:type="pct"/>
            <w:tcBorders>
              <w:top w:val="nil"/>
              <w:left w:val="nil"/>
              <w:bottom w:val="single" w:sz="4" w:space="0" w:color="auto"/>
              <w:right w:val="single" w:sz="4" w:space="0" w:color="auto"/>
            </w:tcBorders>
            <w:shd w:val="clear" w:color="auto" w:fill="E2EFD9" w:themeFill="accent6" w:themeFillTint="33"/>
          </w:tcPr>
          <w:p w14:paraId="0B72FCC1" w14:textId="77777777" w:rsidR="00420E00" w:rsidRPr="00A60C7D" w:rsidRDefault="00420E00" w:rsidP="00420E00">
            <w:pPr>
              <w:spacing w:after="120" w:line="240" w:lineRule="auto"/>
              <w:jc w:val="center"/>
              <w:rPr>
                <w:rFonts w:ascii="Calibri" w:eastAsia="Times New Roman" w:hAnsi="Calibri" w:cs="Calibri"/>
                <w:color w:val="000000"/>
                <w:lang w:eastAsia="en-GB"/>
              </w:rPr>
            </w:pPr>
          </w:p>
        </w:tc>
      </w:tr>
      <w:tr w:rsidR="00420E00" w:rsidRPr="00A60C7D" w14:paraId="3DA672EE" w14:textId="55572897" w:rsidTr="0082095A">
        <w:trPr>
          <w:trHeight w:val="288"/>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684F8085" w14:textId="77777777" w:rsidR="00420E00" w:rsidRPr="00A60C7D" w:rsidRDefault="00420E00" w:rsidP="00420E00">
            <w:pPr>
              <w:spacing w:after="120" w:line="240" w:lineRule="auto"/>
              <w:jc w:val="center"/>
              <w:rPr>
                <w:rFonts w:ascii="Calibri" w:eastAsia="Times New Roman" w:hAnsi="Calibri" w:cs="Calibri"/>
                <w:color w:val="000000"/>
                <w:lang w:eastAsia="en-GB"/>
              </w:rPr>
            </w:pPr>
            <w:r w:rsidRPr="00A60C7D">
              <w:rPr>
                <w:rFonts w:ascii="Calibri" w:eastAsia="Times New Roman" w:hAnsi="Calibri" w:cs="Calibri"/>
                <w:color w:val="000000"/>
                <w:lang w:eastAsia="en-GB"/>
              </w:rPr>
              <w:t>7</w:t>
            </w:r>
          </w:p>
        </w:tc>
        <w:tc>
          <w:tcPr>
            <w:tcW w:w="2215" w:type="pct"/>
            <w:tcBorders>
              <w:top w:val="nil"/>
              <w:left w:val="nil"/>
              <w:bottom w:val="single" w:sz="4" w:space="0" w:color="auto"/>
              <w:right w:val="single" w:sz="4" w:space="0" w:color="auto"/>
            </w:tcBorders>
            <w:shd w:val="clear" w:color="auto" w:fill="auto"/>
            <w:vAlign w:val="center"/>
            <w:hideMark/>
          </w:tcPr>
          <w:p w14:paraId="4D0256B2" w14:textId="77777777" w:rsidR="00420E00" w:rsidRPr="00A60C7D" w:rsidRDefault="00420E00" w:rsidP="00420E00">
            <w:pPr>
              <w:spacing w:after="120" w:line="240" w:lineRule="auto"/>
              <w:rPr>
                <w:rFonts w:ascii="Calibri" w:eastAsia="Times New Roman" w:hAnsi="Calibri" w:cs="Calibri"/>
                <w:color w:val="000000"/>
                <w:lang w:eastAsia="en-GB"/>
              </w:rPr>
            </w:pPr>
            <w:r w:rsidRPr="00A60C7D">
              <w:rPr>
                <w:rFonts w:ascii="Calibri" w:eastAsia="Times New Roman" w:hAnsi="Calibri" w:cs="Calibri"/>
                <w:color w:val="000000"/>
                <w:lang w:eastAsia="en-GB"/>
              </w:rPr>
              <w:t>Total capital ratio (%)</w:t>
            </w:r>
          </w:p>
        </w:tc>
        <w:tc>
          <w:tcPr>
            <w:tcW w:w="571" w:type="pct"/>
            <w:tcBorders>
              <w:top w:val="nil"/>
              <w:left w:val="nil"/>
              <w:bottom w:val="single" w:sz="4" w:space="0" w:color="auto"/>
              <w:right w:val="single" w:sz="4" w:space="0" w:color="auto"/>
            </w:tcBorders>
            <w:shd w:val="clear" w:color="auto" w:fill="auto"/>
            <w:vAlign w:val="center"/>
          </w:tcPr>
          <w:p w14:paraId="6DC4B61D" w14:textId="1E990F03" w:rsidR="00420E00" w:rsidRPr="005A168C" w:rsidRDefault="009E7FBF" w:rsidP="005A168C">
            <w:pPr>
              <w:keepNext/>
              <w:tabs>
                <w:tab w:val="decimal" w:pos="627"/>
              </w:tabs>
              <w:spacing w:after="120" w:line="240" w:lineRule="auto"/>
              <w:rPr>
                <w:rFonts w:cstheme="minorHAnsi"/>
                <w:color w:val="000000"/>
              </w:rPr>
            </w:pPr>
            <w:r>
              <w:rPr>
                <w:rFonts w:cstheme="minorHAnsi"/>
                <w:color w:val="000000"/>
              </w:rPr>
              <w:t>16.</w:t>
            </w:r>
            <w:r w:rsidR="00E94513">
              <w:rPr>
                <w:rFonts w:cstheme="minorHAnsi"/>
                <w:color w:val="000000"/>
              </w:rPr>
              <w:t>6</w:t>
            </w:r>
          </w:p>
        </w:tc>
        <w:tc>
          <w:tcPr>
            <w:tcW w:w="571" w:type="pct"/>
            <w:tcBorders>
              <w:top w:val="nil"/>
              <w:left w:val="nil"/>
              <w:bottom w:val="single" w:sz="4" w:space="0" w:color="auto"/>
              <w:right w:val="single" w:sz="4" w:space="0" w:color="auto"/>
            </w:tcBorders>
            <w:shd w:val="clear" w:color="auto" w:fill="auto"/>
            <w:vAlign w:val="center"/>
            <w:hideMark/>
          </w:tcPr>
          <w:p w14:paraId="2E8B735E" w14:textId="4C80C907" w:rsidR="00420E00" w:rsidRPr="005A168C" w:rsidRDefault="00420E00" w:rsidP="005A168C">
            <w:pPr>
              <w:keepNext/>
              <w:tabs>
                <w:tab w:val="decimal" w:pos="627"/>
              </w:tabs>
              <w:spacing w:after="120" w:line="240" w:lineRule="auto"/>
              <w:rPr>
                <w:rFonts w:cstheme="minorHAnsi"/>
                <w:color w:val="000000"/>
              </w:rPr>
            </w:pPr>
            <w:r>
              <w:rPr>
                <w:rFonts w:cstheme="minorHAnsi"/>
                <w:color w:val="000000"/>
              </w:rPr>
              <w:t>17.5</w:t>
            </w:r>
          </w:p>
        </w:tc>
        <w:tc>
          <w:tcPr>
            <w:tcW w:w="572" w:type="pct"/>
            <w:tcBorders>
              <w:top w:val="nil"/>
              <w:left w:val="nil"/>
              <w:bottom w:val="single" w:sz="4" w:space="0" w:color="auto"/>
              <w:right w:val="single" w:sz="4" w:space="0" w:color="auto"/>
            </w:tcBorders>
            <w:shd w:val="clear" w:color="auto" w:fill="auto"/>
            <w:vAlign w:val="center"/>
            <w:hideMark/>
          </w:tcPr>
          <w:p w14:paraId="36D5A84D" w14:textId="4161083B" w:rsidR="00420E00" w:rsidRPr="005A168C" w:rsidRDefault="00420E00" w:rsidP="005A168C">
            <w:pPr>
              <w:keepNext/>
              <w:tabs>
                <w:tab w:val="decimal" w:pos="627"/>
              </w:tabs>
              <w:spacing w:after="120" w:line="240" w:lineRule="auto"/>
              <w:rPr>
                <w:rFonts w:cstheme="minorHAnsi"/>
                <w:color w:val="000000"/>
              </w:rPr>
            </w:pPr>
            <w:r w:rsidRPr="005A168C">
              <w:rPr>
                <w:rFonts w:cstheme="minorHAnsi"/>
                <w:color w:val="000000"/>
              </w:rPr>
              <w:t>17.7</w:t>
            </w:r>
          </w:p>
        </w:tc>
        <w:tc>
          <w:tcPr>
            <w:tcW w:w="572" w:type="pct"/>
            <w:tcBorders>
              <w:top w:val="nil"/>
              <w:left w:val="nil"/>
              <w:bottom w:val="single" w:sz="4" w:space="0" w:color="auto"/>
              <w:right w:val="single" w:sz="4" w:space="0" w:color="auto"/>
            </w:tcBorders>
            <w:shd w:val="clear" w:color="auto" w:fill="E2EFD9" w:themeFill="accent6" w:themeFillTint="33"/>
          </w:tcPr>
          <w:p w14:paraId="0BBD16B4" w14:textId="77777777" w:rsidR="00420E00" w:rsidRPr="00A60C7D" w:rsidRDefault="00420E00" w:rsidP="00420E00">
            <w:pPr>
              <w:spacing w:after="120" w:line="240" w:lineRule="auto"/>
              <w:jc w:val="center"/>
              <w:rPr>
                <w:rFonts w:ascii="Calibri" w:eastAsia="Times New Roman" w:hAnsi="Calibri" w:cs="Calibri"/>
                <w:color w:val="000000"/>
                <w:lang w:eastAsia="en-GB"/>
              </w:rPr>
            </w:pPr>
          </w:p>
        </w:tc>
      </w:tr>
      <w:tr w:rsidR="00420E00" w:rsidRPr="00A60C7D" w14:paraId="646999EC" w14:textId="701CB5CE" w:rsidTr="00B23C9D">
        <w:trPr>
          <w:trHeight w:val="315"/>
        </w:trPr>
        <w:tc>
          <w:tcPr>
            <w:tcW w:w="499" w:type="pct"/>
            <w:tcBorders>
              <w:top w:val="nil"/>
              <w:left w:val="single" w:sz="4" w:space="0" w:color="auto"/>
              <w:bottom w:val="single" w:sz="4" w:space="0" w:color="auto"/>
              <w:right w:val="single" w:sz="4" w:space="0" w:color="auto"/>
            </w:tcBorders>
            <w:shd w:val="clear" w:color="auto" w:fill="A8D08D" w:themeFill="accent6" w:themeFillTint="99"/>
            <w:vAlign w:val="center"/>
            <w:hideMark/>
          </w:tcPr>
          <w:p w14:paraId="3593EFF3" w14:textId="77777777" w:rsidR="00420E00" w:rsidRPr="00A60C7D" w:rsidRDefault="00420E00" w:rsidP="00420E00">
            <w:pPr>
              <w:keepNext/>
              <w:spacing w:after="120" w:line="240" w:lineRule="auto"/>
              <w:jc w:val="center"/>
              <w:rPr>
                <w:rFonts w:ascii="Calibri" w:eastAsia="Times New Roman" w:hAnsi="Calibri" w:cs="Calibri"/>
                <w:b/>
                <w:bCs/>
                <w:color w:val="000000"/>
                <w:lang w:eastAsia="en-GB"/>
              </w:rPr>
            </w:pPr>
            <w:bookmarkStart w:id="0" w:name="_Hlk104991591"/>
            <w:r w:rsidRPr="00A60C7D">
              <w:rPr>
                <w:rFonts w:ascii="Calibri" w:eastAsia="Times New Roman" w:hAnsi="Calibri" w:cs="Calibri"/>
                <w:b/>
                <w:bCs/>
                <w:color w:val="000000"/>
                <w:lang w:eastAsia="en-GB"/>
              </w:rPr>
              <w:t> </w:t>
            </w:r>
          </w:p>
        </w:tc>
        <w:tc>
          <w:tcPr>
            <w:tcW w:w="3929" w:type="pct"/>
            <w:gridSpan w:val="4"/>
            <w:tcBorders>
              <w:top w:val="single" w:sz="4" w:space="0" w:color="auto"/>
              <w:left w:val="nil"/>
              <w:bottom w:val="single" w:sz="4" w:space="0" w:color="auto"/>
              <w:right w:val="single" w:sz="4" w:space="0" w:color="000000"/>
            </w:tcBorders>
            <w:shd w:val="clear" w:color="auto" w:fill="A8D08D" w:themeFill="accent6" w:themeFillTint="99"/>
            <w:vAlign w:val="center"/>
            <w:hideMark/>
          </w:tcPr>
          <w:p w14:paraId="07690ECE" w14:textId="77777777" w:rsidR="00420E00" w:rsidRPr="00A60C7D" w:rsidRDefault="00420E00" w:rsidP="00420E00">
            <w:pPr>
              <w:keepNext/>
              <w:spacing w:after="120" w:line="240" w:lineRule="auto"/>
              <w:rPr>
                <w:rFonts w:ascii="Calibri" w:eastAsia="Times New Roman" w:hAnsi="Calibri" w:cs="Calibri"/>
                <w:b/>
                <w:bCs/>
                <w:color w:val="000000"/>
                <w:lang w:eastAsia="en-GB"/>
              </w:rPr>
            </w:pPr>
            <w:r w:rsidRPr="00A60C7D">
              <w:rPr>
                <w:rFonts w:ascii="Calibri" w:eastAsia="Times New Roman" w:hAnsi="Calibri" w:cs="Calibri"/>
                <w:b/>
                <w:bCs/>
                <w:color w:val="000000"/>
                <w:lang w:eastAsia="en-GB"/>
              </w:rPr>
              <w:t>Additional own funds requirements based on SREP (as a percentage of risk-weighted exposure amount)</w:t>
            </w:r>
          </w:p>
        </w:tc>
        <w:tc>
          <w:tcPr>
            <w:tcW w:w="572" w:type="pct"/>
            <w:tcBorders>
              <w:top w:val="single" w:sz="4" w:space="0" w:color="auto"/>
              <w:left w:val="nil"/>
              <w:bottom w:val="single" w:sz="4" w:space="0" w:color="auto"/>
              <w:right w:val="single" w:sz="4" w:space="0" w:color="000000"/>
            </w:tcBorders>
            <w:shd w:val="clear" w:color="auto" w:fill="A8D08D" w:themeFill="accent6" w:themeFillTint="99"/>
          </w:tcPr>
          <w:p w14:paraId="18778571" w14:textId="77777777" w:rsidR="00420E00" w:rsidRPr="00A60C7D" w:rsidRDefault="00420E00" w:rsidP="00420E00">
            <w:pPr>
              <w:keepNext/>
              <w:spacing w:after="120" w:line="240" w:lineRule="auto"/>
              <w:rPr>
                <w:rFonts w:ascii="Calibri" w:eastAsia="Times New Roman" w:hAnsi="Calibri" w:cs="Calibri"/>
                <w:b/>
                <w:bCs/>
                <w:color w:val="000000"/>
                <w:lang w:eastAsia="en-GB"/>
              </w:rPr>
            </w:pPr>
          </w:p>
        </w:tc>
      </w:tr>
      <w:bookmarkEnd w:id="0"/>
      <w:tr w:rsidR="00420E00" w:rsidRPr="00A60C7D" w14:paraId="34E55A67" w14:textId="3C46FF37" w:rsidTr="00662BD4">
        <w:trPr>
          <w:trHeight w:val="288"/>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4242EF91" w14:textId="77777777" w:rsidR="00420E00" w:rsidRPr="00A60C7D" w:rsidRDefault="00420E00" w:rsidP="00420E00">
            <w:pPr>
              <w:keepNext/>
              <w:spacing w:after="120" w:line="240" w:lineRule="auto"/>
              <w:jc w:val="center"/>
              <w:rPr>
                <w:rFonts w:ascii="Calibri" w:eastAsia="Times New Roman" w:hAnsi="Calibri" w:cs="Calibri"/>
                <w:color w:val="000000"/>
                <w:lang w:eastAsia="en-GB"/>
              </w:rPr>
            </w:pPr>
            <w:r w:rsidRPr="00A60C7D">
              <w:rPr>
                <w:rFonts w:ascii="Calibri" w:eastAsia="Times New Roman" w:hAnsi="Calibri" w:cs="Calibri"/>
                <w:color w:val="000000"/>
                <w:lang w:eastAsia="en-GB"/>
              </w:rPr>
              <w:t>UK 7a</w:t>
            </w:r>
          </w:p>
        </w:tc>
        <w:tc>
          <w:tcPr>
            <w:tcW w:w="2215" w:type="pct"/>
            <w:tcBorders>
              <w:top w:val="nil"/>
              <w:left w:val="nil"/>
              <w:bottom w:val="single" w:sz="4" w:space="0" w:color="auto"/>
              <w:right w:val="single" w:sz="4" w:space="0" w:color="auto"/>
            </w:tcBorders>
            <w:shd w:val="clear" w:color="auto" w:fill="auto"/>
            <w:vAlign w:val="center"/>
            <w:hideMark/>
          </w:tcPr>
          <w:p w14:paraId="1CED58AE" w14:textId="77777777" w:rsidR="00420E00" w:rsidRPr="00A60C7D" w:rsidRDefault="00420E00" w:rsidP="00420E00">
            <w:pPr>
              <w:keepNext/>
              <w:spacing w:after="120" w:line="240" w:lineRule="auto"/>
              <w:rPr>
                <w:rFonts w:ascii="Calibri" w:eastAsia="Times New Roman" w:hAnsi="Calibri" w:cs="Calibri"/>
                <w:color w:val="000000"/>
                <w:lang w:eastAsia="en-GB"/>
              </w:rPr>
            </w:pPr>
            <w:r w:rsidRPr="00A60C7D">
              <w:rPr>
                <w:rFonts w:ascii="Calibri" w:eastAsia="Times New Roman" w:hAnsi="Calibri" w:cs="Calibri"/>
                <w:color w:val="000000"/>
                <w:lang w:eastAsia="en-GB"/>
              </w:rPr>
              <w:t xml:space="preserve">Additional CET1 SREP requirements (%) </w:t>
            </w:r>
          </w:p>
        </w:tc>
        <w:tc>
          <w:tcPr>
            <w:tcW w:w="571" w:type="pct"/>
            <w:tcBorders>
              <w:top w:val="nil"/>
              <w:left w:val="nil"/>
              <w:bottom w:val="single" w:sz="4" w:space="0" w:color="auto"/>
              <w:right w:val="single" w:sz="4" w:space="0" w:color="auto"/>
            </w:tcBorders>
            <w:shd w:val="clear" w:color="auto" w:fill="auto"/>
            <w:vAlign w:val="center"/>
          </w:tcPr>
          <w:p w14:paraId="586FDE3B" w14:textId="6A7FB7F2" w:rsidR="00420E00" w:rsidRPr="005A168C" w:rsidRDefault="003213B4" w:rsidP="005A168C">
            <w:pPr>
              <w:keepNext/>
              <w:tabs>
                <w:tab w:val="decimal" w:pos="627"/>
              </w:tabs>
              <w:spacing w:after="120" w:line="240" w:lineRule="auto"/>
              <w:rPr>
                <w:rFonts w:cstheme="minorHAnsi"/>
                <w:color w:val="000000"/>
              </w:rPr>
            </w:pPr>
            <w:r>
              <w:rPr>
                <w:rFonts w:cstheme="minorHAnsi"/>
                <w:color w:val="000000"/>
              </w:rPr>
              <w:t>0.4</w:t>
            </w:r>
          </w:p>
        </w:tc>
        <w:tc>
          <w:tcPr>
            <w:tcW w:w="571" w:type="pct"/>
            <w:tcBorders>
              <w:top w:val="nil"/>
              <w:left w:val="nil"/>
              <w:bottom w:val="single" w:sz="4" w:space="0" w:color="auto"/>
              <w:right w:val="single" w:sz="4" w:space="0" w:color="auto"/>
            </w:tcBorders>
            <w:shd w:val="clear" w:color="auto" w:fill="auto"/>
            <w:vAlign w:val="center"/>
          </w:tcPr>
          <w:p w14:paraId="56AD6129" w14:textId="61C717BE" w:rsidR="00420E00" w:rsidRPr="005A168C" w:rsidRDefault="00420E00" w:rsidP="005A168C">
            <w:pPr>
              <w:keepNext/>
              <w:tabs>
                <w:tab w:val="decimal" w:pos="627"/>
              </w:tabs>
              <w:spacing w:after="120" w:line="240" w:lineRule="auto"/>
              <w:rPr>
                <w:rFonts w:cstheme="minorHAnsi"/>
                <w:color w:val="000000"/>
              </w:rPr>
            </w:pPr>
            <w:r>
              <w:rPr>
                <w:rFonts w:cstheme="minorHAnsi"/>
                <w:color w:val="000000"/>
              </w:rPr>
              <w:t>0.4</w:t>
            </w:r>
          </w:p>
        </w:tc>
        <w:tc>
          <w:tcPr>
            <w:tcW w:w="572" w:type="pct"/>
            <w:tcBorders>
              <w:top w:val="nil"/>
              <w:left w:val="nil"/>
              <w:bottom w:val="single" w:sz="4" w:space="0" w:color="auto"/>
              <w:right w:val="single" w:sz="4" w:space="0" w:color="auto"/>
            </w:tcBorders>
            <w:shd w:val="clear" w:color="auto" w:fill="auto"/>
            <w:vAlign w:val="center"/>
          </w:tcPr>
          <w:p w14:paraId="54755908" w14:textId="0700FD58" w:rsidR="00420E00" w:rsidRPr="005A168C" w:rsidRDefault="00420E00" w:rsidP="005A168C">
            <w:pPr>
              <w:keepNext/>
              <w:tabs>
                <w:tab w:val="decimal" w:pos="627"/>
              </w:tabs>
              <w:spacing w:after="120" w:line="240" w:lineRule="auto"/>
              <w:rPr>
                <w:rFonts w:cstheme="minorHAnsi"/>
                <w:color w:val="000000"/>
              </w:rPr>
            </w:pPr>
            <w:r w:rsidRPr="005A168C">
              <w:rPr>
                <w:rFonts w:cstheme="minorHAnsi"/>
                <w:color w:val="000000"/>
              </w:rPr>
              <w:t>0.4</w:t>
            </w:r>
          </w:p>
        </w:tc>
        <w:tc>
          <w:tcPr>
            <w:tcW w:w="572" w:type="pct"/>
            <w:tcBorders>
              <w:top w:val="nil"/>
              <w:left w:val="nil"/>
              <w:bottom w:val="single" w:sz="4" w:space="0" w:color="auto"/>
              <w:right w:val="single" w:sz="4" w:space="0" w:color="auto"/>
            </w:tcBorders>
            <w:shd w:val="clear" w:color="auto" w:fill="E2EFD9" w:themeFill="accent6" w:themeFillTint="33"/>
          </w:tcPr>
          <w:p w14:paraId="0AB9BF8B" w14:textId="02A356B4" w:rsidR="00420E00" w:rsidRPr="00A60C7D" w:rsidRDefault="00420E00" w:rsidP="00420E00">
            <w:pPr>
              <w:keepNext/>
              <w:spacing w:after="120" w:line="240" w:lineRule="auto"/>
              <w:jc w:val="center"/>
              <w:rPr>
                <w:rFonts w:ascii="Calibri" w:eastAsia="Times New Roman" w:hAnsi="Calibri" w:cs="Calibri"/>
                <w:color w:val="000000"/>
                <w:lang w:eastAsia="en-GB"/>
              </w:rPr>
            </w:pPr>
            <w:r>
              <w:rPr>
                <w:b/>
                <w:bCs/>
              </w:rPr>
              <w:t>[a]</w:t>
            </w:r>
          </w:p>
        </w:tc>
      </w:tr>
      <w:tr w:rsidR="00420E00" w:rsidRPr="00A60C7D" w14:paraId="13EE34C4" w14:textId="12F5F3D1" w:rsidTr="00662BD4">
        <w:trPr>
          <w:trHeight w:val="288"/>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5DC9FABB" w14:textId="77777777" w:rsidR="00420E00" w:rsidRPr="00A60C7D" w:rsidRDefault="00420E00" w:rsidP="00420E00">
            <w:pPr>
              <w:spacing w:after="120" w:line="240" w:lineRule="auto"/>
              <w:jc w:val="center"/>
              <w:rPr>
                <w:rFonts w:ascii="Calibri" w:eastAsia="Times New Roman" w:hAnsi="Calibri" w:cs="Calibri"/>
                <w:color w:val="000000"/>
                <w:lang w:eastAsia="en-GB"/>
              </w:rPr>
            </w:pPr>
            <w:r w:rsidRPr="00A60C7D">
              <w:rPr>
                <w:rFonts w:ascii="Calibri" w:eastAsia="Times New Roman" w:hAnsi="Calibri" w:cs="Calibri"/>
                <w:color w:val="000000"/>
                <w:lang w:eastAsia="en-GB"/>
              </w:rPr>
              <w:t>UK 7b</w:t>
            </w:r>
          </w:p>
        </w:tc>
        <w:tc>
          <w:tcPr>
            <w:tcW w:w="2215" w:type="pct"/>
            <w:tcBorders>
              <w:top w:val="nil"/>
              <w:left w:val="nil"/>
              <w:bottom w:val="single" w:sz="4" w:space="0" w:color="auto"/>
              <w:right w:val="single" w:sz="4" w:space="0" w:color="auto"/>
            </w:tcBorders>
            <w:shd w:val="clear" w:color="auto" w:fill="auto"/>
            <w:vAlign w:val="center"/>
            <w:hideMark/>
          </w:tcPr>
          <w:p w14:paraId="28A4C58E" w14:textId="77777777" w:rsidR="00420E00" w:rsidRPr="00A60C7D" w:rsidRDefault="00420E00" w:rsidP="00420E00">
            <w:pPr>
              <w:spacing w:after="120" w:line="240" w:lineRule="auto"/>
              <w:rPr>
                <w:rFonts w:ascii="Calibri" w:eastAsia="Times New Roman" w:hAnsi="Calibri" w:cs="Calibri"/>
                <w:color w:val="000000"/>
                <w:lang w:eastAsia="en-GB"/>
              </w:rPr>
            </w:pPr>
            <w:r w:rsidRPr="00A60C7D">
              <w:rPr>
                <w:rFonts w:ascii="Calibri" w:eastAsia="Times New Roman" w:hAnsi="Calibri" w:cs="Calibri"/>
                <w:color w:val="000000"/>
                <w:lang w:eastAsia="en-GB"/>
              </w:rPr>
              <w:t>Additional AT1 SREP requirements (%)</w:t>
            </w:r>
          </w:p>
        </w:tc>
        <w:tc>
          <w:tcPr>
            <w:tcW w:w="571" w:type="pct"/>
            <w:tcBorders>
              <w:top w:val="nil"/>
              <w:left w:val="nil"/>
              <w:bottom w:val="single" w:sz="4" w:space="0" w:color="auto"/>
              <w:right w:val="single" w:sz="4" w:space="0" w:color="auto"/>
            </w:tcBorders>
            <w:shd w:val="clear" w:color="auto" w:fill="auto"/>
            <w:vAlign w:val="center"/>
          </w:tcPr>
          <w:p w14:paraId="543BA875" w14:textId="5527F1C7" w:rsidR="003213B4" w:rsidRPr="005A168C" w:rsidRDefault="003213B4" w:rsidP="005A168C">
            <w:pPr>
              <w:keepNext/>
              <w:tabs>
                <w:tab w:val="decimal" w:pos="627"/>
              </w:tabs>
              <w:spacing w:after="120" w:line="240" w:lineRule="auto"/>
              <w:rPr>
                <w:rFonts w:cstheme="minorHAnsi"/>
                <w:color w:val="000000"/>
              </w:rPr>
            </w:pPr>
            <w:r>
              <w:rPr>
                <w:rFonts w:cstheme="minorHAnsi"/>
                <w:color w:val="000000"/>
              </w:rPr>
              <w:t>0.2</w:t>
            </w:r>
          </w:p>
        </w:tc>
        <w:tc>
          <w:tcPr>
            <w:tcW w:w="571" w:type="pct"/>
            <w:tcBorders>
              <w:top w:val="nil"/>
              <w:left w:val="nil"/>
              <w:bottom w:val="single" w:sz="4" w:space="0" w:color="auto"/>
              <w:right w:val="single" w:sz="4" w:space="0" w:color="auto"/>
            </w:tcBorders>
            <w:shd w:val="clear" w:color="auto" w:fill="auto"/>
            <w:vAlign w:val="center"/>
          </w:tcPr>
          <w:p w14:paraId="0FBA8279" w14:textId="2DE6B73B" w:rsidR="00420E00" w:rsidRPr="005A168C" w:rsidRDefault="00420E00" w:rsidP="005A168C">
            <w:pPr>
              <w:keepNext/>
              <w:tabs>
                <w:tab w:val="decimal" w:pos="627"/>
              </w:tabs>
              <w:spacing w:after="120" w:line="240" w:lineRule="auto"/>
              <w:rPr>
                <w:rFonts w:cstheme="minorHAnsi"/>
                <w:color w:val="000000"/>
              </w:rPr>
            </w:pPr>
            <w:r>
              <w:rPr>
                <w:rFonts w:cstheme="minorHAnsi"/>
                <w:color w:val="000000"/>
              </w:rPr>
              <w:t>0.2</w:t>
            </w:r>
          </w:p>
        </w:tc>
        <w:tc>
          <w:tcPr>
            <w:tcW w:w="572" w:type="pct"/>
            <w:tcBorders>
              <w:top w:val="nil"/>
              <w:left w:val="nil"/>
              <w:bottom w:val="single" w:sz="4" w:space="0" w:color="auto"/>
              <w:right w:val="single" w:sz="4" w:space="0" w:color="auto"/>
            </w:tcBorders>
            <w:shd w:val="clear" w:color="auto" w:fill="auto"/>
            <w:vAlign w:val="center"/>
          </w:tcPr>
          <w:p w14:paraId="012C1A00" w14:textId="4A5970FB" w:rsidR="00420E00" w:rsidRPr="005A168C" w:rsidRDefault="00420E00" w:rsidP="005A168C">
            <w:pPr>
              <w:keepNext/>
              <w:tabs>
                <w:tab w:val="decimal" w:pos="627"/>
              </w:tabs>
              <w:spacing w:after="120" w:line="240" w:lineRule="auto"/>
              <w:rPr>
                <w:rFonts w:cstheme="minorHAnsi"/>
                <w:color w:val="000000"/>
              </w:rPr>
            </w:pPr>
            <w:r w:rsidRPr="005A168C">
              <w:rPr>
                <w:rFonts w:cstheme="minorHAnsi"/>
                <w:color w:val="000000"/>
              </w:rPr>
              <w:t>0.2</w:t>
            </w:r>
          </w:p>
        </w:tc>
        <w:tc>
          <w:tcPr>
            <w:tcW w:w="572" w:type="pct"/>
            <w:tcBorders>
              <w:top w:val="nil"/>
              <w:left w:val="nil"/>
              <w:bottom w:val="single" w:sz="4" w:space="0" w:color="auto"/>
              <w:right w:val="single" w:sz="4" w:space="0" w:color="auto"/>
            </w:tcBorders>
            <w:shd w:val="clear" w:color="auto" w:fill="E2EFD9" w:themeFill="accent6" w:themeFillTint="33"/>
          </w:tcPr>
          <w:p w14:paraId="009754DF" w14:textId="2F1E3559" w:rsidR="00420E00" w:rsidRPr="00A60C7D" w:rsidRDefault="00420E00" w:rsidP="00420E00">
            <w:pPr>
              <w:spacing w:after="120" w:line="240" w:lineRule="auto"/>
              <w:jc w:val="center"/>
              <w:rPr>
                <w:rFonts w:ascii="Calibri" w:eastAsia="Times New Roman" w:hAnsi="Calibri" w:cs="Calibri"/>
                <w:color w:val="000000"/>
                <w:lang w:eastAsia="en-GB"/>
              </w:rPr>
            </w:pPr>
            <w:r>
              <w:rPr>
                <w:b/>
                <w:bCs/>
              </w:rPr>
              <w:t>[a]</w:t>
            </w:r>
          </w:p>
        </w:tc>
      </w:tr>
      <w:tr w:rsidR="00420E00" w:rsidRPr="00A60C7D" w14:paraId="5AE413D9" w14:textId="489FAE7A" w:rsidTr="00662BD4">
        <w:trPr>
          <w:trHeight w:val="288"/>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346AF09D" w14:textId="77777777" w:rsidR="00420E00" w:rsidRPr="00A60C7D" w:rsidRDefault="00420E00" w:rsidP="00420E00">
            <w:pPr>
              <w:spacing w:after="120" w:line="240" w:lineRule="auto"/>
              <w:jc w:val="center"/>
              <w:rPr>
                <w:rFonts w:ascii="Calibri" w:eastAsia="Times New Roman" w:hAnsi="Calibri" w:cs="Calibri"/>
                <w:color w:val="000000"/>
                <w:lang w:eastAsia="en-GB"/>
              </w:rPr>
            </w:pPr>
            <w:r w:rsidRPr="00A60C7D">
              <w:rPr>
                <w:rFonts w:ascii="Calibri" w:eastAsia="Times New Roman" w:hAnsi="Calibri" w:cs="Calibri"/>
                <w:color w:val="000000"/>
                <w:lang w:eastAsia="en-GB"/>
              </w:rPr>
              <w:t>UK 7c</w:t>
            </w:r>
          </w:p>
        </w:tc>
        <w:tc>
          <w:tcPr>
            <w:tcW w:w="2215" w:type="pct"/>
            <w:tcBorders>
              <w:top w:val="nil"/>
              <w:left w:val="nil"/>
              <w:bottom w:val="single" w:sz="4" w:space="0" w:color="auto"/>
              <w:right w:val="single" w:sz="4" w:space="0" w:color="auto"/>
            </w:tcBorders>
            <w:shd w:val="clear" w:color="auto" w:fill="auto"/>
            <w:vAlign w:val="center"/>
            <w:hideMark/>
          </w:tcPr>
          <w:p w14:paraId="059D78DD" w14:textId="77777777" w:rsidR="00420E00" w:rsidRPr="00A60C7D" w:rsidRDefault="00420E00" w:rsidP="00420E00">
            <w:pPr>
              <w:spacing w:after="120" w:line="240" w:lineRule="auto"/>
              <w:rPr>
                <w:rFonts w:ascii="Calibri" w:eastAsia="Times New Roman" w:hAnsi="Calibri" w:cs="Calibri"/>
                <w:color w:val="000000"/>
                <w:lang w:eastAsia="en-GB"/>
              </w:rPr>
            </w:pPr>
            <w:r w:rsidRPr="00A60C7D">
              <w:rPr>
                <w:rFonts w:ascii="Calibri" w:eastAsia="Times New Roman" w:hAnsi="Calibri" w:cs="Calibri"/>
                <w:color w:val="000000"/>
                <w:lang w:eastAsia="en-GB"/>
              </w:rPr>
              <w:t>Additional T2 SREP requirements (%)</w:t>
            </w:r>
          </w:p>
        </w:tc>
        <w:tc>
          <w:tcPr>
            <w:tcW w:w="571" w:type="pct"/>
            <w:tcBorders>
              <w:top w:val="nil"/>
              <w:left w:val="nil"/>
              <w:bottom w:val="single" w:sz="4" w:space="0" w:color="auto"/>
              <w:right w:val="single" w:sz="4" w:space="0" w:color="auto"/>
            </w:tcBorders>
            <w:shd w:val="clear" w:color="auto" w:fill="auto"/>
            <w:vAlign w:val="center"/>
          </w:tcPr>
          <w:p w14:paraId="05326C80" w14:textId="7A6FB49B" w:rsidR="00420E00" w:rsidRPr="005A168C" w:rsidRDefault="003213B4" w:rsidP="005A168C">
            <w:pPr>
              <w:keepNext/>
              <w:tabs>
                <w:tab w:val="decimal" w:pos="627"/>
              </w:tabs>
              <w:spacing w:after="120" w:line="240" w:lineRule="auto"/>
              <w:rPr>
                <w:rFonts w:cstheme="minorHAnsi"/>
                <w:color w:val="000000"/>
              </w:rPr>
            </w:pPr>
            <w:r>
              <w:rPr>
                <w:rFonts w:cstheme="minorHAnsi"/>
                <w:color w:val="000000"/>
              </w:rPr>
              <w:t>0.2</w:t>
            </w:r>
          </w:p>
        </w:tc>
        <w:tc>
          <w:tcPr>
            <w:tcW w:w="571" w:type="pct"/>
            <w:tcBorders>
              <w:top w:val="nil"/>
              <w:left w:val="nil"/>
              <w:bottom w:val="single" w:sz="4" w:space="0" w:color="auto"/>
              <w:right w:val="single" w:sz="4" w:space="0" w:color="auto"/>
            </w:tcBorders>
            <w:shd w:val="clear" w:color="auto" w:fill="auto"/>
            <w:vAlign w:val="center"/>
          </w:tcPr>
          <w:p w14:paraId="7A791ACA" w14:textId="071018CC" w:rsidR="00420E00" w:rsidRPr="005A168C" w:rsidRDefault="00420E00" w:rsidP="005A168C">
            <w:pPr>
              <w:keepNext/>
              <w:tabs>
                <w:tab w:val="decimal" w:pos="627"/>
              </w:tabs>
              <w:spacing w:after="120" w:line="240" w:lineRule="auto"/>
              <w:rPr>
                <w:rFonts w:cstheme="minorHAnsi"/>
                <w:color w:val="000000"/>
              </w:rPr>
            </w:pPr>
            <w:r>
              <w:rPr>
                <w:rFonts w:cstheme="minorHAnsi"/>
                <w:color w:val="000000"/>
              </w:rPr>
              <w:t>0.2</w:t>
            </w:r>
          </w:p>
        </w:tc>
        <w:tc>
          <w:tcPr>
            <w:tcW w:w="572" w:type="pct"/>
            <w:tcBorders>
              <w:top w:val="nil"/>
              <w:left w:val="nil"/>
              <w:bottom w:val="single" w:sz="4" w:space="0" w:color="auto"/>
              <w:right w:val="single" w:sz="4" w:space="0" w:color="auto"/>
            </w:tcBorders>
            <w:shd w:val="clear" w:color="auto" w:fill="auto"/>
            <w:vAlign w:val="center"/>
          </w:tcPr>
          <w:p w14:paraId="1305A6FE" w14:textId="71AB2636" w:rsidR="00420E00" w:rsidRPr="005A168C" w:rsidRDefault="00420E00" w:rsidP="005A168C">
            <w:pPr>
              <w:keepNext/>
              <w:tabs>
                <w:tab w:val="decimal" w:pos="627"/>
              </w:tabs>
              <w:spacing w:after="120" w:line="240" w:lineRule="auto"/>
              <w:rPr>
                <w:rFonts w:cstheme="minorHAnsi"/>
                <w:color w:val="000000"/>
              </w:rPr>
            </w:pPr>
            <w:r w:rsidRPr="005A168C">
              <w:rPr>
                <w:rFonts w:cstheme="minorHAnsi"/>
                <w:color w:val="000000"/>
              </w:rPr>
              <w:t>0.2</w:t>
            </w:r>
          </w:p>
        </w:tc>
        <w:tc>
          <w:tcPr>
            <w:tcW w:w="572" w:type="pct"/>
            <w:tcBorders>
              <w:top w:val="nil"/>
              <w:left w:val="nil"/>
              <w:bottom w:val="single" w:sz="4" w:space="0" w:color="auto"/>
              <w:right w:val="single" w:sz="4" w:space="0" w:color="auto"/>
            </w:tcBorders>
            <w:shd w:val="clear" w:color="auto" w:fill="E2EFD9" w:themeFill="accent6" w:themeFillTint="33"/>
          </w:tcPr>
          <w:p w14:paraId="30F55264" w14:textId="2E3BEEE6" w:rsidR="00420E00" w:rsidRPr="00A60C7D" w:rsidRDefault="00420E00" w:rsidP="00420E00">
            <w:pPr>
              <w:spacing w:after="120" w:line="240" w:lineRule="auto"/>
              <w:jc w:val="center"/>
              <w:rPr>
                <w:rFonts w:ascii="Calibri" w:eastAsia="Times New Roman" w:hAnsi="Calibri" w:cs="Calibri"/>
                <w:color w:val="000000"/>
                <w:lang w:eastAsia="en-GB"/>
              </w:rPr>
            </w:pPr>
            <w:r>
              <w:rPr>
                <w:b/>
                <w:bCs/>
              </w:rPr>
              <w:t>[a]</w:t>
            </w:r>
          </w:p>
        </w:tc>
      </w:tr>
      <w:tr w:rsidR="00420E00" w:rsidRPr="00A60C7D" w14:paraId="0CD61887" w14:textId="4E66A3FD" w:rsidTr="0082095A">
        <w:trPr>
          <w:trHeight w:val="288"/>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7ADA40CC" w14:textId="77777777" w:rsidR="00420E00" w:rsidRPr="00A60C7D" w:rsidRDefault="00420E00" w:rsidP="00420E00">
            <w:pPr>
              <w:spacing w:after="120" w:line="240" w:lineRule="auto"/>
              <w:jc w:val="center"/>
              <w:rPr>
                <w:rFonts w:ascii="Calibri" w:eastAsia="Times New Roman" w:hAnsi="Calibri" w:cs="Calibri"/>
                <w:color w:val="000000"/>
                <w:lang w:eastAsia="en-GB"/>
              </w:rPr>
            </w:pPr>
            <w:r w:rsidRPr="00A60C7D">
              <w:rPr>
                <w:rFonts w:ascii="Calibri" w:eastAsia="Times New Roman" w:hAnsi="Calibri" w:cs="Calibri"/>
                <w:color w:val="000000"/>
                <w:lang w:eastAsia="en-GB"/>
              </w:rPr>
              <w:t>UK 7d</w:t>
            </w:r>
          </w:p>
        </w:tc>
        <w:tc>
          <w:tcPr>
            <w:tcW w:w="2215" w:type="pct"/>
            <w:tcBorders>
              <w:top w:val="nil"/>
              <w:left w:val="nil"/>
              <w:bottom w:val="single" w:sz="4" w:space="0" w:color="auto"/>
              <w:right w:val="single" w:sz="4" w:space="0" w:color="auto"/>
            </w:tcBorders>
            <w:shd w:val="clear" w:color="auto" w:fill="auto"/>
            <w:vAlign w:val="center"/>
            <w:hideMark/>
          </w:tcPr>
          <w:p w14:paraId="21F4D191" w14:textId="77777777" w:rsidR="00420E00" w:rsidRPr="00A60C7D" w:rsidRDefault="00420E00" w:rsidP="00420E00">
            <w:pPr>
              <w:spacing w:after="120" w:line="240" w:lineRule="auto"/>
              <w:rPr>
                <w:rFonts w:ascii="Calibri" w:eastAsia="Times New Roman" w:hAnsi="Calibri" w:cs="Calibri"/>
                <w:color w:val="000000"/>
                <w:lang w:eastAsia="en-GB"/>
              </w:rPr>
            </w:pPr>
            <w:r w:rsidRPr="00A60C7D">
              <w:rPr>
                <w:rFonts w:ascii="Calibri" w:eastAsia="Times New Roman" w:hAnsi="Calibri" w:cs="Calibri"/>
                <w:color w:val="000000"/>
                <w:lang w:eastAsia="en-GB"/>
              </w:rPr>
              <w:t>Total SREP own funds requirements (%)</w:t>
            </w:r>
          </w:p>
        </w:tc>
        <w:tc>
          <w:tcPr>
            <w:tcW w:w="571" w:type="pct"/>
            <w:tcBorders>
              <w:top w:val="nil"/>
              <w:left w:val="nil"/>
              <w:bottom w:val="single" w:sz="4" w:space="0" w:color="auto"/>
              <w:right w:val="single" w:sz="4" w:space="0" w:color="auto"/>
            </w:tcBorders>
            <w:shd w:val="clear" w:color="auto" w:fill="auto"/>
            <w:vAlign w:val="center"/>
          </w:tcPr>
          <w:p w14:paraId="48185A1A" w14:textId="615F218E" w:rsidR="00420E00" w:rsidRPr="005A168C" w:rsidRDefault="003213B4" w:rsidP="005A168C">
            <w:pPr>
              <w:keepNext/>
              <w:tabs>
                <w:tab w:val="decimal" w:pos="627"/>
              </w:tabs>
              <w:spacing w:after="120" w:line="240" w:lineRule="auto"/>
              <w:rPr>
                <w:rFonts w:cstheme="minorHAnsi"/>
                <w:color w:val="000000"/>
              </w:rPr>
            </w:pPr>
            <w:r>
              <w:rPr>
                <w:rFonts w:cstheme="minorHAnsi"/>
                <w:color w:val="000000"/>
              </w:rPr>
              <w:t>8.8</w:t>
            </w:r>
          </w:p>
        </w:tc>
        <w:tc>
          <w:tcPr>
            <w:tcW w:w="571" w:type="pct"/>
            <w:tcBorders>
              <w:top w:val="nil"/>
              <w:left w:val="nil"/>
              <w:bottom w:val="single" w:sz="4" w:space="0" w:color="auto"/>
              <w:right w:val="single" w:sz="4" w:space="0" w:color="auto"/>
            </w:tcBorders>
            <w:shd w:val="clear" w:color="auto" w:fill="auto"/>
            <w:vAlign w:val="center"/>
            <w:hideMark/>
          </w:tcPr>
          <w:p w14:paraId="69457AA6" w14:textId="0F93ECBB" w:rsidR="00420E00" w:rsidRPr="005A168C" w:rsidRDefault="00420E00" w:rsidP="005A168C">
            <w:pPr>
              <w:keepNext/>
              <w:tabs>
                <w:tab w:val="decimal" w:pos="627"/>
              </w:tabs>
              <w:spacing w:after="120" w:line="240" w:lineRule="auto"/>
              <w:rPr>
                <w:rFonts w:cstheme="minorHAnsi"/>
                <w:color w:val="000000"/>
              </w:rPr>
            </w:pPr>
            <w:r>
              <w:rPr>
                <w:rFonts w:cstheme="minorHAnsi"/>
                <w:color w:val="000000"/>
              </w:rPr>
              <w:t>8.8</w:t>
            </w:r>
          </w:p>
        </w:tc>
        <w:tc>
          <w:tcPr>
            <w:tcW w:w="572" w:type="pct"/>
            <w:tcBorders>
              <w:top w:val="nil"/>
              <w:left w:val="nil"/>
              <w:bottom w:val="single" w:sz="4" w:space="0" w:color="auto"/>
              <w:right w:val="single" w:sz="4" w:space="0" w:color="auto"/>
            </w:tcBorders>
            <w:shd w:val="clear" w:color="auto" w:fill="auto"/>
            <w:vAlign w:val="center"/>
            <w:hideMark/>
          </w:tcPr>
          <w:p w14:paraId="297F1F07" w14:textId="066C8986" w:rsidR="00420E00" w:rsidRPr="005A168C" w:rsidRDefault="00420E00" w:rsidP="005A168C">
            <w:pPr>
              <w:keepNext/>
              <w:tabs>
                <w:tab w:val="decimal" w:pos="627"/>
              </w:tabs>
              <w:spacing w:after="120" w:line="240" w:lineRule="auto"/>
              <w:rPr>
                <w:rFonts w:cstheme="minorHAnsi"/>
                <w:color w:val="000000"/>
              </w:rPr>
            </w:pPr>
            <w:r w:rsidRPr="005A168C">
              <w:rPr>
                <w:rFonts w:cstheme="minorHAnsi"/>
                <w:color w:val="000000"/>
              </w:rPr>
              <w:t>8.8</w:t>
            </w:r>
          </w:p>
        </w:tc>
        <w:tc>
          <w:tcPr>
            <w:tcW w:w="572" w:type="pct"/>
            <w:tcBorders>
              <w:top w:val="nil"/>
              <w:left w:val="nil"/>
              <w:bottom w:val="single" w:sz="4" w:space="0" w:color="auto"/>
              <w:right w:val="single" w:sz="4" w:space="0" w:color="auto"/>
            </w:tcBorders>
            <w:shd w:val="clear" w:color="auto" w:fill="E2EFD9" w:themeFill="accent6" w:themeFillTint="33"/>
          </w:tcPr>
          <w:p w14:paraId="52ADFCB2" w14:textId="77777777" w:rsidR="00420E00" w:rsidRPr="00A60C7D" w:rsidRDefault="00420E00" w:rsidP="00420E00">
            <w:pPr>
              <w:spacing w:after="120" w:line="240" w:lineRule="auto"/>
              <w:jc w:val="center"/>
              <w:rPr>
                <w:rFonts w:ascii="Calibri" w:eastAsia="Times New Roman" w:hAnsi="Calibri" w:cs="Calibri"/>
                <w:color w:val="000000"/>
                <w:lang w:eastAsia="en-GB"/>
              </w:rPr>
            </w:pPr>
          </w:p>
        </w:tc>
      </w:tr>
      <w:tr w:rsidR="00420E00" w:rsidRPr="00A60C7D" w14:paraId="34641CE5" w14:textId="77C4260E" w:rsidTr="00B23C9D">
        <w:trPr>
          <w:trHeight w:val="315"/>
        </w:trPr>
        <w:tc>
          <w:tcPr>
            <w:tcW w:w="499" w:type="pct"/>
            <w:tcBorders>
              <w:top w:val="nil"/>
              <w:left w:val="single" w:sz="4" w:space="0" w:color="auto"/>
              <w:bottom w:val="single" w:sz="4" w:space="0" w:color="auto"/>
              <w:right w:val="single" w:sz="4" w:space="0" w:color="auto"/>
            </w:tcBorders>
            <w:shd w:val="clear" w:color="auto" w:fill="A8D08D" w:themeFill="accent6" w:themeFillTint="99"/>
            <w:vAlign w:val="center"/>
            <w:hideMark/>
          </w:tcPr>
          <w:p w14:paraId="0C77A360" w14:textId="77777777" w:rsidR="00420E00" w:rsidRPr="00A60C7D" w:rsidRDefault="00420E00" w:rsidP="00420E00">
            <w:pPr>
              <w:spacing w:after="120" w:line="240" w:lineRule="auto"/>
              <w:jc w:val="center"/>
              <w:rPr>
                <w:rFonts w:ascii="Calibri" w:eastAsia="Times New Roman" w:hAnsi="Calibri" w:cs="Calibri"/>
                <w:b/>
                <w:bCs/>
                <w:color w:val="000000"/>
                <w:lang w:eastAsia="en-GB"/>
              </w:rPr>
            </w:pPr>
            <w:r w:rsidRPr="00A60C7D">
              <w:rPr>
                <w:rFonts w:ascii="Calibri" w:eastAsia="Times New Roman" w:hAnsi="Calibri" w:cs="Calibri"/>
                <w:b/>
                <w:bCs/>
                <w:color w:val="000000"/>
                <w:lang w:eastAsia="en-GB"/>
              </w:rPr>
              <w:t> </w:t>
            </w:r>
          </w:p>
        </w:tc>
        <w:tc>
          <w:tcPr>
            <w:tcW w:w="3929" w:type="pct"/>
            <w:gridSpan w:val="4"/>
            <w:tcBorders>
              <w:top w:val="single" w:sz="4" w:space="0" w:color="auto"/>
              <w:left w:val="nil"/>
              <w:bottom w:val="single" w:sz="4" w:space="0" w:color="auto"/>
              <w:right w:val="single" w:sz="4" w:space="0" w:color="000000"/>
            </w:tcBorders>
            <w:shd w:val="clear" w:color="auto" w:fill="A8D08D" w:themeFill="accent6" w:themeFillTint="99"/>
            <w:vAlign w:val="center"/>
            <w:hideMark/>
          </w:tcPr>
          <w:p w14:paraId="64C3536B" w14:textId="77777777" w:rsidR="00420E00" w:rsidRPr="00A60C7D" w:rsidRDefault="00420E00" w:rsidP="00420E00">
            <w:pPr>
              <w:spacing w:after="120" w:line="240" w:lineRule="auto"/>
              <w:rPr>
                <w:rFonts w:ascii="Calibri" w:eastAsia="Times New Roman" w:hAnsi="Calibri" w:cs="Calibri"/>
                <w:b/>
                <w:bCs/>
                <w:color w:val="000000"/>
                <w:lang w:eastAsia="en-GB"/>
              </w:rPr>
            </w:pPr>
            <w:r w:rsidRPr="00A60C7D">
              <w:rPr>
                <w:rFonts w:ascii="Calibri" w:eastAsia="Times New Roman" w:hAnsi="Calibri" w:cs="Calibri"/>
                <w:b/>
                <w:bCs/>
                <w:color w:val="000000"/>
                <w:lang w:eastAsia="en-GB"/>
              </w:rPr>
              <w:t>Combined buffer requirement (as a percentage of risk-weighted exposure amount)</w:t>
            </w:r>
          </w:p>
        </w:tc>
        <w:tc>
          <w:tcPr>
            <w:tcW w:w="572" w:type="pct"/>
            <w:tcBorders>
              <w:top w:val="single" w:sz="4" w:space="0" w:color="auto"/>
              <w:left w:val="nil"/>
              <w:bottom w:val="single" w:sz="4" w:space="0" w:color="auto"/>
              <w:right w:val="single" w:sz="4" w:space="0" w:color="000000"/>
            </w:tcBorders>
            <w:shd w:val="clear" w:color="auto" w:fill="A8D08D" w:themeFill="accent6" w:themeFillTint="99"/>
          </w:tcPr>
          <w:p w14:paraId="3AF4EEC8" w14:textId="77777777" w:rsidR="00420E00" w:rsidRPr="00A60C7D" w:rsidRDefault="00420E00" w:rsidP="00420E00">
            <w:pPr>
              <w:spacing w:after="120" w:line="240" w:lineRule="auto"/>
              <w:rPr>
                <w:rFonts w:ascii="Calibri" w:eastAsia="Times New Roman" w:hAnsi="Calibri" w:cs="Calibri"/>
                <w:b/>
                <w:bCs/>
                <w:color w:val="000000"/>
                <w:lang w:eastAsia="en-GB"/>
              </w:rPr>
            </w:pPr>
          </w:p>
        </w:tc>
      </w:tr>
      <w:tr w:rsidR="00420E00" w:rsidRPr="00A60C7D" w14:paraId="3D1652C3" w14:textId="617946B2" w:rsidTr="00420E00">
        <w:trPr>
          <w:trHeight w:val="288"/>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7FB53BAE" w14:textId="77777777" w:rsidR="00420E00" w:rsidRPr="00A60C7D" w:rsidRDefault="00420E00" w:rsidP="00420E00">
            <w:pPr>
              <w:spacing w:after="120" w:line="240" w:lineRule="auto"/>
              <w:jc w:val="center"/>
              <w:rPr>
                <w:rFonts w:ascii="Calibri" w:eastAsia="Times New Roman" w:hAnsi="Calibri" w:cs="Calibri"/>
                <w:color w:val="000000"/>
                <w:lang w:eastAsia="en-GB"/>
              </w:rPr>
            </w:pPr>
            <w:r w:rsidRPr="00A60C7D">
              <w:rPr>
                <w:rFonts w:ascii="Calibri" w:eastAsia="Times New Roman" w:hAnsi="Calibri" w:cs="Calibri"/>
                <w:color w:val="000000"/>
                <w:lang w:eastAsia="en-GB"/>
              </w:rPr>
              <w:t>8</w:t>
            </w:r>
          </w:p>
        </w:tc>
        <w:tc>
          <w:tcPr>
            <w:tcW w:w="2215" w:type="pct"/>
            <w:tcBorders>
              <w:top w:val="nil"/>
              <w:left w:val="nil"/>
              <w:bottom w:val="single" w:sz="4" w:space="0" w:color="auto"/>
              <w:right w:val="single" w:sz="4" w:space="0" w:color="auto"/>
            </w:tcBorders>
            <w:shd w:val="clear" w:color="auto" w:fill="auto"/>
            <w:vAlign w:val="center"/>
            <w:hideMark/>
          </w:tcPr>
          <w:p w14:paraId="66BF6EC8" w14:textId="77777777" w:rsidR="00420E00" w:rsidRPr="00A60C7D" w:rsidRDefault="00420E00" w:rsidP="00420E00">
            <w:pPr>
              <w:spacing w:after="120" w:line="240" w:lineRule="auto"/>
              <w:rPr>
                <w:rFonts w:ascii="Calibri" w:eastAsia="Times New Roman" w:hAnsi="Calibri" w:cs="Calibri"/>
                <w:color w:val="000000"/>
                <w:lang w:eastAsia="en-GB"/>
              </w:rPr>
            </w:pPr>
            <w:r w:rsidRPr="00A60C7D">
              <w:rPr>
                <w:rFonts w:ascii="Calibri" w:eastAsia="Times New Roman" w:hAnsi="Calibri" w:cs="Calibri"/>
                <w:color w:val="000000"/>
                <w:lang w:eastAsia="en-GB"/>
              </w:rPr>
              <w:t>Capital conservation buffer (%)</w:t>
            </w:r>
          </w:p>
        </w:tc>
        <w:tc>
          <w:tcPr>
            <w:tcW w:w="571" w:type="pct"/>
            <w:tcBorders>
              <w:top w:val="nil"/>
              <w:left w:val="nil"/>
              <w:bottom w:val="single" w:sz="4" w:space="0" w:color="auto"/>
              <w:right w:val="single" w:sz="4" w:space="0" w:color="auto"/>
            </w:tcBorders>
            <w:shd w:val="clear" w:color="auto" w:fill="auto"/>
            <w:vAlign w:val="center"/>
          </w:tcPr>
          <w:p w14:paraId="5909D023" w14:textId="697DEA60" w:rsidR="00420E00" w:rsidRPr="005A168C" w:rsidRDefault="001C2D62" w:rsidP="005A168C">
            <w:pPr>
              <w:keepNext/>
              <w:tabs>
                <w:tab w:val="decimal" w:pos="627"/>
              </w:tabs>
              <w:spacing w:after="120" w:line="240" w:lineRule="auto"/>
              <w:rPr>
                <w:rFonts w:cstheme="minorHAnsi"/>
                <w:color w:val="000000"/>
              </w:rPr>
            </w:pPr>
            <w:r>
              <w:rPr>
                <w:rFonts w:cstheme="minorHAnsi"/>
                <w:color w:val="000000"/>
              </w:rPr>
              <w:t>2.5</w:t>
            </w:r>
          </w:p>
        </w:tc>
        <w:tc>
          <w:tcPr>
            <w:tcW w:w="571" w:type="pct"/>
            <w:tcBorders>
              <w:top w:val="nil"/>
              <w:left w:val="nil"/>
              <w:bottom w:val="single" w:sz="4" w:space="0" w:color="auto"/>
              <w:right w:val="single" w:sz="4" w:space="0" w:color="auto"/>
            </w:tcBorders>
            <w:shd w:val="clear" w:color="auto" w:fill="auto"/>
            <w:vAlign w:val="center"/>
          </w:tcPr>
          <w:p w14:paraId="6882B49D" w14:textId="5B127044" w:rsidR="00420E00" w:rsidRPr="005A168C" w:rsidRDefault="00420E00" w:rsidP="005A168C">
            <w:pPr>
              <w:keepNext/>
              <w:tabs>
                <w:tab w:val="decimal" w:pos="627"/>
              </w:tabs>
              <w:spacing w:after="120" w:line="240" w:lineRule="auto"/>
              <w:rPr>
                <w:rFonts w:cstheme="minorHAnsi"/>
                <w:color w:val="000000"/>
              </w:rPr>
            </w:pPr>
            <w:r>
              <w:rPr>
                <w:rFonts w:cstheme="minorHAnsi"/>
                <w:color w:val="000000"/>
              </w:rPr>
              <w:t>2.5</w:t>
            </w:r>
          </w:p>
        </w:tc>
        <w:tc>
          <w:tcPr>
            <w:tcW w:w="572" w:type="pct"/>
            <w:tcBorders>
              <w:top w:val="nil"/>
              <w:left w:val="nil"/>
              <w:bottom w:val="single" w:sz="4" w:space="0" w:color="auto"/>
              <w:right w:val="single" w:sz="4" w:space="0" w:color="auto"/>
            </w:tcBorders>
            <w:shd w:val="clear" w:color="auto" w:fill="auto"/>
            <w:vAlign w:val="center"/>
            <w:hideMark/>
          </w:tcPr>
          <w:p w14:paraId="7957EC6F" w14:textId="34B96F93" w:rsidR="00420E00" w:rsidRPr="005A168C" w:rsidRDefault="00420E00" w:rsidP="005A168C">
            <w:pPr>
              <w:keepNext/>
              <w:tabs>
                <w:tab w:val="decimal" w:pos="627"/>
              </w:tabs>
              <w:spacing w:after="120" w:line="240" w:lineRule="auto"/>
              <w:rPr>
                <w:rFonts w:cstheme="minorHAnsi"/>
                <w:color w:val="000000"/>
              </w:rPr>
            </w:pPr>
            <w:r w:rsidRPr="005A168C">
              <w:rPr>
                <w:rFonts w:cstheme="minorHAnsi"/>
                <w:color w:val="000000"/>
              </w:rPr>
              <w:t>2.5</w:t>
            </w:r>
          </w:p>
        </w:tc>
        <w:tc>
          <w:tcPr>
            <w:tcW w:w="572" w:type="pct"/>
            <w:tcBorders>
              <w:top w:val="nil"/>
              <w:left w:val="nil"/>
              <w:bottom w:val="single" w:sz="4" w:space="0" w:color="auto"/>
              <w:right w:val="single" w:sz="4" w:space="0" w:color="auto"/>
            </w:tcBorders>
            <w:shd w:val="clear" w:color="auto" w:fill="E2EFD9" w:themeFill="accent6" w:themeFillTint="33"/>
          </w:tcPr>
          <w:p w14:paraId="049A04EB" w14:textId="77777777" w:rsidR="00420E00" w:rsidRPr="00A60C7D" w:rsidRDefault="00420E00" w:rsidP="00420E00">
            <w:pPr>
              <w:spacing w:after="120" w:line="240" w:lineRule="auto"/>
              <w:jc w:val="center"/>
              <w:rPr>
                <w:rFonts w:ascii="Calibri" w:eastAsia="Times New Roman" w:hAnsi="Calibri" w:cs="Calibri"/>
                <w:color w:val="000000"/>
                <w:lang w:eastAsia="en-GB"/>
              </w:rPr>
            </w:pPr>
          </w:p>
        </w:tc>
      </w:tr>
      <w:tr w:rsidR="00420E00" w:rsidRPr="00A60C7D" w14:paraId="1505A0FF" w14:textId="23BB4E37" w:rsidTr="0082095A">
        <w:trPr>
          <w:trHeight w:val="576"/>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1C71E72C" w14:textId="77777777" w:rsidR="00420E00" w:rsidRPr="00A60C7D" w:rsidRDefault="00420E00" w:rsidP="00420E00">
            <w:pPr>
              <w:spacing w:after="120" w:line="240" w:lineRule="auto"/>
              <w:jc w:val="center"/>
              <w:rPr>
                <w:rFonts w:ascii="Calibri" w:eastAsia="Times New Roman" w:hAnsi="Calibri" w:cs="Calibri"/>
                <w:color w:val="000000"/>
                <w:lang w:eastAsia="en-GB"/>
              </w:rPr>
            </w:pPr>
            <w:r w:rsidRPr="00A60C7D">
              <w:rPr>
                <w:rFonts w:ascii="Calibri" w:eastAsia="Times New Roman" w:hAnsi="Calibri" w:cs="Calibri"/>
                <w:color w:val="000000"/>
                <w:lang w:eastAsia="en-GB"/>
              </w:rPr>
              <w:t>UK 8a</w:t>
            </w:r>
          </w:p>
        </w:tc>
        <w:tc>
          <w:tcPr>
            <w:tcW w:w="2215" w:type="pct"/>
            <w:tcBorders>
              <w:top w:val="nil"/>
              <w:left w:val="nil"/>
              <w:bottom w:val="single" w:sz="4" w:space="0" w:color="auto"/>
              <w:right w:val="single" w:sz="4" w:space="0" w:color="auto"/>
            </w:tcBorders>
            <w:shd w:val="clear" w:color="auto" w:fill="auto"/>
            <w:vAlign w:val="center"/>
            <w:hideMark/>
          </w:tcPr>
          <w:p w14:paraId="58BE3EC7" w14:textId="77777777" w:rsidR="00420E00" w:rsidRPr="00A60C7D" w:rsidRDefault="00420E00" w:rsidP="00420E00">
            <w:pPr>
              <w:spacing w:after="120" w:line="240" w:lineRule="auto"/>
              <w:rPr>
                <w:rFonts w:ascii="Calibri" w:eastAsia="Times New Roman" w:hAnsi="Calibri" w:cs="Calibri"/>
                <w:color w:val="000000"/>
                <w:lang w:eastAsia="en-GB"/>
              </w:rPr>
            </w:pPr>
            <w:r w:rsidRPr="00A60C7D">
              <w:rPr>
                <w:rFonts w:ascii="Calibri" w:eastAsia="Times New Roman" w:hAnsi="Calibri" w:cs="Calibri"/>
                <w:color w:val="000000"/>
                <w:lang w:eastAsia="en-GB"/>
              </w:rPr>
              <w:t>Conservation buffer due to macro-prudential or systemic risk identified at the level of a Member State (%)</w:t>
            </w:r>
          </w:p>
        </w:tc>
        <w:tc>
          <w:tcPr>
            <w:tcW w:w="571" w:type="pct"/>
            <w:tcBorders>
              <w:top w:val="nil"/>
              <w:left w:val="nil"/>
              <w:bottom w:val="single" w:sz="4" w:space="0" w:color="auto"/>
              <w:right w:val="single" w:sz="4" w:space="0" w:color="auto"/>
            </w:tcBorders>
            <w:shd w:val="clear" w:color="auto" w:fill="auto"/>
            <w:vAlign w:val="center"/>
          </w:tcPr>
          <w:p w14:paraId="157B3030" w14:textId="1E95647B" w:rsidR="00420E00" w:rsidRPr="005A168C" w:rsidRDefault="001C2D62" w:rsidP="005A168C">
            <w:pPr>
              <w:keepNext/>
              <w:tabs>
                <w:tab w:val="decimal" w:pos="627"/>
              </w:tabs>
              <w:spacing w:after="120" w:line="240" w:lineRule="auto"/>
              <w:rPr>
                <w:rFonts w:cstheme="minorHAnsi"/>
                <w:color w:val="000000"/>
              </w:rPr>
            </w:pPr>
            <w:r>
              <w:rPr>
                <w:rFonts w:cstheme="minorHAnsi"/>
                <w:color w:val="000000"/>
              </w:rPr>
              <w:t>-</w:t>
            </w:r>
          </w:p>
        </w:tc>
        <w:tc>
          <w:tcPr>
            <w:tcW w:w="571" w:type="pct"/>
            <w:tcBorders>
              <w:top w:val="nil"/>
              <w:left w:val="nil"/>
              <w:bottom w:val="single" w:sz="4" w:space="0" w:color="auto"/>
              <w:right w:val="single" w:sz="4" w:space="0" w:color="auto"/>
            </w:tcBorders>
            <w:shd w:val="clear" w:color="auto" w:fill="auto"/>
            <w:vAlign w:val="center"/>
            <w:hideMark/>
          </w:tcPr>
          <w:p w14:paraId="31F45763" w14:textId="0EA45B76" w:rsidR="00420E00" w:rsidRPr="005A168C" w:rsidRDefault="00420E00" w:rsidP="005A168C">
            <w:pPr>
              <w:keepNext/>
              <w:tabs>
                <w:tab w:val="decimal" w:pos="627"/>
              </w:tabs>
              <w:spacing w:after="120" w:line="240" w:lineRule="auto"/>
              <w:rPr>
                <w:rFonts w:cstheme="minorHAnsi"/>
                <w:color w:val="000000"/>
              </w:rPr>
            </w:pPr>
            <w:r>
              <w:rPr>
                <w:rFonts w:cstheme="minorHAnsi"/>
                <w:color w:val="000000"/>
              </w:rPr>
              <w:t>-</w:t>
            </w:r>
          </w:p>
        </w:tc>
        <w:tc>
          <w:tcPr>
            <w:tcW w:w="572" w:type="pct"/>
            <w:tcBorders>
              <w:top w:val="nil"/>
              <w:left w:val="nil"/>
              <w:bottom w:val="single" w:sz="4" w:space="0" w:color="auto"/>
              <w:right w:val="single" w:sz="4" w:space="0" w:color="auto"/>
            </w:tcBorders>
            <w:shd w:val="clear" w:color="auto" w:fill="auto"/>
            <w:vAlign w:val="center"/>
            <w:hideMark/>
          </w:tcPr>
          <w:p w14:paraId="05C9426A" w14:textId="3D82D06F" w:rsidR="00420E00" w:rsidRPr="005A168C" w:rsidRDefault="00420E00" w:rsidP="005A168C">
            <w:pPr>
              <w:keepNext/>
              <w:tabs>
                <w:tab w:val="decimal" w:pos="627"/>
              </w:tabs>
              <w:spacing w:after="120" w:line="240" w:lineRule="auto"/>
              <w:rPr>
                <w:rFonts w:cstheme="minorHAnsi"/>
                <w:color w:val="000000"/>
              </w:rPr>
            </w:pPr>
            <w:r w:rsidRPr="005A168C">
              <w:rPr>
                <w:rFonts w:cstheme="minorHAnsi"/>
                <w:color w:val="000000"/>
              </w:rPr>
              <w:t>-</w:t>
            </w:r>
          </w:p>
        </w:tc>
        <w:tc>
          <w:tcPr>
            <w:tcW w:w="572" w:type="pct"/>
            <w:tcBorders>
              <w:top w:val="nil"/>
              <w:left w:val="nil"/>
              <w:bottom w:val="single" w:sz="4" w:space="0" w:color="auto"/>
              <w:right w:val="single" w:sz="4" w:space="0" w:color="auto"/>
            </w:tcBorders>
            <w:shd w:val="clear" w:color="auto" w:fill="E2EFD9" w:themeFill="accent6" w:themeFillTint="33"/>
            <w:vAlign w:val="center"/>
          </w:tcPr>
          <w:p w14:paraId="63B45936" w14:textId="6D579166" w:rsidR="00420E00" w:rsidRPr="00A60C7D" w:rsidRDefault="00420E00" w:rsidP="00420E00">
            <w:pPr>
              <w:spacing w:after="120" w:line="240" w:lineRule="auto"/>
              <w:jc w:val="center"/>
              <w:rPr>
                <w:rFonts w:ascii="Calibri" w:eastAsia="Times New Roman" w:hAnsi="Calibri" w:cs="Calibri"/>
                <w:color w:val="000000"/>
                <w:lang w:eastAsia="en-GB"/>
              </w:rPr>
            </w:pPr>
            <w:r w:rsidRPr="00E64829">
              <w:rPr>
                <w:b/>
                <w:bCs/>
              </w:rPr>
              <w:t>[</w:t>
            </w:r>
            <w:r>
              <w:rPr>
                <w:b/>
                <w:bCs/>
              </w:rPr>
              <w:t>b</w:t>
            </w:r>
            <w:r w:rsidRPr="00E64829">
              <w:rPr>
                <w:b/>
                <w:bCs/>
              </w:rPr>
              <w:t>]</w:t>
            </w:r>
          </w:p>
        </w:tc>
      </w:tr>
      <w:tr w:rsidR="00420E00" w:rsidRPr="00A60C7D" w14:paraId="7FAD4669" w14:textId="18CF6687" w:rsidTr="0082095A">
        <w:trPr>
          <w:trHeight w:val="288"/>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13FE0ADD" w14:textId="77777777" w:rsidR="00420E00" w:rsidRPr="00A60C7D" w:rsidRDefault="00420E00" w:rsidP="00420E00">
            <w:pPr>
              <w:spacing w:after="120" w:line="240" w:lineRule="auto"/>
              <w:jc w:val="center"/>
              <w:rPr>
                <w:rFonts w:ascii="Calibri" w:eastAsia="Times New Roman" w:hAnsi="Calibri" w:cs="Calibri"/>
                <w:color w:val="000000"/>
                <w:lang w:eastAsia="en-GB"/>
              </w:rPr>
            </w:pPr>
            <w:r w:rsidRPr="00A60C7D">
              <w:rPr>
                <w:rFonts w:ascii="Calibri" w:eastAsia="Times New Roman" w:hAnsi="Calibri" w:cs="Calibri"/>
                <w:color w:val="000000"/>
                <w:lang w:eastAsia="en-GB"/>
              </w:rPr>
              <w:t>9</w:t>
            </w:r>
          </w:p>
        </w:tc>
        <w:tc>
          <w:tcPr>
            <w:tcW w:w="2215" w:type="pct"/>
            <w:tcBorders>
              <w:top w:val="nil"/>
              <w:left w:val="nil"/>
              <w:bottom w:val="single" w:sz="4" w:space="0" w:color="auto"/>
              <w:right w:val="single" w:sz="4" w:space="0" w:color="auto"/>
            </w:tcBorders>
            <w:shd w:val="clear" w:color="auto" w:fill="auto"/>
            <w:vAlign w:val="center"/>
            <w:hideMark/>
          </w:tcPr>
          <w:p w14:paraId="13F38AEB" w14:textId="77777777" w:rsidR="00420E00" w:rsidRPr="00A60C7D" w:rsidRDefault="00420E00" w:rsidP="00420E00">
            <w:pPr>
              <w:spacing w:after="120" w:line="240" w:lineRule="auto"/>
              <w:rPr>
                <w:rFonts w:ascii="Calibri" w:eastAsia="Times New Roman" w:hAnsi="Calibri" w:cs="Calibri"/>
                <w:color w:val="000000"/>
                <w:lang w:eastAsia="en-GB"/>
              </w:rPr>
            </w:pPr>
            <w:r w:rsidRPr="00A60C7D">
              <w:rPr>
                <w:rFonts w:ascii="Calibri" w:eastAsia="Times New Roman" w:hAnsi="Calibri" w:cs="Calibri"/>
                <w:color w:val="000000"/>
                <w:lang w:eastAsia="en-GB"/>
              </w:rPr>
              <w:t>Institution specific countercyclical capital buffer (%)</w:t>
            </w:r>
          </w:p>
        </w:tc>
        <w:tc>
          <w:tcPr>
            <w:tcW w:w="571" w:type="pct"/>
            <w:tcBorders>
              <w:top w:val="nil"/>
              <w:left w:val="nil"/>
              <w:bottom w:val="single" w:sz="4" w:space="0" w:color="auto"/>
              <w:right w:val="single" w:sz="4" w:space="0" w:color="auto"/>
            </w:tcBorders>
            <w:shd w:val="clear" w:color="auto" w:fill="auto"/>
            <w:vAlign w:val="center"/>
          </w:tcPr>
          <w:p w14:paraId="0125098E" w14:textId="4B29535E" w:rsidR="00420E00" w:rsidRPr="005A168C" w:rsidRDefault="001C2D62" w:rsidP="005A168C">
            <w:pPr>
              <w:keepNext/>
              <w:tabs>
                <w:tab w:val="decimal" w:pos="627"/>
              </w:tabs>
              <w:spacing w:after="120" w:line="240" w:lineRule="auto"/>
              <w:rPr>
                <w:rFonts w:cstheme="minorHAnsi"/>
                <w:color w:val="000000"/>
              </w:rPr>
            </w:pPr>
            <w:r>
              <w:rPr>
                <w:rFonts w:cstheme="minorHAnsi"/>
                <w:color w:val="000000"/>
              </w:rPr>
              <w:t>2.0</w:t>
            </w:r>
          </w:p>
        </w:tc>
        <w:tc>
          <w:tcPr>
            <w:tcW w:w="571" w:type="pct"/>
            <w:tcBorders>
              <w:top w:val="nil"/>
              <w:left w:val="nil"/>
              <w:bottom w:val="single" w:sz="4" w:space="0" w:color="auto"/>
              <w:right w:val="single" w:sz="4" w:space="0" w:color="auto"/>
            </w:tcBorders>
            <w:shd w:val="clear" w:color="auto" w:fill="auto"/>
            <w:vAlign w:val="center"/>
            <w:hideMark/>
          </w:tcPr>
          <w:p w14:paraId="04EC3833" w14:textId="33B90555" w:rsidR="00420E00" w:rsidRPr="005A168C" w:rsidRDefault="00420E00" w:rsidP="005A168C">
            <w:pPr>
              <w:keepNext/>
              <w:tabs>
                <w:tab w:val="decimal" w:pos="627"/>
              </w:tabs>
              <w:spacing w:after="120" w:line="240" w:lineRule="auto"/>
              <w:rPr>
                <w:rFonts w:cstheme="minorHAnsi"/>
                <w:color w:val="000000"/>
              </w:rPr>
            </w:pPr>
            <w:r>
              <w:rPr>
                <w:rFonts w:cstheme="minorHAnsi"/>
                <w:color w:val="000000"/>
              </w:rPr>
              <w:t>2.0</w:t>
            </w:r>
          </w:p>
        </w:tc>
        <w:tc>
          <w:tcPr>
            <w:tcW w:w="572" w:type="pct"/>
            <w:tcBorders>
              <w:top w:val="nil"/>
              <w:left w:val="nil"/>
              <w:bottom w:val="single" w:sz="4" w:space="0" w:color="auto"/>
              <w:right w:val="single" w:sz="4" w:space="0" w:color="auto"/>
            </w:tcBorders>
            <w:shd w:val="clear" w:color="auto" w:fill="auto"/>
            <w:vAlign w:val="center"/>
            <w:hideMark/>
          </w:tcPr>
          <w:p w14:paraId="7534A510" w14:textId="6CEC711C" w:rsidR="00420E00" w:rsidRPr="005A168C" w:rsidRDefault="00420E00" w:rsidP="005A168C">
            <w:pPr>
              <w:keepNext/>
              <w:tabs>
                <w:tab w:val="decimal" w:pos="627"/>
              </w:tabs>
              <w:spacing w:after="120" w:line="240" w:lineRule="auto"/>
              <w:rPr>
                <w:rFonts w:cstheme="minorHAnsi"/>
                <w:color w:val="000000"/>
              </w:rPr>
            </w:pPr>
            <w:r w:rsidRPr="005A168C">
              <w:rPr>
                <w:rFonts w:cstheme="minorHAnsi"/>
                <w:color w:val="000000"/>
              </w:rPr>
              <w:t>1.0</w:t>
            </w:r>
          </w:p>
        </w:tc>
        <w:tc>
          <w:tcPr>
            <w:tcW w:w="572" w:type="pct"/>
            <w:tcBorders>
              <w:top w:val="nil"/>
              <w:left w:val="nil"/>
              <w:bottom w:val="single" w:sz="4" w:space="0" w:color="auto"/>
              <w:right w:val="single" w:sz="4" w:space="0" w:color="auto"/>
            </w:tcBorders>
            <w:shd w:val="clear" w:color="auto" w:fill="E2EFD9" w:themeFill="accent6" w:themeFillTint="33"/>
          </w:tcPr>
          <w:p w14:paraId="679D10D2" w14:textId="77777777" w:rsidR="00420E00" w:rsidRPr="00A60C7D" w:rsidRDefault="00420E00" w:rsidP="00420E00">
            <w:pPr>
              <w:spacing w:after="120" w:line="240" w:lineRule="auto"/>
              <w:jc w:val="center"/>
              <w:rPr>
                <w:rFonts w:ascii="Calibri" w:eastAsia="Times New Roman" w:hAnsi="Calibri" w:cs="Calibri"/>
                <w:color w:val="000000"/>
                <w:lang w:eastAsia="en-GB"/>
              </w:rPr>
            </w:pPr>
          </w:p>
        </w:tc>
      </w:tr>
      <w:tr w:rsidR="00420E00" w:rsidRPr="00A60C7D" w14:paraId="66A305B1" w14:textId="0F9B48F2" w:rsidTr="0082095A">
        <w:trPr>
          <w:trHeight w:val="288"/>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357324CE" w14:textId="77777777" w:rsidR="00420E00" w:rsidRPr="00A60C7D" w:rsidRDefault="00420E00" w:rsidP="00420E00">
            <w:pPr>
              <w:spacing w:after="120" w:line="240" w:lineRule="auto"/>
              <w:jc w:val="center"/>
              <w:rPr>
                <w:rFonts w:ascii="Calibri" w:eastAsia="Times New Roman" w:hAnsi="Calibri" w:cs="Calibri"/>
                <w:color w:val="000000"/>
                <w:lang w:eastAsia="en-GB"/>
              </w:rPr>
            </w:pPr>
            <w:r w:rsidRPr="00A60C7D">
              <w:rPr>
                <w:rFonts w:ascii="Calibri" w:eastAsia="Times New Roman" w:hAnsi="Calibri" w:cs="Calibri"/>
                <w:color w:val="000000"/>
                <w:lang w:eastAsia="en-GB"/>
              </w:rPr>
              <w:t>UK 9a</w:t>
            </w:r>
          </w:p>
        </w:tc>
        <w:tc>
          <w:tcPr>
            <w:tcW w:w="2215" w:type="pct"/>
            <w:tcBorders>
              <w:top w:val="nil"/>
              <w:left w:val="nil"/>
              <w:bottom w:val="single" w:sz="4" w:space="0" w:color="auto"/>
              <w:right w:val="single" w:sz="4" w:space="0" w:color="auto"/>
            </w:tcBorders>
            <w:shd w:val="clear" w:color="auto" w:fill="auto"/>
            <w:vAlign w:val="center"/>
            <w:hideMark/>
          </w:tcPr>
          <w:p w14:paraId="1D57B3A7" w14:textId="77777777" w:rsidR="00420E00" w:rsidRPr="00A60C7D" w:rsidRDefault="00420E00" w:rsidP="00420E00">
            <w:pPr>
              <w:spacing w:after="120" w:line="240" w:lineRule="auto"/>
              <w:rPr>
                <w:rFonts w:ascii="Calibri" w:eastAsia="Times New Roman" w:hAnsi="Calibri" w:cs="Calibri"/>
                <w:color w:val="000000"/>
                <w:lang w:eastAsia="en-GB"/>
              </w:rPr>
            </w:pPr>
            <w:r w:rsidRPr="00A60C7D">
              <w:rPr>
                <w:rFonts w:ascii="Calibri" w:eastAsia="Times New Roman" w:hAnsi="Calibri" w:cs="Calibri"/>
                <w:color w:val="000000"/>
                <w:lang w:eastAsia="en-GB"/>
              </w:rPr>
              <w:t>Systemic risk buffer (%)</w:t>
            </w:r>
          </w:p>
        </w:tc>
        <w:tc>
          <w:tcPr>
            <w:tcW w:w="571" w:type="pct"/>
            <w:tcBorders>
              <w:top w:val="nil"/>
              <w:left w:val="nil"/>
              <w:bottom w:val="single" w:sz="4" w:space="0" w:color="auto"/>
              <w:right w:val="single" w:sz="4" w:space="0" w:color="auto"/>
            </w:tcBorders>
            <w:shd w:val="clear" w:color="auto" w:fill="auto"/>
            <w:vAlign w:val="center"/>
          </w:tcPr>
          <w:p w14:paraId="4893C5B7" w14:textId="4332E318" w:rsidR="001C2D62" w:rsidRPr="005A168C" w:rsidRDefault="001C2D62" w:rsidP="005A168C">
            <w:pPr>
              <w:keepNext/>
              <w:tabs>
                <w:tab w:val="decimal" w:pos="627"/>
              </w:tabs>
              <w:spacing w:after="120" w:line="240" w:lineRule="auto"/>
              <w:rPr>
                <w:rFonts w:cstheme="minorHAnsi"/>
                <w:color w:val="000000"/>
              </w:rPr>
            </w:pPr>
            <w:r>
              <w:rPr>
                <w:rFonts w:cstheme="minorHAnsi"/>
                <w:color w:val="000000"/>
              </w:rPr>
              <w:t>-</w:t>
            </w:r>
          </w:p>
        </w:tc>
        <w:tc>
          <w:tcPr>
            <w:tcW w:w="571" w:type="pct"/>
            <w:tcBorders>
              <w:top w:val="nil"/>
              <w:left w:val="nil"/>
              <w:bottom w:val="single" w:sz="4" w:space="0" w:color="auto"/>
              <w:right w:val="single" w:sz="4" w:space="0" w:color="auto"/>
            </w:tcBorders>
            <w:shd w:val="clear" w:color="auto" w:fill="auto"/>
            <w:vAlign w:val="center"/>
            <w:hideMark/>
          </w:tcPr>
          <w:p w14:paraId="6814D239" w14:textId="2B63C0EB" w:rsidR="00420E00" w:rsidRPr="005A168C" w:rsidRDefault="00420E00" w:rsidP="005A168C">
            <w:pPr>
              <w:keepNext/>
              <w:tabs>
                <w:tab w:val="decimal" w:pos="627"/>
              </w:tabs>
              <w:spacing w:after="120" w:line="240" w:lineRule="auto"/>
              <w:rPr>
                <w:rFonts w:cstheme="minorHAnsi"/>
                <w:color w:val="000000"/>
              </w:rPr>
            </w:pPr>
            <w:r>
              <w:rPr>
                <w:rFonts w:cstheme="minorHAnsi"/>
                <w:color w:val="000000"/>
              </w:rPr>
              <w:t>-</w:t>
            </w:r>
          </w:p>
        </w:tc>
        <w:tc>
          <w:tcPr>
            <w:tcW w:w="572" w:type="pct"/>
            <w:tcBorders>
              <w:top w:val="nil"/>
              <w:left w:val="nil"/>
              <w:bottom w:val="single" w:sz="4" w:space="0" w:color="auto"/>
              <w:right w:val="single" w:sz="4" w:space="0" w:color="auto"/>
            </w:tcBorders>
            <w:shd w:val="clear" w:color="auto" w:fill="auto"/>
            <w:vAlign w:val="center"/>
            <w:hideMark/>
          </w:tcPr>
          <w:p w14:paraId="01D1BF42" w14:textId="6E805E4C" w:rsidR="00420E00" w:rsidRPr="005A168C" w:rsidRDefault="00420E00" w:rsidP="005A168C">
            <w:pPr>
              <w:keepNext/>
              <w:tabs>
                <w:tab w:val="decimal" w:pos="627"/>
              </w:tabs>
              <w:spacing w:after="120" w:line="240" w:lineRule="auto"/>
              <w:rPr>
                <w:rFonts w:cstheme="minorHAnsi"/>
                <w:color w:val="000000"/>
              </w:rPr>
            </w:pPr>
            <w:r w:rsidRPr="005A168C">
              <w:rPr>
                <w:rFonts w:cstheme="minorHAnsi"/>
                <w:color w:val="000000"/>
              </w:rPr>
              <w:t>-</w:t>
            </w:r>
          </w:p>
        </w:tc>
        <w:tc>
          <w:tcPr>
            <w:tcW w:w="572" w:type="pct"/>
            <w:tcBorders>
              <w:top w:val="nil"/>
              <w:left w:val="nil"/>
              <w:bottom w:val="single" w:sz="4" w:space="0" w:color="auto"/>
              <w:right w:val="single" w:sz="4" w:space="0" w:color="auto"/>
            </w:tcBorders>
            <w:shd w:val="clear" w:color="auto" w:fill="E2EFD9" w:themeFill="accent6" w:themeFillTint="33"/>
            <w:vAlign w:val="center"/>
          </w:tcPr>
          <w:p w14:paraId="534A1AAB" w14:textId="549CA3C2" w:rsidR="00420E00" w:rsidRPr="00A60C7D" w:rsidRDefault="00420E00" w:rsidP="00420E00">
            <w:pPr>
              <w:spacing w:after="120" w:line="240" w:lineRule="auto"/>
              <w:jc w:val="center"/>
              <w:rPr>
                <w:rFonts w:ascii="Calibri" w:eastAsia="Times New Roman" w:hAnsi="Calibri" w:cs="Calibri"/>
                <w:color w:val="000000"/>
                <w:lang w:eastAsia="en-GB"/>
              </w:rPr>
            </w:pPr>
            <w:r w:rsidRPr="00E64829">
              <w:rPr>
                <w:b/>
                <w:bCs/>
              </w:rPr>
              <w:t>[</w:t>
            </w:r>
            <w:r>
              <w:rPr>
                <w:b/>
                <w:bCs/>
              </w:rPr>
              <w:t>b</w:t>
            </w:r>
            <w:r w:rsidRPr="00E64829">
              <w:rPr>
                <w:b/>
                <w:bCs/>
              </w:rPr>
              <w:t>]</w:t>
            </w:r>
          </w:p>
        </w:tc>
      </w:tr>
      <w:tr w:rsidR="00420E00" w:rsidRPr="00A60C7D" w14:paraId="2AD3E4C9" w14:textId="5CEDF925" w:rsidTr="0082095A">
        <w:trPr>
          <w:trHeight w:val="288"/>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171E326B" w14:textId="77777777" w:rsidR="00420E00" w:rsidRPr="00A60C7D" w:rsidRDefault="00420E00" w:rsidP="00420E00">
            <w:pPr>
              <w:spacing w:after="120" w:line="240" w:lineRule="auto"/>
              <w:jc w:val="center"/>
              <w:rPr>
                <w:rFonts w:ascii="Calibri" w:eastAsia="Times New Roman" w:hAnsi="Calibri" w:cs="Calibri"/>
                <w:color w:val="000000"/>
                <w:lang w:eastAsia="en-GB"/>
              </w:rPr>
            </w:pPr>
            <w:r w:rsidRPr="00A60C7D">
              <w:rPr>
                <w:rFonts w:ascii="Calibri" w:eastAsia="Times New Roman" w:hAnsi="Calibri" w:cs="Calibri"/>
                <w:color w:val="000000"/>
                <w:lang w:eastAsia="en-GB"/>
              </w:rPr>
              <w:t>10</w:t>
            </w:r>
          </w:p>
        </w:tc>
        <w:tc>
          <w:tcPr>
            <w:tcW w:w="2215" w:type="pct"/>
            <w:tcBorders>
              <w:top w:val="nil"/>
              <w:left w:val="nil"/>
              <w:bottom w:val="single" w:sz="4" w:space="0" w:color="auto"/>
              <w:right w:val="single" w:sz="4" w:space="0" w:color="auto"/>
            </w:tcBorders>
            <w:shd w:val="clear" w:color="auto" w:fill="auto"/>
            <w:vAlign w:val="center"/>
            <w:hideMark/>
          </w:tcPr>
          <w:p w14:paraId="7C80F88D" w14:textId="77777777" w:rsidR="00420E00" w:rsidRPr="00A60C7D" w:rsidRDefault="00420E00" w:rsidP="00420E00">
            <w:pPr>
              <w:spacing w:after="120" w:line="240" w:lineRule="auto"/>
              <w:rPr>
                <w:rFonts w:ascii="Calibri" w:eastAsia="Times New Roman" w:hAnsi="Calibri" w:cs="Calibri"/>
                <w:color w:val="000000"/>
                <w:lang w:eastAsia="en-GB"/>
              </w:rPr>
            </w:pPr>
            <w:r w:rsidRPr="00A60C7D">
              <w:rPr>
                <w:rFonts w:ascii="Calibri" w:eastAsia="Times New Roman" w:hAnsi="Calibri" w:cs="Calibri"/>
                <w:color w:val="000000"/>
                <w:lang w:eastAsia="en-GB"/>
              </w:rPr>
              <w:t>Global Systemically Important Institution buffer (%)</w:t>
            </w:r>
          </w:p>
        </w:tc>
        <w:tc>
          <w:tcPr>
            <w:tcW w:w="571" w:type="pct"/>
            <w:tcBorders>
              <w:top w:val="nil"/>
              <w:left w:val="nil"/>
              <w:bottom w:val="single" w:sz="4" w:space="0" w:color="auto"/>
              <w:right w:val="single" w:sz="4" w:space="0" w:color="auto"/>
            </w:tcBorders>
            <w:shd w:val="clear" w:color="auto" w:fill="auto"/>
            <w:vAlign w:val="center"/>
          </w:tcPr>
          <w:p w14:paraId="7ACC3693" w14:textId="123EF0C1" w:rsidR="00420E00" w:rsidRPr="005A168C" w:rsidRDefault="001C2D62" w:rsidP="005A168C">
            <w:pPr>
              <w:keepNext/>
              <w:tabs>
                <w:tab w:val="decimal" w:pos="627"/>
              </w:tabs>
              <w:spacing w:after="120" w:line="240" w:lineRule="auto"/>
              <w:rPr>
                <w:rFonts w:cstheme="minorHAnsi"/>
                <w:color w:val="000000"/>
              </w:rPr>
            </w:pPr>
            <w:r>
              <w:rPr>
                <w:rFonts w:cstheme="minorHAnsi"/>
                <w:color w:val="000000"/>
              </w:rPr>
              <w:t>-</w:t>
            </w:r>
          </w:p>
        </w:tc>
        <w:tc>
          <w:tcPr>
            <w:tcW w:w="571" w:type="pct"/>
            <w:tcBorders>
              <w:top w:val="nil"/>
              <w:left w:val="nil"/>
              <w:bottom w:val="single" w:sz="4" w:space="0" w:color="auto"/>
              <w:right w:val="single" w:sz="4" w:space="0" w:color="auto"/>
            </w:tcBorders>
            <w:shd w:val="clear" w:color="auto" w:fill="auto"/>
            <w:vAlign w:val="center"/>
            <w:hideMark/>
          </w:tcPr>
          <w:p w14:paraId="0756A143" w14:textId="144554BD" w:rsidR="00420E00" w:rsidRPr="005A168C" w:rsidRDefault="00420E00" w:rsidP="005A168C">
            <w:pPr>
              <w:keepNext/>
              <w:tabs>
                <w:tab w:val="decimal" w:pos="627"/>
              </w:tabs>
              <w:spacing w:after="120" w:line="240" w:lineRule="auto"/>
              <w:rPr>
                <w:rFonts w:cstheme="minorHAnsi"/>
                <w:color w:val="000000"/>
              </w:rPr>
            </w:pPr>
            <w:r>
              <w:rPr>
                <w:rFonts w:cstheme="minorHAnsi"/>
                <w:color w:val="000000"/>
              </w:rPr>
              <w:t>-</w:t>
            </w:r>
          </w:p>
        </w:tc>
        <w:tc>
          <w:tcPr>
            <w:tcW w:w="572" w:type="pct"/>
            <w:tcBorders>
              <w:top w:val="nil"/>
              <w:left w:val="nil"/>
              <w:bottom w:val="single" w:sz="4" w:space="0" w:color="auto"/>
              <w:right w:val="single" w:sz="4" w:space="0" w:color="auto"/>
            </w:tcBorders>
            <w:shd w:val="clear" w:color="auto" w:fill="auto"/>
            <w:vAlign w:val="center"/>
            <w:hideMark/>
          </w:tcPr>
          <w:p w14:paraId="2175448F" w14:textId="3BBEA42D" w:rsidR="00420E00" w:rsidRPr="005A168C" w:rsidRDefault="00420E00" w:rsidP="005A168C">
            <w:pPr>
              <w:keepNext/>
              <w:tabs>
                <w:tab w:val="decimal" w:pos="627"/>
              </w:tabs>
              <w:spacing w:after="120" w:line="240" w:lineRule="auto"/>
              <w:rPr>
                <w:rFonts w:cstheme="minorHAnsi"/>
                <w:color w:val="000000"/>
              </w:rPr>
            </w:pPr>
            <w:r w:rsidRPr="005A168C">
              <w:rPr>
                <w:rFonts w:cstheme="minorHAnsi"/>
                <w:color w:val="000000"/>
              </w:rPr>
              <w:t>-</w:t>
            </w:r>
          </w:p>
        </w:tc>
        <w:tc>
          <w:tcPr>
            <w:tcW w:w="572" w:type="pct"/>
            <w:tcBorders>
              <w:top w:val="nil"/>
              <w:left w:val="nil"/>
              <w:bottom w:val="single" w:sz="4" w:space="0" w:color="auto"/>
              <w:right w:val="single" w:sz="4" w:space="0" w:color="auto"/>
            </w:tcBorders>
            <w:shd w:val="clear" w:color="auto" w:fill="E2EFD9" w:themeFill="accent6" w:themeFillTint="33"/>
            <w:vAlign w:val="center"/>
          </w:tcPr>
          <w:p w14:paraId="307BF747" w14:textId="65802BA3" w:rsidR="00420E00" w:rsidRPr="00A60C7D" w:rsidRDefault="00420E00" w:rsidP="00420E00">
            <w:pPr>
              <w:spacing w:after="120" w:line="240" w:lineRule="auto"/>
              <w:jc w:val="center"/>
              <w:rPr>
                <w:rFonts w:ascii="Calibri" w:eastAsia="Times New Roman" w:hAnsi="Calibri" w:cs="Calibri"/>
                <w:color w:val="000000"/>
                <w:lang w:eastAsia="en-GB"/>
              </w:rPr>
            </w:pPr>
            <w:r w:rsidRPr="00E64829">
              <w:rPr>
                <w:b/>
                <w:bCs/>
              </w:rPr>
              <w:t>[</w:t>
            </w:r>
            <w:r>
              <w:rPr>
                <w:b/>
                <w:bCs/>
              </w:rPr>
              <w:t>b</w:t>
            </w:r>
            <w:r w:rsidRPr="00E64829">
              <w:rPr>
                <w:b/>
                <w:bCs/>
              </w:rPr>
              <w:t>]</w:t>
            </w:r>
          </w:p>
        </w:tc>
      </w:tr>
      <w:tr w:rsidR="00420E00" w:rsidRPr="00A60C7D" w14:paraId="452A4F8E" w14:textId="1ECA3BC8" w:rsidTr="0082095A">
        <w:trPr>
          <w:trHeight w:val="288"/>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1DFCCDC3" w14:textId="77777777" w:rsidR="00420E00" w:rsidRPr="00A60C7D" w:rsidRDefault="00420E00" w:rsidP="00420E00">
            <w:pPr>
              <w:spacing w:after="120" w:line="240" w:lineRule="auto"/>
              <w:jc w:val="center"/>
              <w:rPr>
                <w:rFonts w:ascii="Calibri" w:eastAsia="Times New Roman" w:hAnsi="Calibri" w:cs="Calibri"/>
                <w:color w:val="000000"/>
                <w:lang w:eastAsia="en-GB"/>
              </w:rPr>
            </w:pPr>
            <w:r w:rsidRPr="00A60C7D">
              <w:rPr>
                <w:rFonts w:ascii="Calibri" w:eastAsia="Times New Roman" w:hAnsi="Calibri" w:cs="Calibri"/>
                <w:color w:val="000000"/>
                <w:lang w:eastAsia="en-GB"/>
              </w:rPr>
              <w:t>UK 10a</w:t>
            </w:r>
          </w:p>
        </w:tc>
        <w:tc>
          <w:tcPr>
            <w:tcW w:w="2215" w:type="pct"/>
            <w:tcBorders>
              <w:top w:val="nil"/>
              <w:left w:val="nil"/>
              <w:bottom w:val="single" w:sz="4" w:space="0" w:color="auto"/>
              <w:right w:val="single" w:sz="4" w:space="0" w:color="auto"/>
            </w:tcBorders>
            <w:shd w:val="clear" w:color="auto" w:fill="auto"/>
            <w:vAlign w:val="center"/>
            <w:hideMark/>
          </w:tcPr>
          <w:p w14:paraId="066E640C" w14:textId="77777777" w:rsidR="00420E00" w:rsidRPr="00A60C7D" w:rsidRDefault="00420E00" w:rsidP="00420E00">
            <w:pPr>
              <w:spacing w:after="120" w:line="240" w:lineRule="auto"/>
              <w:rPr>
                <w:rFonts w:ascii="Calibri" w:eastAsia="Times New Roman" w:hAnsi="Calibri" w:cs="Calibri"/>
                <w:color w:val="000000"/>
                <w:lang w:eastAsia="en-GB"/>
              </w:rPr>
            </w:pPr>
            <w:r w:rsidRPr="00A60C7D">
              <w:rPr>
                <w:rFonts w:ascii="Calibri" w:eastAsia="Times New Roman" w:hAnsi="Calibri" w:cs="Calibri"/>
                <w:color w:val="000000"/>
                <w:lang w:eastAsia="en-GB"/>
              </w:rPr>
              <w:t>Other Systemically Important Institution buffer</w:t>
            </w:r>
          </w:p>
        </w:tc>
        <w:tc>
          <w:tcPr>
            <w:tcW w:w="571" w:type="pct"/>
            <w:tcBorders>
              <w:top w:val="nil"/>
              <w:left w:val="nil"/>
              <w:bottom w:val="single" w:sz="4" w:space="0" w:color="auto"/>
              <w:right w:val="single" w:sz="4" w:space="0" w:color="auto"/>
            </w:tcBorders>
            <w:shd w:val="clear" w:color="auto" w:fill="auto"/>
            <w:vAlign w:val="center"/>
          </w:tcPr>
          <w:p w14:paraId="5400C84C" w14:textId="13A6D835" w:rsidR="00420E00" w:rsidRPr="005A168C" w:rsidRDefault="001C2D62" w:rsidP="005A168C">
            <w:pPr>
              <w:keepNext/>
              <w:tabs>
                <w:tab w:val="decimal" w:pos="627"/>
              </w:tabs>
              <w:spacing w:after="120" w:line="240" w:lineRule="auto"/>
              <w:rPr>
                <w:rFonts w:cstheme="minorHAnsi"/>
                <w:color w:val="000000"/>
              </w:rPr>
            </w:pPr>
            <w:r>
              <w:rPr>
                <w:rFonts w:cstheme="minorHAnsi"/>
                <w:color w:val="000000"/>
              </w:rPr>
              <w:t>-</w:t>
            </w:r>
          </w:p>
        </w:tc>
        <w:tc>
          <w:tcPr>
            <w:tcW w:w="571" w:type="pct"/>
            <w:tcBorders>
              <w:top w:val="nil"/>
              <w:left w:val="nil"/>
              <w:bottom w:val="single" w:sz="4" w:space="0" w:color="auto"/>
              <w:right w:val="single" w:sz="4" w:space="0" w:color="auto"/>
            </w:tcBorders>
            <w:shd w:val="clear" w:color="auto" w:fill="auto"/>
            <w:vAlign w:val="center"/>
            <w:hideMark/>
          </w:tcPr>
          <w:p w14:paraId="3D10DE55" w14:textId="59554416" w:rsidR="00420E00" w:rsidRPr="005A168C" w:rsidRDefault="00420E00" w:rsidP="005A168C">
            <w:pPr>
              <w:keepNext/>
              <w:tabs>
                <w:tab w:val="decimal" w:pos="627"/>
              </w:tabs>
              <w:spacing w:after="120" w:line="240" w:lineRule="auto"/>
              <w:rPr>
                <w:rFonts w:cstheme="minorHAnsi"/>
                <w:color w:val="000000"/>
              </w:rPr>
            </w:pPr>
            <w:r>
              <w:rPr>
                <w:rFonts w:cstheme="minorHAnsi"/>
                <w:color w:val="000000"/>
              </w:rPr>
              <w:t>-</w:t>
            </w:r>
          </w:p>
        </w:tc>
        <w:tc>
          <w:tcPr>
            <w:tcW w:w="572" w:type="pct"/>
            <w:tcBorders>
              <w:top w:val="nil"/>
              <w:left w:val="nil"/>
              <w:bottom w:val="single" w:sz="4" w:space="0" w:color="auto"/>
              <w:right w:val="single" w:sz="4" w:space="0" w:color="auto"/>
            </w:tcBorders>
            <w:shd w:val="clear" w:color="auto" w:fill="auto"/>
            <w:vAlign w:val="center"/>
            <w:hideMark/>
          </w:tcPr>
          <w:p w14:paraId="4B2E2ABC" w14:textId="5B37B99F" w:rsidR="00420E00" w:rsidRPr="005A168C" w:rsidRDefault="00420E00" w:rsidP="005A168C">
            <w:pPr>
              <w:keepNext/>
              <w:tabs>
                <w:tab w:val="decimal" w:pos="627"/>
              </w:tabs>
              <w:spacing w:after="120" w:line="240" w:lineRule="auto"/>
              <w:rPr>
                <w:rFonts w:cstheme="minorHAnsi"/>
                <w:color w:val="000000"/>
              </w:rPr>
            </w:pPr>
            <w:r w:rsidRPr="005A168C">
              <w:rPr>
                <w:rFonts w:cstheme="minorHAnsi"/>
                <w:color w:val="000000"/>
              </w:rPr>
              <w:t>-</w:t>
            </w:r>
          </w:p>
        </w:tc>
        <w:tc>
          <w:tcPr>
            <w:tcW w:w="572" w:type="pct"/>
            <w:tcBorders>
              <w:top w:val="nil"/>
              <w:left w:val="nil"/>
              <w:bottom w:val="single" w:sz="4" w:space="0" w:color="auto"/>
              <w:right w:val="single" w:sz="4" w:space="0" w:color="auto"/>
            </w:tcBorders>
            <w:shd w:val="clear" w:color="auto" w:fill="E2EFD9" w:themeFill="accent6" w:themeFillTint="33"/>
            <w:vAlign w:val="center"/>
          </w:tcPr>
          <w:p w14:paraId="4F642B17" w14:textId="66A9D713" w:rsidR="00420E00" w:rsidRPr="00A60C7D" w:rsidRDefault="00420E00" w:rsidP="00420E00">
            <w:pPr>
              <w:spacing w:after="120" w:line="240" w:lineRule="auto"/>
              <w:jc w:val="center"/>
              <w:rPr>
                <w:rFonts w:ascii="Calibri" w:eastAsia="Times New Roman" w:hAnsi="Calibri" w:cs="Calibri"/>
                <w:color w:val="000000"/>
                <w:lang w:eastAsia="en-GB"/>
              </w:rPr>
            </w:pPr>
            <w:r w:rsidRPr="00E64829">
              <w:rPr>
                <w:b/>
                <w:bCs/>
              </w:rPr>
              <w:t>[</w:t>
            </w:r>
            <w:r>
              <w:rPr>
                <w:b/>
                <w:bCs/>
              </w:rPr>
              <w:t>b</w:t>
            </w:r>
            <w:r w:rsidRPr="00E64829">
              <w:rPr>
                <w:b/>
                <w:bCs/>
              </w:rPr>
              <w:t>]</w:t>
            </w:r>
          </w:p>
        </w:tc>
      </w:tr>
      <w:tr w:rsidR="00420E00" w:rsidRPr="00A60C7D" w14:paraId="74995A9C" w14:textId="50D5FD7A" w:rsidTr="0082095A">
        <w:trPr>
          <w:trHeight w:val="288"/>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033ACB96" w14:textId="77777777" w:rsidR="00420E00" w:rsidRPr="00A60C7D" w:rsidRDefault="00420E00" w:rsidP="00420E00">
            <w:pPr>
              <w:spacing w:after="120" w:line="240" w:lineRule="auto"/>
              <w:jc w:val="center"/>
              <w:rPr>
                <w:rFonts w:ascii="Calibri" w:eastAsia="Times New Roman" w:hAnsi="Calibri" w:cs="Calibri"/>
                <w:color w:val="000000"/>
                <w:lang w:eastAsia="en-GB"/>
              </w:rPr>
            </w:pPr>
            <w:r w:rsidRPr="00A60C7D">
              <w:rPr>
                <w:rFonts w:ascii="Calibri" w:eastAsia="Times New Roman" w:hAnsi="Calibri" w:cs="Calibri"/>
                <w:color w:val="000000"/>
                <w:lang w:eastAsia="en-GB"/>
              </w:rPr>
              <w:t>11</w:t>
            </w:r>
          </w:p>
        </w:tc>
        <w:tc>
          <w:tcPr>
            <w:tcW w:w="2215" w:type="pct"/>
            <w:tcBorders>
              <w:top w:val="nil"/>
              <w:left w:val="nil"/>
              <w:bottom w:val="single" w:sz="4" w:space="0" w:color="auto"/>
              <w:right w:val="single" w:sz="4" w:space="0" w:color="auto"/>
            </w:tcBorders>
            <w:shd w:val="clear" w:color="auto" w:fill="auto"/>
            <w:vAlign w:val="center"/>
            <w:hideMark/>
          </w:tcPr>
          <w:p w14:paraId="01A0FA89" w14:textId="77777777" w:rsidR="00420E00" w:rsidRPr="00A60C7D" w:rsidRDefault="00420E00" w:rsidP="00420E00">
            <w:pPr>
              <w:spacing w:after="120" w:line="240" w:lineRule="auto"/>
              <w:rPr>
                <w:rFonts w:ascii="Calibri" w:eastAsia="Times New Roman" w:hAnsi="Calibri" w:cs="Calibri"/>
                <w:color w:val="000000"/>
                <w:lang w:eastAsia="en-GB"/>
              </w:rPr>
            </w:pPr>
            <w:r w:rsidRPr="00A60C7D">
              <w:rPr>
                <w:rFonts w:ascii="Calibri" w:eastAsia="Times New Roman" w:hAnsi="Calibri" w:cs="Calibri"/>
                <w:color w:val="000000"/>
                <w:lang w:eastAsia="en-GB"/>
              </w:rPr>
              <w:t>Combined buffer requirement (%)</w:t>
            </w:r>
          </w:p>
        </w:tc>
        <w:tc>
          <w:tcPr>
            <w:tcW w:w="571" w:type="pct"/>
            <w:tcBorders>
              <w:top w:val="nil"/>
              <w:left w:val="nil"/>
              <w:bottom w:val="single" w:sz="4" w:space="0" w:color="auto"/>
              <w:right w:val="single" w:sz="4" w:space="0" w:color="auto"/>
            </w:tcBorders>
            <w:shd w:val="clear" w:color="auto" w:fill="auto"/>
            <w:vAlign w:val="center"/>
          </w:tcPr>
          <w:p w14:paraId="17B8005D" w14:textId="335A48DF" w:rsidR="00420E00" w:rsidRPr="005A168C" w:rsidRDefault="001C2D62" w:rsidP="005A168C">
            <w:pPr>
              <w:keepNext/>
              <w:tabs>
                <w:tab w:val="decimal" w:pos="627"/>
              </w:tabs>
              <w:spacing w:after="120" w:line="240" w:lineRule="auto"/>
              <w:rPr>
                <w:rFonts w:cstheme="minorHAnsi"/>
                <w:color w:val="000000"/>
              </w:rPr>
            </w:pPr>
            <w:r>
              <w:rPr>
                <w:rFonts w:cstheme="minorHAnsi"/>
                <w:color w:val="000000"/>
              </w:rPr>
              <w:t>4.5</w:t>
            </w:r>
          </w:p>
        </w:tc>
        <w:tc>
          <w:tcPr>
            <w:tcW w:w="571" w:type="pct"/>
            <w:tcBorders>
              <w:top w:val="nil"/>
              <w:left w:val="nil"/>
              <w:bottom w:val="single" w:sz="4" w:space="0" w:color="auto"/>
              <w:right w:val="single" w:sz="4" w:space="0" w:color="auto"/>
            </w:tcBorders>
            <w:shd w:val="clear" w:color="auto" w:fill="auto"/>
            <w:vAlign w:val="center"/>
            <w:hideMark/>
          </w:tcPr>
          <w:p w14:paraId="08F2A8CE" w14:textId="2BBC6EE0" w:rsidR="00420E00" w:rsidRPr="005A168C" w:rsidRDefault="00420E00" w:rsidP="005A168C">
            <w:pPr>
              <w:keepNext/>
              <w:tabs>
                <w:tab w:val="decimal" w:pos="627"/>
              </w:tabs>
              <w:spacing w:after="120" w:line="240" w:lineRule="auto"/>
              <w:rPr>
                <w:rFonts w:cstheme="minorHAnsi"/>
                <w:color w:val="000000"/>
              </w:rPr>
            </w:pPr>
            <w:r>
              <w:rPr>
                <w:rFonts w:cstheme="minorHAnsi"/>
                <w:color w:val="000000"/>
              </w:rPr>
              <w:t>4.5</w:t>
            </w:r>
          </w:p>
        </w:tc>
        <w:tc>
          <w:tcPr>
            <w:tcW w:w="572" w:type="pct"/>
            <w:tcBorders>
              <w:top w:val="nil"/>
              <w:left w:val="nil"/>
              <w:bottom w:val="single" w:sz="4" w:space="0" w:color="auto"/>
              <w:right w:val="single" w:sz="4" w:space="0" w:color="auto"/>
            </w:tcBorders>
            <w:shd w:val="clear" w:color="auto" w:fill="auto"/>
            <w:vAlign w:val="center"/>
            <w:hideMark/>
          </w:tcPr>
          <w:p w14:paraId="60428FF4" w14:textId="60796766" w:rsidR="00420E00" w:rsidRPr="005A168C" w:rsidRDefault="00420E00" w:rsidP="005A168C">
            <w:pPr>
              <w:keepNext/>
              <w:tabs>
                <w:tab w:val="decimal" w:pos="627"/>
              </w:tabs>
              <w:spacing w:after="120" w:line="240" w:lineRule="auto"/>
              <w:rPr>
                <w:rFonts w:cstheme="minorHAnsi"/>
                <w:color w:val="000000"/>
              </w:rPr>
            </w:pPr>
            <w:r w:rsidRPr="005A168C">
              <w:rPr>
                <w:rFonts w:cstheme="minorHAnsi"/>
                <w:color w:val="000000"/>
              </w:rPr>
              <w:t>3.5</w:t>
            </w:r>
          </w:p>
        </w:tc>
        <w:tc>
          <w:tcPr>
            <w:tcW w:w="572" w:type="pct"/>
            <w:tcBorders>
              <w:top w:val="nil"/>
              <w:left w:val="nil"/>
              <w:bottom w:val="single" w:sz="4" w:space="0" w:color="auto"/>
              <w:right w:val="single" w:sz="4" w:space="0" w:color="auto"/>
            </w:tcBorders>
            <w:shd w:val="clear" w:color="auto" w:fill="E2EFD9" w:themeFill="accent6" w:themeFillTint="33"/>
          </w:tcPr>
          <w:p w14:paraId="3C6A0F48" w14:textId="77777777" w:rsidR="00420E00" w:rsidRPr="00A60C7D" w:rsidRDefault="00420E00" w:rsidP="00420E00">
            <w:pPr>
              <w:spacing w:after="120" w:line="240" w:lineRule="auto"/>
              <w:jc w:val="center"/>
              <w:rPr>
                <w:rFonts w:ascii="Calibri" w:eastAsia="Times New Roman" w:hAnsi="Calibri" w:cs="Calibri"/>
                <w:color w:val="000000"/>
                <w:lang w:eastAsia="en-GB"/>
              </w:rPr>
            </w:pPr>
          </w:p>
        </w:tc>
      </w:tr>
      <w:tr w:rsidR="00420E00" w:rsidRPr="00A60C7D" w14:paraId="3488CB72" w14:textId="4BD90E74" w:rsidTr="0082095A">
        <w:trPr>
          <w:trHeight w:val="288"/>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3A361652" w14:textId="77777777" w:rsidR="00420E00" w:rsidRPr="00A60C7D" w:rsidRDefault="00420E00" w:rsidP="00420E00">
            <w:pPr>
              <w:spacing w:after="120" w:line="240" w:lineRule="auto"/>
              <w:jc w:val="center"/>
              <w:rPr>
                <w:rFonts w:ascii="Calibri" w:eastAsia="Times New Roman" w:hAnsi="Calibri" w:cs="Calibri"/>
                <w:color w:val="000000"/>
                <w:lang w:eastAsia="en-GB"/>
              </w:rPr>
            </w:pPr>
            <w:r w:rsidRPr="00A60C7D">
              <w:rPr>
                <w:rFonts w:ascii="Calibri" w:eastAsia="Times New Roman" w:hAnsi="Calibri" w:cs="Calibri"/>
                <w:color w:val="000000"/>
                <w:lang w:eastAsia="en-GB"/>
              </w:rPr>
              <w:t>UK 11a</w:t>
            </w:r>
          </w:p>
        </w:tc>
        <w:tc>
          <w:tcPr>
            <w:tcW w:w="2215" w:type="pct"/>
            <w:tcBorders>
              <w:top w:val="nil"/>
              <w:left w:val="nil"/>
              <w:bottom w:val="single" w:sz="4" w:space="0" w:color="auto"/>
              <w:right w:val="single" w:sz="4" w:space="0" w:color="auto"/>
            </w:tcBorders>
            <w:shd w:val="clear" w:color="auto" w:fill="auto"/>
            <w:vAlign w:val="center"/>
            <w:hideMark/>
          </w:tcPr>
          <w:p w14:paraId="4803272C" w14:textId="77777777" w:rsidR="00420E00" w:rsidRPr="00A60C7D" w:rsidRDefault="00420E00" w:rsidP="00420E00">
            <w:pPr>
              <w:spacing w:after="120" w:line="240" w:lineRule="auto"/>
              <w:rPr>
                <w:rFonts w:ascii="Calibri" w:eastAsia="Times New Roman" w:hAnsi="Calibri" w:cs="Calibri"/>
                <w:color w:val="000000"/>
                <w:lang w:eastAsia="en-GB"/>
              </w:rPr>
            </w:pPr>
            <w:r w:rsidRPr="00A60C7D">
              <w:rPr>
                <w:rFonts w:ascii="Calibri" w:eastAsia="Times New Roman" w:hAnsi="Calibri" w:cs="Calibri"/>
                <w:color w:val="000000"/>
                <w:lang w:eastAsia="en-GB"/>
              </w:rPr>
              <w:t>Overall capital requirements (%)</w:t>
            </w:r>
          </w:p>
        </w:tc>
        <w:tc>
          <w:tcPr>
            <w:tcW w:w="571" w:type="pct"/>
            <w:tcBorders>
              <w:top w:val="nil"/>
              <w:left w:val="nil"/>
              <w:bottom w:val="single" w:sz="4" w:space="0" w:color="auto"/>
              <w:right w:val="single" w:sz="4" w:space="0" w:color="auto"/>
            </w:tcBorders>
            <w:shd w:val="clear" w:color="auto" w:fill="auto"/>
            <w:vAlign w:val="center"/>
          </w:tcPr>
          <w:p w14:paraId="3C02A597" w14:textId="17BDAA34" w:rsidR="00420E00" w:rsidRPr="005A168C" w:rsidRDefault="001C2D62" w:rsidP="005A168C">
            <w:pPr>
              <w:keepNext/>
              <w:tabs>
                <w:tab w:val="decimal" w:pos="627"/>
              </w:tabs>
              <w:spacing w:after="120" w:line="240" w:lineRule="auto"/>
              <w:rPr>
                <w:rFonts w:cstheme="minorHAnsi"/>
                <w:color w:val="000000"/>
              </w:rPr>
            </w:pPr>
            <w:r>
              <w:rPr>
                <w:rFonts w:cstheme="minorHAnsi"/>
                <w:color w:val="000000"/>
              </w:rPr>
              <w:t>13.3</w:t>
            </w:r>
          </w:p>
        </w:tc>
        <w:tc>
          <w:tcPr>
            <w:tcW w:w="571" w:type="pct"/>
            <w:tcBorders>
              <w:top w:val="nil"/>
              <w:left w:val="nil"/>
              <w:bottom w:val="single" w:sz="4" w:space="0" w:color="auto"/>
              <w:right w:val="single" w:sz="4" w:space="0" w:color="auto"/>
            </w:tcBorders>
            <w:shd w:val="clear" w:color="auto" w:fill="auto"/>
            <w:vAlign w:val="center"/>
            <w:hideMark/>
          </w:tcPr>
          <w:p w14:paraId="4C976D31" w14:textId="63A91BE9" w:rsidR="00420E00" w:rsidRPr="005A168C" w:rsidRDefault="00420E00" w:rsidP="005A168C">
            <w:pPr>
              <w:keepNext/>
              <w:tabs>
                <w:tab w:val="decimal" w:pos="627"/>
              </w:tabs>
              <w:spacing w:after="120" w:line="240" w:lineRule="auto"/>
              <w:rPr>
                <w:rFonts w:cstheme="minorHAnsi"/>
                <w:color w:val="000000"/>
              </w:rPr>
            </w:pPr>
            <w:r>
              <w:rPr>
                <w:rFonts w:cstheme="minorHAnsi"/>
                <w:color w:val="000000"/>
              </w:rPr>
              <w:t>13.3</w:t>
            </w:r>
          </w:p>
        </w:tc>
        <w:tc>
          <w:tcPr>
            <w:tcW w:w="572" w:type="pct"/>
            <w:tcBorders>
              <w:top w:val="nil"/>
              <w:left w:val="nil"/>
              <w:bottom w:val="single" w:sz="4" w:space="0" w:color="auto"/>
              <w:right w:val="single" w:sz="4" w:space="0" w:color="auto"/>
            </w:tcBorders>
            <w:shd w:val="clear" w:color="auto" w:fill="auto"/>
            <w:vAlign w:val="center"/>
            <w:hideMark/>
          </w:tcPr>
          <w:p w14:paraId="6844DABF" w14:textId="5C65A9A0" w:rsidR="00420E00" w:rsidRPr="005A168C" w:rsidRDefault="00420E00" w:rsidP="005A168C">
            <w:pPr>
              <w:keepNext/>
              <w:tabs>
                <w:tab w:val="decimal" w:pos="627"/>
              </w:tabs>
              <w:spacing w:after="120" w:line="240" w:lineRule="auto"/>
              <w:rPr>
                <w:rFonts w:cstheme="minorHAnsi"/>
                <w:color w:val="000000"/>
              </w:rPr>
            </w:pPr>
            <w:r w:rsidRPr="005A168C">
              <w:rPr>
                <w:rFonts w:cstheme="minorHAnsi"/>
                <w:color w:val="000000"/>
              </w:rPr>
              <w:t>12.3</w:t>
            </w:r>
          </w:p>
        </w:tc>
        <w:tc>
          <w:tcPr>
            <w:tcW w:w="572" w:type="pct"/>
            <w:tcBorders>
              <w:top w:val="nil"/>
              <w:left w:val="nil"/>
              <w:bottom w:val="single" w:sz="4" w:space="0" w:color="auto"/>
              <w:right w:val="single" w:sz="4" w:space="0" w:color="auto"/>
            </w:tcBorders>
            <w:shd w:val="clear" w:color="auto" w:fill="E2EFD9" w:themeFill="accent6" w:themeFillTint="33"/>
          </w:tcPr>
          <w:p w14:paraId="610C550D" w14:textId="77777777" w:rsidR="00420E00" w:rsidRPr="00A60C7D" w:rsidRDefault="00420E00" w:rsidP="00420E00">
            <w:pPr>
              <w:spacing w:after="120" w:line="240" w:lineRule="auto"/>
              <w:jc w:val="center"/>
              <w:rPr>
                <w:rFonts w:ascii="Calibri" w:eastAsia="Times New Roman" w:hAnsi="Calibri" w:cs="Calibri"/>
                <w:color w:val="000000"/>
                <w:lang w:eastAsia="en-GB"/>
              </w:rPr>
            </w:pPr>
          </w:p>
        </w:tc>
      </w:tr>
      <w:tr w:rsidR="00420E00" w:rsidRPr="00A60C7D" w14:paraId="4593F387" w14:textId="3127B68E" w:rsidTr="002935EA">
        <w:trPr>
          <w:trHeight w:val="576"/>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7EF1AA21" w14:textId="77777777" w:rsidR="00420E00" w:rsidRPr="00A60C7D" w:rsidRDefault="00420E00" w:rsidP="00420E00">
            <w:pPr>
              <w:spacing w:after="120" w:line="240" w:lineRule="auto"/>
              <w:jc w:val="center"/>
              <w:rPr>
                <w:rFonts w:ascii="Calibri" w:eastAsia="Times New Roman" w:hAnsi="Calibri" w:cs="Calibri"/>
                <w:color w:val="000000"/>
                <w:lang w:eastAsia="en-GB"/>
              </w:rPr>
            </w:pPr>
            <w:bookmarkStart w:id="1" w:name="_Hlk105773324"/>
            <w:r w:rsidRPr="00A60C7D">
              <w:rPr>
                <w:rFonts w:ascii="Calibri" w:eastAsia="Times New Roman" w:hAnsi="Calibri" w:cs="Calibri"/>
                <w:color w:val="000000"/>
                <w:lang w:eastAsia="en-GB"/>
              </w:rPr>
              <w:t>12</w:t>
            </w:r>
          </w:p>
        </w:tc>
        <w:tc>
          <w:tcPr>
            <w:tcW w:w="2215" w:type="pct"/>
            <w:tcBorders>
              <w:top w:val="nil"/>
              <w:left w:val="nil"/>
              <w:bottom w:val="single" w:sz="4" w:space="0" w:color="auto"/>
              <w:right w:val="single" w:sz="4" w:space="0" w:color="auto"/>
            </w:tcBorders>
            <w:shd w:val="clear" w:color="auto" w:fill="auto"/>
            <w:vAlign w:val="center"/>
            <w:hideMark/>
          </w:tcPr>
          <w:p w14:paraId="1818AC67" w14:textId="77777777" w:rsidR="00420E00" w:rsidRPr="00A60C7D" w:rsidRDefault="00420E00" w:rsidP="00420E00">
            <w:pPr>
              <w:spacing w:after="120" w:line="240" w:lineRule="auto"/>
              <w:rPr>
                <w:rFonts w:ascii="Calibri" w:eastAsia="Times New Roman" w:hAnsi="Calibri" w:cs="Calibri"/>
                <w:color w:val="000000"/>
                <w:lang w:eastAsia="en-GB"/>
              </w:rPr>
            </w:pPr>
            <w:r w:rsidRPr="00A60C7D">
              <w:rPr>
                <w:rFonts w:ascii="Calibri" w:eastAsia="Times New Roman" w:hAnsi="Calibri" w:cs="Calibri"/>
                <w:color w:val="000000"/>
                <w:lang w:eastAsia="en-GB"/>
              </w:rPr>
              <w:t>CET1 available after meeting the total SREP own funds requirements (%)</w:t>
            </w:r>
          </w:p>
        </w:tc>
        <w:tc>
          <w:tcPr>
            <w:tcW w:w="571" w:type="pct"/>
            <w:tcBorders>
              <w:top w:val="nil"/>
              <w:left w:val="nil"/>
              <w:bottom w:val="single" w:sz="4" w:space="0" w:color="auto"/>
              <w:right w:val="single" w:sz="4" w:space="0" w:color="auto"/>
            </w:tcBorders>
            <w:shd w:val="clear" w:color="auto" w:fill="auto"/>
            <w:vAlign w:val="center"/>
          </w:tcPr>
          <w:p w14:paraId="059A9B00" w14:textId="4E673889" w:rsidR="00420E00" w:rsidRPr="002935EA" w:rsidRDefault="001C2D62" w:rsidP="005A168C">
            <w:pPr>
              <w:keepNext/>
              <w:tabs>
                <w:tab w:val="decimal" w:pos="627"/>
              </w:tabs>
              <w:spacing w:after="120" w:line="240" w:lineRule="auto"/>
              <w:rPr>
                <w:rFonts w:ascii="Calibri" w:eastAsia="Times New Roman" w:hAnsi="Calibri" w:cs="Calibri"/>
                <w:color w:val="000000"/>
                <w:lang w:eastAsia="en-GB"/>
              </w:rPr>
            </w:pPr>
            <w:r>
              <w:rPr>
                <w:rFonts w:ascii="Calibri" w:eastAsia="Times New Roman" w:hAnsi="Calibri" w:cs="Calibri"/>
                <w:color w:val="000000"/>
                <w:lang w:eastAsia="en-GB"/>
              </w:rPr>
              <w:t>7</w:t>
            </w:r>
            <w:r w:rsidR="0091719F">
              <w:rPr>
                <w:rFonts w:ascii="Calibri" w:eastAsia="Times New Roman" w:hAnsi="Calibri" w:cs="Calibri"/>
                <w:color w:val="000000"/>
                <w:lang w:eastAsia="en-GB"/>
              </w:rPr>
              <w:t>.9</w:t>
            </w:r>
          </w:p>
        </w:tc>
        <w:tc>
          <w:tcPr>
            <w:tcW w:w="571" w:type="pct"/>
            <w:tcBorders>
              <w:top w:val="nil"/>
              <w:left w:val="nil"/>
              <w:bottom w:val="single" w:sz="4" w:space="0" w:color="auto"/>
              <w:right w:val="single" w:sz="4" w:space="0" w:color="auto"/>
            </w:tcBorders>
            <w:shd w:val="clear" w:color="auto" w:fill="auto"/>
            <w:vAlign w:val="center"/>
          </w:tcPr>
          <w:p w14:paraId="17390F97" w14:textId="6C2C6F2C" w:rsidR="00420E00" w:rsidRPr="005A168C" w:rsidRDefault="0091719F" w:rsidP="005A168C">
            <w:pPr>
              <w:keepNext/>
              <w:tabs>
                <w:tab w:val="decimal" w:pos="627"/>
              </w:tabs>
              <w:spacing w:after="120" w:line="240" w:lineRule="auto"/>
              <w:rPr>
                <w:rFonts w:cstheme="minorHAnsi"/>
                <w:color w:val="000000"/>
              </w:rPr>
            </w:pPr>
            <w:r>
              <w:rPr>
                <w:rFonts w:cstheme="minorHAnsi"/>
                <w:color w:val="000000"/>
              </w:rPr>
              <w:t>8.7</w:t>
            </w:r>
          </w:p>
        </w:tc>
        <w:tc>
          <w:tcPr>
            <w:tcW w:w="572" w:type="pct"/>
            <w:tcBorders>
              <w:top w:val="nil"/>
              <w:left w:val="nil"/>
              <w:bottom w:val="single" w:sz="4" w:space="0" w:color="auto"/>
              <w:right w:val="single" w:sz="4" w:space="0" w:color="auto"/>
            </w:tcBorders>
            <w:shd w:val="clear" w:color="auto" w:fill="auto"/>
            <w:vAlign w:val="center"/>
          </w:tcPr>
          <w:p w14:paraId="0317DD5D" w14:textId="245215AA" w:rsidR="00420E00" w:rsidRPr="005A168C" w:rsidRDefault="00420E00" w:rsidP="005A168C">
            <w:pPr>
              <w:keepNext/>
              <w:tabs>
                <w:tab w:val="decimal" w:pos="627"/>
              </w:tabs>
              <w:spacing w:after="120" w:line="240" w:lineRule="auto"/>
              <w:rPr>
                <w:rFonts w:cstheme="minorHAnsi"/>
                <w:color w:val="000000"/>
              </w:rPr>
            </w:pPr>
            <w:r w:rsidRPr="005A168C">
              <w:rPr>
                <w:rFonts w:cstheme="minorHAnsi"/>
                <w:color w:val="000000"/>
              </w:rPr>
              <w:t>8.9</w:t>
            </w:r>
          </w:p>
        </w:tc>
        <w:tc>
          <w:tcPr>
            <w:tcW w:w="572" w:type="pct"/>
            <w:tcBorders>
              <w:top w:val="nil"/>
              <w:left w:val="nil"/>
              <w:bottom w:val="single" w:sz="4" w:space="0" w:color="auto"/>
              <w:right w:val="single" w:sz="4" w:space="0" w:color="auto"/>
            </w:tcBorders>
            <w:shd w:val="clear" w:color="auto" w:fill="E2EFD9" w:themeFill="accent6" w:themeFillTint="33"/>
          </w:tcPr>
          <w:p w14:paraId="5B932F77" w14:textId="6015CC64" w:rsidR="00420E00" w:rsidRPr="00592AEE" w:rsidRDefault="00420E00" w:rsidP="00420E00">
            <w:pPr>
              <w:spacing w:after="12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[c]</w:t>
            </w:r>
          </w:p>
        </w:tc>
      </w:tr>
      <w:bookmarkEnd w:id="1"/>
      <w:tr w:rsidR="00420E00" w:rsidRPr="00A60C7D" w14:paraId="653B0CDF" w14:textId="3890C5D1" w:rsidTr="00B23C9D">
        <w:trPr>
          <w:trHeight w:val="288"/>
        </w:trPr>
        <w:tc>
          <w:tcPr>
            <w:tcW w:w="499"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57F26B78" w14:textId="77777777" w:rsidR="00420E00" w:rsidRPr="00A60C7D" w:rsidRDefault="00420E00" w:rsidP="00420E00">
            <w:pPr>
              <w:keepNext/>
              <w:spacing w:after="120" w:line="240" w:lineRule="auto"/>
              <w:jc w:val="center"/>
              <w:rPr>
                <w:rFonts w:ascii="Calibri" w:eastAsia="Times New Roman" w:hAnsi="Calibri" w:cs="Calibri"/>
                <w:b/>
                <w:bCs/>
                <w:color w:val="000000"/>
                <w:lang w:eastAsia="en-GB"/>
              </w:rPr>
            </w:pPr>
            <w:r w:rsidRPr="00A60C7D">
              <w:rPr>
                <w:rFonts w:ascii="Calibri" w:eastAsia="Times New Roman" w:hAnsi="Calibri" w:cs="Calibri"/>
                <w:b/>
                <w:bCs/>
                <w:color w:val="000000"/>
                <w:lang w:eastAsia="en-GB"/>
              </w:rPr>
              <w:t> </w:t>
            </w:r>
          </w:p>
        </w:tc>
        <w:tc>
          <w:tcPr>
            <w:tcW w:w="3929" w:type="pct"/>
            <w:gridSpan w:val="4"/>
            <w:tcBorders>
              <w:top w:val="single" w:sz="4" w:space="0" w:color="auto"/>
              <w:left w:val="single" w:sz="4" w:space="0" w:color="auto"/>
              <w:bottom w:val="single" w:sz="4" w:space="0" w:color="auto"/>
              <w:right w:val="single" w:sz="4" w:space="0" w:color="000000"/>
            </w:tcBorders>
            <w:shd w:val="clear" w:color="auto" w:fill="A8D08D" w:themeFill="accent6" w:themeFillTint="99"/>
            <w:vAlign w:val="center"/>
            <w:hideMark/>
          </w:tcPr>
          <w:p w14:paraId="0A11BAE1" w14:textId="77777777" w:rsidR="00420E00" w:rsidRPr="00A60C7D" w:rsidRDefault="00420E00" w:rsidP="00420E00">
            <w:pPr>
              <w:keepNext/>
              <w:spacing w:after="120" w:line="240" w:lineRule="auto"/>
              <w:rPr>
                <w:rFonts w:ascii="Calibri" w:eastAsia="Times New Roman" w:hAnsi="Calibri" w:cs="Calibri"/>
                <w:b/>
                <w:bCs/>
                <w:lang w:eastAsia="en-GB"/>
              </w:rPr>
            </w:pPr>
            <w:r w:rsidRPr="00A60C7D">
              <w:rPr>
                <w:rFonts w:ascii="Calibri" w:eastAsia="Times New Roman" w:hAnsi="Calibri" w:cs="Calibri"/>
                <w:b/>
                <w:bCs/>
                <w:lang w:eastAsia="en-GB"/>
              </w:rPr>
              <w:t>Leverage ratio</w:t>
            </w:r>
          </w:p>
        </w:tc>
        <w:tc>
          <w:tcPr>
            <w:tcW w:w="572" w:type="pct"/>
            <w:tcBorders>
              <w:top w:val="single" w:sz="4" w:space="0" w:color="auto"/>
              <w:left w:val="nil"/>
              <w:bottom w:val="single" w:sz="4" w:space="0" w:color="auto"/>
              <w:right w:val="single" w:sz="4" w:space="0" w:color="000000"/>
            </w:tcBorders>
            <w:shd w:val="clear" w:color="auto" w:fill="A8D08D" w:themeFill="accent6" w:themeFillTint="99"/>
          </w:tcPr>
          <w:p w14:paraId="2501B7BF" w14:textId="77777777" w:rsidR="00420E00" w:rsidRPr="00A60C7D" w:rsidRDefault="00420E00" w:rsidP="00420E00">
            <w:pPr>
              <w:keepNext/>
              <w:spacing w:after="120" w:line="240" w:lineRule="auto"/>
              <w:rPr>
                <w:rFonts w:ascii="Calibri" w:eastAsia="Times New Roman" w:hAnsi="Calibri" w:cs="Calibri"/>
                <w:b/>
                <w:bCs/>
                <w:lang w:eastAsia="en-GB"/>
              </w:rPr>
            </w:pPr>
          </w:p>
        </w:tc>
      </w:tr>
      <w:tr w:rsidR="00420E00" w:rsidRPr="00A60C7D" w14:paraId="59D652E6" w14:textId="4DF2E58A" w:rsidTr="00E64829">
        <w:trPr>
          <w:trHeight w:val="288"/>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69BDA0" w14:textId="77777777" w:rsidR="00420E00" w:rsidRPr="00A60C7D" w:rsidRDefault="00420E00" w:rsidP="00420E00">
            <w:pPr>
              <w:keepNext/>
              <w:spacing w:after="120" w:line="240" w:lineRule="auto"/>
              <w:jc w:val="center"/>
              <w:rPr>
                <w:rFonts w:ascii="Calibri" w:eastAsia="Times New Roman" w:hAnsi="Calibri" w:cs="Calibri"/>
                <w:color w:val="000000"/>
                <w:lang w:eastAsia="en-GB"/>
              </w:rPr>
            </w:pPr>
            <w:r w:rsidRPr="00A60C7D">
              <w:rPr>
                <w:rFonts w:ascii="Calibri" w:eastAsia="Times New Roman" w:hAnsi="Calibri" w:cs="Calibri"/>
                <w:color w:val="000000"/>
                <w:lang w:eastAsia="en-GB"/>
              </w:rPr>
              <w:t>13</w:t>
            </w:r>
          </w:p>
        </w:tc>
        <w:tc>
          <w:tcPr>
            <w:tcW w:w="2215" w:type="pct"/>
            <w:tcBorders>
              <w:top w:val="nil"/>
              <w:left w:val="nil"/>
              <w:bottom w:val="single" w:sz="4" w:space="0" w:color="auto"/>
              <w:right w:val="single" w:sz="4" w:space="0" w:color="auto"/>
            </w:tcBorders>
            <w:shd w:val="clear" w:color="auto" w:fill="auto"/>
            <w:vAlign w:val="center"/>
            <w:hideMark/>
          </w:tcPr>
          <w:p w14:paraId="649C6B34" w14:textId="77777777" w:rsidR="00420E00" w:rsidRPr="00A60C7D" w:rsidRDefault="00420E00" w:rsidP="00420E00">
            <w:pPr>
              <w:keepNext/>
              <w:spacing w:after="120" w:line="240" w:lineRule="auto"/>
              <w:jc w:val="both"/>
              <w:rPr>
                <w:rFonts w:ascii="Calibri" w:eastAsia="Times New Roman" w:hAnsi="Calibri" w:cs="Calibri"/>
                <w:lang w:eastAsia="en-GB"/>
              </w:rPr>
            </w:pPr>
            <w:r w:rsidRPr="00A60C7D">
              <w:rPr>
                <w:rFonts w:ascii="Calibri" w:eastAsia="Times New Roman" w:hAnsi="Calibri" w:cs="Calibri"/>
                <w:lang w:eastAsia="en-GB"/>
              </w:rPr>
              <w:t>Total exposure measure excluding claims on central banks</w:t>
            </w:r>
          </w:p>
        </w:tc>
        <w:tc>
          <w:tcPr>
            <w:tcW w:w="571" w:type="pct"/>
            <w:tcBorders>
              <w:top w:val="nil"/>
              <w:left w:val="nil"/>
              <w:bottom w:val="single" w:sz="4" w:space="0" w:color="auto"/>
              <w:right w:val="single" w:sz="4" w:space="0" w:color="auto"/>
            </w:tcBorders>
            <w:shd w:val="clear" w:color="auto" w:fill="auto"/>
            <w:vAlign w:val="center"/>
          </w:tcPr>
          <w:p w14:paraId="5FC9A00D" w14:textId="5EEBB98F" w:rsidR="00420E00" w:rsidRPr="00736A9F" w:rsidRDefault="001C2D62" w:rsidP="005A168C">
            <w:pPr>
              <w:keepNext/>
              <w:tabs>
                <w:tab w:val="decimal" w:pos="627"/>
              </w:tabs>
              <w:spacing w:after="120" w:line="240" w:lineRule="auto"/>
              <w:rPr>
                <w:rFonts w:ascii="Calibri" w:eastAsia="Times New Roman" w:hAnsi="Calibri" w:cs="Calibri"/>
                <w:color w:val="000000"/>
                <w:lang w:eastAsia="en-GB"/>
              </w:rPr>
            </w:pPr>
            <w:r>
              <w:rPr>
                <w:rFonts w:ascii="Calibri" w:eastAsia="Times New Roman" w:hAnsi="Calibri" w:cs="Calibri"/>
                <w:color w:val="000000"/>
                <w:lang w:eastAsia="en-GB"/>
              </w:rPr>
              <w:t>16,129.5</w:t>
            </w:r>
          </w:p>
        </w:tc>
        <w:tc>
          <w:tcPr>
            <w:tcW w:w="571" w:type="pct"/>
            <w:tcBorders>
              <w:top w:val="nil"/>
              <w:left w:val="nil"/>
              <w:bottom w:val="single" w:sz="4" w:space="0" w:color="auto"/>
              <w:right w:val="single" w:sz="4" w:space="0" w:color="auto"/>
            </w:tcBorders>
            <w:shd w:val="clear" w:color="auto" w:fill="auto"/>
            <w:vAlign w:val="center"/>
          </w:tcPr>
          <w:p w14:paraId="550DFDB8" w14:textId="597142E2" w:rsidR="00420E00" w:rsidRPr="005A168C" w:rsidRDefault="00420E00" w:rsidP="005A168C">
            <w:pPr>
              <w:keepNext/>
              <w:tabs>
                <w:tab w:val="decimal" w:pos="627"/>
              </w:tabs>
              <w:spacing w:after="120" w:line="240" w:lineRule="auto"/>
              <w:rPr>
                <w:rFonts w:cstheme="minorHAnsi"/>
                <w:color w:val="000000"/>
              </w:rPr>
            </w:pPr>
            <w:r>
              <w:rPr>
                <w:rFonts w:cstheme="minorHAnsi"/>
                <w:color w:val="000000"/>
              </w:rPr>
              <w:t>15,579.3</w:t>
            </w:r>
          </w:p>
        </w:tc>
        <w:tc>
          <w:tcPr>
            <w:tcW w:w="572" w:type="pct"/>
            <w:tcBorders>
              <w:top w:val="nil"/>
              <w:left w:val="nil"/>
              <w:bottom w:val="single" w:sz="4" w:space="0" w:color="auto"/>
              <w:right w:val="single" w:sz="4" w:space="0" w:color="auto"/>
            </w:tcBorders>
            <w:shd w:val="clear" w:color="auto" w:fill="auto"/>
            <w:vAlign w:val="center"/>
          </w:tcPr>
          <w:p w14:paraId="14CB645F" w14:textId="0E31FEDB" w:rsidR="00420E00" w:rsidRPr="005A168C" w:rsidRDefault="00420E00" w:rsidP="005A168C">
            <w:pPr>
              <w:keepNext/>
              <w:tabs>
                <w:tab w:val="decimal" w:pos="627"/>
              </w:tabs>
              <w:spacing w:after="120" w:line="240" w:lineRule="auto"/>
              <w:rPr>
                <w:rFonts w:cstheme="minorHAnsi"/>
                <w:color w:val="000000"/>
              </w:rPr>
            </w:pPr>
            <w:r w:rsidRPr="005A168C">
              <w:rPr>
                <w:rFonts w:cstheme="minorHAnsi"/>
                <w:color w:val="000000"/>
              </w:rPr>
              <w:t>15,322.1</w:t>
            </w:r>
          </w:p>
        </w:tc>
        <w:tc>
          <w:tcPr>
            <w:tcW w:w="572" w:type="pct"/>
            <w:tcBorders>
              <w:top w:val="nil"/>
              <w:left w:val="nil"/>
              <w:bottom w:val="single" w:sz="4" w:space="0" w:color="auto"/>
              <w:right w:val="single" w:sz="4" w:space="0" w:color="auto"/>
            </w:tcBorders>
            <w:shd w:val="clear" w:color="auto" w:fill="E2EFD9" w:themeFill="accent6" w:themeFillTint="33"/>
          </w:tcPr>
          <w:p w14:paraId="7A5CC016" w14:textId="77777777" w:rsidR="00420E00" w:rsidRPr="00A60C7D" w:rsidRDefault="00420E00" w:rsidP="00420E00">
            <w:pPr>
              <w:keepNext/>
              <w:spacing w:after="120" w:line="240" w:lineRule="auto"/>
              <w:jc w:val="center"/>
              <w:rPr>
                <w:rFonts w:ascii="Calibri" w:eastAsia="Times New Roman" w:hAnsi="Calibri" w:cs="Calibri"/>
                <w:lang w:eastAsia="en-GB"/>
              </w:rPr>
            </w:pPr>
          </w:p>
        </w:tc>
      </w:tr>
      <w:tr w:rsidR="00420E00" w:rsidRPr="00A60C7D" w14:paraId="12D8E474" w14:textId="53420DD8" w:rsidTr="00E64829">
        <w:trPr>
          <w:trHeight w:val="288"/>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0E3718D9" w14:textId="77777777" w:rsidR="00420E00" w:rsidRPr="00A60C7D" w:rsidRDefault="00420E00" w:rsidP="00420E00">
            <w:pPr>
              <w:keepNext/>
              <w:spacing w:after="120" w:line="240" w:lineRule="auto"/>
              <w:jc w:val="center"/>
              <w:rPr>
                <w:rFonts w:ascii="Calibri" w:eastAsia="Times New Roman" w:hAnsi="Calibri" w:cs="Calibri"/>
                <w:color w:val="000000"/>
                <w:lang w:eastAsia="en-GB"/>
              </w:rPr>
            </w:pPr>
            <w:r w:rsidRPr="00A60C7D">
              <w:rPr>
                <w:rFonts w:ascii="Calibri" w:eastAsia="Times New Roman" w:hAnsi="Calibri" w:cs="Calibri"/>
                <w:color w:val="000000"/>
                <w:lang w:eastAsia="en-GB"/>
              </w:rPr>
              <w:t>14</w:t>
            </w:r>
          </w:p>
        </w:tc>
        <w:tc>
          <w:tcPr>
            <w:tcW w:w="2215" w:type="pct"/>
            <w:tcBorders>
              <w:top w:val="nil"/>
              <w:left w:val="nil"/>
              <w:bottom w:val="single" w:sz="4" w:space="0" w:color="auto"/>
              <w:right w:val="single" w:sz="4" w:space="0" w:color="auto"/>
            </w:tcBorders>
            <w:shd w:val="clear" w:color="auto" w:fill="auto"/>
            <w:vAlign w:val="center"/>
            <w:hideMark/>
          </w:tcPr>
          <w:p w14:paraId="72C107C2" w14:textId="77777777" w:rsidR="00420E00" w:rsidRPr="00A60C7D" w:rsidRDefault="00420E00" w:rsidP="00420E00">
            <w:pPr>
              <w:keepNext/>
              <w:spacing w:after="120" w:line="240" w:lineRule="auto"/>
              <w:jc w:val="both"/>
              <w:rPr>
                <w:rFonts w:ascii="Calibri" w:eastAsia="Times New Roman" w:hAnsi="Calibri" w:cs="Calibri"/>
                <w:lang w:eastAsia="en-GB"/>
              </w:rPr>
            </w:pPr>
            <w:r w:rsidRPr="00A60C7D">
              <w:rPr>
                <w:rFonts w:ascii="Calibri" w:eastAsia="Times New Roman" w:hAnsi="Calibri" w:cs="Calibri"/>
                <w:lang w:eastAsia="en-GB"/>
              </w:rPr>
              <w:t>Leverage ratio excluding claims on central banks (%)</w:t>
            </w:r>
          </w:p>
        </w:tc>
        <w:tc>
          <w:tcPr>
            <w:tcW w:w="571" w:type="pct"/>
            <w:tcBorders>
              <w:top w:val="nil"/>
              <w:left w:val="nil"/>
              <w:bottom w:val="single" w:sz="4" w:space="0" w:color="auto"/>
              <w:right w:val="single" w:sz="4" w:space="0" w:color="auto"/>
            </w:tcBorders>
            <w:shd w:val="clear" w:color="auto" w:fill="auto"/>
            <w:vAlign w:val="center"/>
          </w:tcPr>
          <w:p w14:paraId="72538FE4" w14:textId="3108A5E9" w:rsidR="00420E00" w:rsidRPr="00736A9F" w:rsidRDefault="001C2D62" w:rsidP="005A168C">
            <w:pPr>
              <w:keepNext/>
              <w:tabs>
                <w:tab w:val="decimal" w:pos="627"/>
              </w:tabs>
              <w:spacing w:after="120" w:line="240" w:lineRule="auto"/>
              <w:rPr>
                <w:rFonts w:ascii="Calibri" w:eastAsia="Times New Roman" w:hAnsi="Calibri" w:cs="Calibri"/>
                <w:color w:val="000000"/>
                <w:lang w:eastAsia="en-GB"/>
              </w:rPr>
            </w:pPr>
            <w:r>
              <w:rPr>
                <w:rFonts w:ascii="Calibri" w:eastAsia="Times New Roman" w:hAnsi="Calibri" w:cs="Calibri"/>
                <w:color w:val="000000"/>
                <w:lang w:eastAsia="en-GB"/>
              </w:rPr>
              <w:t>7.3</w:t>
            </w:r>
          </w:p>
        </w:tc>
        <w:tc>
          <w:tcPr>
            <w:tcW w:w="571" w:type="pct"/>
            <w:tcBorders>
              <w:top w:val="nil"/>
              <w:left w:val="nil"/>
              <w:bottom w:val="single" w:sz="4" w:space="0" w:color="auto"/>
              <w:right w:val="single" w:sz="4" w:space="0" w:color="auto"/>
            </w:tcBorders>
            <w:shd w:val="clear" w:color="auto" w:fill="auto"/>
            <w:vAlign w:val="center"/>
          </w:tcPr>
          <w:p w14:paraId="0AC405C2" w14:textId="691FC1AC" w:rsidR="00420E00" w:rsidRPr="0091719F" w:rsidRDefault="00420E00" w:rsidP="005A168C">
            <w:pPr>
              <w:keepNext/>
              <w:tabs>
                <w:tab w:val="decimal" w:pos="627"/>
              </w:tabs>
              <w:spacing w:after="120" w:line="240" w:lineRule="auto"/>
              <w:rPr>
                <w:rFonts w:cstheme="minorHAnsi"/>
                <w:color w:val="000000"/>
              </w:rPr>
            </w:pPr>
            <w:r w:rsidRPr="0091719F">
              <w:rPr>
                <w:rFonts w:cstheme="minorHAnsi"/>
                <w:color w:val="000000"/>
              </w:rPr>
              <w:t>7.6</w:t>
            </w:r>
          </w:p>
        </w:tc>
        <w:tc>
          <w:tcPr>
            <w:tcW w:w="572" w:type="pct"/>
            <w:tcBorders>
              <w:top w:val="nil"/>
              <w:left w:val="nil"/>
              <w:bottom w:val="single" w:sz="4" w:space="0" w:color="auto"/>
              <w:right w:val="single" w:sz="4" w:space="0" w:color="auto"/>
            </w:tcBorders>
            <w:shd w:val="clear" w:color="auto" w:fill="auto"/>
            <w:vAlign w:val="center"/>
          </w:tcPr>
          <w:p w14:paraId="1D1D948F" w14:textId="4C24898E" w:rsidR="00420E00" w:rsidRPr="005A168C" w:rsidRDefault="00420E00" w:rsidP="005A168C">
            <w:pPr>
              <w:keepNext/>
              <w:tabs>
                <w:tab w:val="decimal" w:pos="627"/>
              </w:tabs>
              <w:spacing w:after="120" w:line="240" w:lineRule="auto"/>
              <w:rPr>
                <w:rFonts w:cstheme="minorHAnsi"/>
                <w:color w:val="000000"/>
              </w:rPr>
            </w:pPr>
            <w:r w:rsidRPr="005A168C">
              <w:rPr>
                <w:rFonts w:cstheme="minorHAnsi"/>
                <w:color w:val="000000"/>
              </w:rPr>
              <w:t>7.6</w:t>
            </w:r>
          </w:p>
        </w:tc>
        <w:tc>
          <w:tcPr>
            <w:tcW w:w="572" w:type="pct"/>
            <w:tcBorders>
              <w:top w:val="nil"/>
              <w:left w:val="nil"/>
              <w:bottom w:val="single" w:sz="4" w:space="0" w:color="auto"/>
              <w:right w:val="single" w:sz="4" w:space="0" w:color="auto"/>
            </w:tcBorders>
            <w:shd w:val="clear" w:color="auto" w:fill="E2EFD9" w:themeFill="accent6" w:themeFillTint="33"/>
          </w:tcPr>
          <w:p w14:paraId="2819E911" w14:textId="77777777" w:rsidR="00420E00" w:rsidRPr="00A60C7D" w:rsidRDefault="00420E00" w:rsidP="00420E00">
            <w:pPr>
              <w:keepNext/>
              <w:spacing w:after="120" w:line="240" w:lineRule="auto"/>
              <w:jc w:val="center"/>
              <w:rPr>
                <w:rFonts w:ascii="Calibri" w:eastAsia="Times New Roman" w:hAnsi="Calibri" w:cs="Calibri"/>
                <w:lang w:eastAsia="en-GB"/>
              </w:rPr>
            </w:pPr>
          </w:p>
        </w:tc>
      </w:tr>
      <w:tr w:rsidR="00420E00" w:rsidRPr="00A60C7D" w14:paraId="319DCC18" w14:textId="050F039A" w:rsidTr="00B23C9D">
        <w:trPr>
          <w:trHeight w:val="288"/>
        </w:trPr>
        <w:tc>
          <w:tcPr>
            <w:tcW w:w="499"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25C0F9F4" w14:textId="77777777" w:rsidR="00420E00" w:rsidRPr="00A60C7D" w:rsidRDefault="00420E00" w:rsidP="00420E00">
            <w:pPr>
              <w:keepNext/>
              <w:spacing w:after="120" w:line="240" w:lineRule="auto"/>
              <w:jc w:val="center"/>
              <w:rPr>
                <w:rFonts w:ascii="Calibri" w:eastAsia="Times New Roman" w:hAnsi="Calibri" w:cs="Calibri"/>
                <w:b/>
                <w:bCs/>
                <w:color w:val="000000"/>
                <w:lang w:eastAsia="en-GB"/>
              </w:rPr>
            </w:pPr>
            <w:r w:rsidRPr="00A60C7D">
              <w:rPr>
                <w:rFonts w:ascii="Calibri" w:eastAsia="Times New Roman" w:hAnsi="Calibri" w:cs="Calibri"/>
                <w:b/>
                <w:bCs/>
                <w:color w:val="000000"/>
                <w:lang w:eastAsia="en-GB"/>
              </w:rPr>
              <w:t> </w:t>
            </w:r>
          </w:p>
        </w:tc>
        <w:tc>
          <w:tcPr>
            <w:tcW w:w="3929" w:type="pct"/>
            <w:gridSpan w:val="4"/>
            <w:tcBorders>
              <w:top w:val="single" w:sz="4" w:space="0" w:color="auto"/>
              <w:left w:val="single" w:sz="4" w:space="0" w:color="auto"/>
              <w:bottom w:val="single" w:sz="4" w:space="0" w:color="auto"/>
              <w:right w:val="single" w:sz="4" w:space="0" w:color="000000"/>
            </w:tcBorders>
            <w:shd w:val="clear" w:color="auto" w:fill="A8D08D" w:themeFill="accent6" w:themeFillTint="99"/>
            <w:vAlign w:val="center"/>
            <w:hideMark/>
          </w:tcPr>
          <w:p w14:paraId="7741C7E0" w14:textId="77777777" w:rsidR="00420E00" w:rsidRPr="00A60C7D" w:rsidRDefault="00420E00" w:rsidP="00420E00">
            <w:pPr>
              <w:keepNext/>
              <w:spacing w:after="120" w:line="240" w:lineRule="auto"/>
              <w:rPr>
                <w:rFonts w:ascii="Calibri" w:eastAsia="Times New Roman" w:hAnsi="Calibri" w:cs="Calibri"/>
                <w:b/>
                <w:bCs/>
                <w:lang w:eastAsia="en-GB"/>
              </w:rPr>
            </w:pPr>
            <w:r w:rsidRPr="00A60C7D">
              <w:rPr>
                <w:rFonts w:ascii="Calibri" w:eastAsia="Times New Roman" w:hAnsi="Calibri" w:cs="Calibri"/>
                <w:b/>
                <w:bCs/>
                <w:lang w:eastAsia="en-GB"/>
              </w:rPr>
              <w:t>Additional leverage ratio disclosure requirements</w:t>
            </w:r>
          </w:p>
        </w:tc>
        <w:tc>
          <w:tcPr>
            <w:tcW w:w="572" w:type="pct"/>
            <w:tcBorders>
              <w:top w:val="single" w:sz="4" w:space="0" w:color="auto"/>
              <w:left w:val="single" w:sz="4" w:space="0" w:color="auto"/>
              <w:bottom w:val="single" w:sz="4" w:space="0" w:color="auto"/>
              <w:right w:val="single" w:sz="4" w:space="0" w:color="000000"/>
            </w:tcBorders>
            <w:shd w:val="clear" w:color="auto" w:fill="A8D08D" w:themeFill="accent6" w:themeFillTint="99"/>
          </w:tcPr>
          <w:p w14:paraId="2C09D6EE" w14:textId="77777777" w:rsidR="00420E00" w:rsidRPr="00A60C7D" w:rsidRDefault="00420E00" w:rsidP="00420E00">
            <w:pPr>
              <w:keepNext/>
              <w:spacing w:after="120" w:line="240" w:lineRule="auto"/>
              <w:rPr>
                <w:rFonts w:ascii="Calibri" w:eastAsia="Times New Roman" w:hAnsi="Calibri" w:cs="Calibri"/>
                <w:b/>
                <w:bCs/>
                <w:lang w:eastAsia="en-GB"/>
              </w:rPr>
            </w:pPr>
          </w:p>
        </w:tc>
      </w:tr>
      <w:tr w:rsidR="00420E00" w:rsidRPr="00A60C7D" w14:paraId="52EAF3A0" w14:textId="108733D8" w:rsidTr="00091EDE">
        <w:trPr>
          <w:trHeight w:val="576"/>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AB87F8" w14:textId="77777777" w:rsidR="00420E00" w:rsidRPr="00A60C7D" w:rsidRDefault="00420E00" w:rsidP="00420E00">
            <w:pPr>
              <w:keepNext/>
              <w:spacing w:after="120" w:line="240" w:lineRule="auto"/>
              <w:jc w:val="center"/>
              <w:rPr>
                <w:rFonts w:ascii="Calibri" w:eastAsia="Times New Roman" w:hAnsi="Calibri" w:cs="Calibri"/>
                <w:color w:val="000000"/>
                <w:lang w:eastAsia="en-GB"/>
              </w:rPr>
            </w:pPr>
            <w:r w:rsidRPr="00A60C7D">
              <w:rPr>
                <w:rFonts w:ascii="Calibri" w:eastAsia="Times New Roman" w:hAnsi="Calibri" w:cs="Calibri"/>
                <w:color w:val="000000"/>
                <w:lang w:eastAsia="en-GB"/>
              </w:rPr>
              <w:t>14a</w:t>
            </w:r>
          </w:p>
        </w:tc>
        <w:tc>
          <w:tcPr>
            <w:tcW w:w="2215" w:type="pct"/>
            <w:tcBorders>
              <w:top w:val="nil"/>
              <w:left w:val="nil"/>
              <w:bottom w:val="single" w:sz="4" w:space="0" w:color="auto"/>
              <w:right w:val="nil"/>
            </w:tcBorders>
            <w:shd w:val="clear" w:color="auto" w:fill="auto"/>
            <w:vAlign w:val="center"/>
            <w:hideMark/>
          </w:tcPr>
          <w:p w14:paraId="088BE101" w14:textId="77777777" w:rsidR="00420E00" w:rsidRPr="00A60C7D" w:rsidRDefault="00420E00" w:rsidP="00420E00">
            <w:pPr>
              <w:keepNext/>
              <w:spacing w:after="120" w:line="240" w:lineRule="auto"/>
              <w:jc w:val="both"/>
              <w:rPr>
                <w:rFonts w:ascii="Calibri" w:eastAsia="Times New Roman" w:hAnsi="Calibri" w:cs="Calibri"/>
                <w:lang w:eastAsia="en-GB"/>
              </w:rPr>
            </w:pPr>
            <w:r w:rsidRPr="00A60C7D">
              <w:rPr>
                <w:rFonts w:ascii="Calibri" w:eastAsia="Times New Roman" w:hAnsi="Calibri" w:cs="Calibri"/>
                <w:lang w:eastAsia="en-GB"/>
              </w:rPr>
              <w:t>Fully loaded ECL accounting model leverage ratio excluding claims on central banks (%)</w:t>
            </w:r>
          </w:p>
        </w:tc>
        <w:tc>
          <w:tcPr>
            <w:tcW w:w="571" w:type="pct"/>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7943A7C5" w14:textId="77777777" w:rsidR="00420E00" w:rsidRPr="00736A9F" w:rsidRDefault="00420E00" w:rsidP="00420E00">
            <w:pPr>
              <w:tabs>
                <w:tab w:val="decimal" w:pos="520"/>
              </w:tabs>
              <w:spacing w:after="120" w:line="240" w:lineRule="auto"/>
              <w:jc w:val="center"/>
              <w:rPr>
                <w:rFonts w:ascii="Calibri" w:eastAsia="Times New Roman" w:hAnsi="Calibri" w:cs="Calibri"/>
                <w:color w:val="000000"/>
                <w:lang w:eastAsia="en-GB"/>
              </w:rPr>
            </w:pPr>
            <w:r w:rsidRPr="00736A9F">
              <w:rPr>
                <w:rFonts w:ascii="Calibri" w:eastAsia="Times New Roman" w:hAnsi="Calibri" w:cs="Calibri"/>
                <w:color w:val="000000"/>
                <w:lang w:eastAsia="en-GB"/>
              </w:rPr>
              <w:t> </w:t>
            </w:r>
          </w:p>
        </w:tc>
        <w:tc>
          <w:tcPr>
            <w:tcW w:w="571" w:type="pct"/>
            <w:tcBorders>
              <w:top w:val="nil"/>
              <w:left w:val="nil"/>
              <w:bottom w:val="single" w:sz="4" w:space="0" w:color="auto"/>
              <w:right w:val="single" w:sz="4" w:space="0" w:color="auto"/>
            </w:tcBorders>
            <w:shd w:val="clear" w:color="auto" w:fill="D0CECE" w:themeFill="background2" w:themeFillShade="E6"/>
            <w:vAlign w:val="center"/>
            <w:hideMark/>
          </w:tcPr>
          <w:p w14:paraId="33882A8D" w14:textId="77777777" w:rsidR="00420E00" w:rsidRPr="00736A9F" w:rsidRDefault="00420E00" w:rsidP="00420E00">
            <w:pPr>
              <w:tabs>
                <w:tab w:val="decimal" w:pos="520"/>
              </w:tabs>
              <w:spacing w:after="120" w:line="240" w:lineRule="auto"/>
              <w:jc w:val="center"/>
              <w:rPr>
                <w:rFonts w:ascii="Calibri" w:eastAsia="Times New Roman" w:hAnsi="Calibri" w:cs="Calibri"/>
                <w:color w:val="000000"/>
                <w:lang w:eastAsia="en-GB"/>
              </w:rPr>
            </w:pPr>
            <w:r w:rsidRPr="00736A9F">
              <w:rPr>
                <w:rFonts w:ascii="Calibri" w:eastAsia="Times New Roman" w:hAnsi="Calibri" w:cs="Calibri"/>
                <w:color w:val="000000"/>
                <w:lang w:eastAsia="en-GB"/>
              </w:rPr>
              <w:t> </w:t>
            </w:r>
          </w:p>
        </w:tc>
        <w:tc>
          <w:tcPr>
            <w:tcW w:w="572" w:type="pct"/>
            <w:tcBorders>
              <w:top w:val="nil"/>
              <w:left w:val="nil"/>
              <w:bottom w:val="single" w:sz="4" w:space="0" w:color="auto"/>
              <w:right w:val="single" w:sz="4" w:space="0" w:color="auto"/>
            </w:tcBorders>
            <w:shd w:val="clear" w:color="auto" w:fill="D0CECE" w:themeFill="background2" w:themeFillShade="E6"/>
            <w:vAlign w:val="center"/>
            <w:hideMark/>
          </w:tcPr>
          <w:p w14:paraId="09D531FA" w14:textId="77777777" w:rsidR="00420E00" w:rsidRPr="00736A9F" w:rsidRDefault="00420E00" w:rsidP="00420E00">
            <w:pPr>
              <w:tabs>
                <w:tab w:val="decimal" w:pos="520"/>
              </w:tabs>
              <w:spacing w:after="120" w:line="240" w:lineRule="auto"/>
              <w:jc w:val="center"/>
              <w:rPr>
                <w:rFonts w:ascii="Calibri" w:eastAsia="Times New Roman" w:hAnsi="Calibri" w:cs="Calibri"/>
                <w:color w:val="000000"/>
                <w:lang w:eastAsia="en-GB"/>
              </w:rPr>
            </w:pPr>
            <w:r w:rsidRPr="00736A9F">
              <w:rPr>
                <w:rFonts w:ascii="Calibri" w:eastAsia="Times New Roman" w:hAnsi="Calibri" w:cs="Calibri"/>
                <w:color w:val="000000"/>
                <w:lang w:eastAsia="en-GB"/>
              </w:rPr>
              <w:t> </w:t>
            </w:r>
          </w:p>
        </w:tc>
        <w:tc>
          <w:tcPr>
            <w:tcW w:w="572" w:type="pct"/>
            <w:tcBorders>
              <w:top w:val="nil"/>
              <w:left w:val="nil"/>
              <w:bottom w:val="single" w:sz="4" w:space="0" w:color="auto"/>
              <w:right w:val="single" w:sz="4" w:space="0" w:color="auto"/>
            </w:tcBorders>
            <w:shd w:val="clear" w:color="auto" w:fill="E2EFD9" w:themeFill="accent6" w:themeFillTint="33"/>
            <w:vAlign w:val="center"/>
          </w:tcPr>
          <w:p w14:paraId="2DDC8E9B" w14:textId="1700D636" w:rsidR="00420E00" w:rsidRPr="00BC3F5A" w:rsidRDefault="00420E00" w:rsidP="00420E00">
            <w:pPr>
              <w:spacing w:after="120" w:line="240" w:lineRule="auto"/>
              <w:jc w:val="center"/>
              <w:rPr>
                <w:rFonts w:ascii="Calibri" w:eastAsia="Times New Roman" w:hAnsi="Calibri" w:cs="Calibri"/>
                <w:b/>
                <w:bCs/>
                <w:lang w:eastAsia="en-GB"/>
              </w:rPr>
            </w:pPr>
            <w:r w:rsidRPr="00BC3F5A">
              <w:rPr>
                <w:rFonts w:ascii="Calibri" w:eastAsia="Times New Roman" w:hAnsi="Calibri" w:cs="Calibri"/>
                <w:b/>
                <w:bCs/>
                <w:lang w:eastAsia="en-GB"/>
              </w:rPr>
              <w:t>[</w:t>
            </w:r>
            <w:r>
              <w:rPr>
                <w:rFonts w:ascii="Calibri" w:eastAsia="Times New Roman" w:hAnsi="Calibri" w:cs="Calibri"/>
                <w:b/>
                <w:bCs/>
                <w:lang w:eastAsia="en-GB"/>
              </w:rPr>
              <w:t>d</w:t>
            </w:r>
            <w:r w:rsidRPr="00BC3F5A">
              <w:rPr>
                <w:rFonts w:ascii="Calibri" w:eastAsia="Times New Roman" w:hAnsi="Calibri" w:cs="Calibri"/>
                <w:b/>
                <w:bCs/>
                <w:lang w:eastAsia="en-GB"/>
              </w:rPr>
              <w:t>]</w:t>
            </w:r>
          </w:p>
        </w:tc>
      </w:tr>
      <w:tr w:rsidR="00420E00" w:rsidRPr="00A60C7D" w14:paraId="2936271A" w14:textId="01579F70" w:rsidTr="00091EDE">
        <w:trPr>
          <w:trHeight w:val="288"/>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1A91169F" w14:textId="77777777" w:rsidR="00420E00" w:rsidRPr="00A60C7D" w:rsidRDefault="00420E00" w:rsidP="00420E00">
            <w:pPr>
              <w:keepNext/>
              <w:spacing w:after="120" w:line="240" w:lineRule="auto"/>
              <w:jc w:val="center"/>
              <w:rPr>
                <w:rFonts w:ascii="Calibri" w:eastAsia="Times New Roman" w:hAnsi="Calibri" w:cs="Calibri"/>
                <w:color w:val="000000"/>
                <w:lang w:eastAsia="en-GB"/>
              </w:rPr>
            </w:pPr>
            <w:r w:rsidRPr="00A60C7D">
              <w:rPr>
                <w:rFonts w:ascii="Calibri" w:eastAsia="Times New Roman" w:hAnsi="Calibri" w:cs="Calibri"/>
                <w:color w:val="000000"/>
                <w:lang w:eastAsia="en-GB"/>
              </w:rPr>
              <w:t>14b</w:t>
            </w:r>
          </w:p>
        </w:tc>
        <w:tc>
          <w:tcPr>
            <w:tcW w:w="2215" w:type="pct"/>
            <w:tcBorders>
              <w:top w:val="nil"/>
              <w:left w:val="nil"/>
              <w:bottom w:val="single" w:sz="4" w:space="0" w:color="auto"/>
              <w:right w:val="nil"/>
            </w:tcBorders>
            <w:shd w:val="clear" w:color="auto" w:fill="auto"/>
            <w:vAlign w:val="center"/>
            <w:hideMark/>
          </w:tcPr>
          <w:p w14:paraId="4B1D8EE7" w14:textId="77777777" w:rsidR="00420E00" w:rsidRPr="00A60C7D" w:rsidRDefault="00420E00" w:rsidP="00420E00">
            <w:pPr>
              <w:keepNext/>
              <w:spacing w:after="120" w:line="240" w:lineRule="auto"/>
              <w:jc w:val="both"/>
              <w:rPr>
                <w:rFonts w:ascii="Calibri" w:eastAsia="Times New Roman" w:hAnsi="Calibri" w:cs="Calibri"/>
                <w:lang w:eastAsia="en-GB"/>
              </w:rPr>
            </w:pPr>
            <w:r w:rsidRPr="00A60C7D">
              <w:rPr>
                <w:rFonts w:ascii="Calibri" w:eastAsia="Times New Roman" w:hAnsi="Calibri" w:cs="Calibri"/>
                <w:lang w:eastAsia="en-GB"/>
              </w:rPr>
              <w:t>Leverage ratio including claims on central banks (%)</w:t>
            </w:r>
          </w:p>
        </w:tc>
        <w:tc>
          <w:tcPr>
            <w:tcW w:w="571" w:type="pct"/>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48001626" w14:textId="77777777" w:rsidR="00420E00" w:rsidRPr="00736A9F" w:rsidRDefault="00420E00" w:rsidP="00420E00">
            <w:pPr>
              <w:tabs>
                <w:tab w:val="decimal" w:pos="520"/>
              </w:tabs>
              <w:spacing w:after="120" w:line="240" w:lineRule="auto"/>
              <w:jc w:val="center"/>
              <w:rPr>
                <w:rFonts w:ascii="Calibri" w:eastAsia="Times New Roman" w:hAnsi="Calibri" w:cs="Calibri"/>
                <w:color w:val="000000"/>
                <w:lang w:eastAsia="en-GB"/>
              </w:rPr>
            </w:pPr>
            <w:r w:rsidRPr="00736A9F">
              <w:rPr>
                <w:rFonts w:ascii="Calibri" w:eastAsia="Times New Roman" w:hAnsi="Calibri" w:cs="Calibri"/>
                <w:color w:val="000000"/>
                <w:lang w:eastAsia="en-GB"/>
              </w:rPr>
              <w:t> </w:t>
            </w:r>
          </w:p>
        </w:tc>
        <w:tc>
          <w:tcPr>
            <w:tcW w:w="571" w:type="pct"/>
            <w:tcBorders>
              <w:top w:val="nil"/>
              <w:left w:val="nil"/>
              <w:bottom w:val="single" w:sz="4" w:space="0" w:color="auto"/>
              <w:right w:val="single" w:sz="4" w:space="0" w:color="auto"/>
            </w:tcBorders>
            <w:shd w:val="clear" w:color="auto" w:fill="D0CECE" w:themeFill="background2" w:themeFillShade="E6"/>
            <w:vAlign w:val="center"/>
            <w:hideMark/>
          </w:tcPr>
          <w:p w14:paraId="465E8EAA" w14:textId="77777777" w:rsidR="00420E00" w:rsidRPr="00736A9F" w:rsidRDefault="00420E00" w:rsidP="00420E00">
            <w:pPr>
              <w:tabs>
                <w:tab w:val="decimal" w:pos="520"/>
              </w:tabs>
              <w:spacing w:after="120" w:line="240" w:lineRule="auto"/>
              <w:jc w:val="center"/>
              <w:rPr>
                <w:rFonts w:ascii="Calibri" w:eastAsia="Times New Roman" w:hAnsi="Calibri" w:cs="Calibri"/>
                <w:color w:val="000000"/>
                <w:lang w:eastAsia="en-GB"/>
              </w:rPr>
            </w:pPr>
            <w:r w:rsidRPr="00736A9F">
              <w:rPr>
                <w:rFonts w:ascii="Calibri" w:eastAsia="Times New Roman" w:hAnsi="Calibri" w:cs="Calibri"/>
                <w:color w:val="000000"/>
                <w:lang w:eastAsia="en-GB"/>
              </w:rPr>
              <w:t> </w:t>
            </w:r>
          </w:p>
        </w:tc>
        <w:tc>
          <w:tcPr>
            <w:tcW w:w="572" w:type="pct"/>
            <w:tcBorders>
              <w:top w:val="nil"/>
              <w:left w:val="nil"/>
              <w:bottom w:val="single" w:sz="4" w:space="0" w:color="auto"/>
              <w:right w:val="single" w:sz="4" w:space="0" w:color="auto"/>
            </w:tcBorders>
            <w:shd w:val="clear" w:color="auto" w:fill="D0CECE" w:themeFill="background2" w:themeFillShade="E6"/>
            <w:vAlign w:val="center"/>
            <w:hideMark/>
          </w:tcPr>
          <w:p w14:paraId="3493E7F3" w14:textId="77777777" w:rsidR="00420E00" w:rsidRPr="00736A9F" w:rsidRDefault="00420E00" w:rsidP="00420E00">
            <w:pPr>
              <w:tabs>
                <w:tab w:val="decimal" w:pos="520"/>
              </w:tabs>
              <w:spacing w:after="120" w:line="240" w:lineRule="auto"/>
              <w:jc w:val="center"/>
              <w:rPr>
                <w:rFonts w:ascii="Calibri" w:eastAsia="Times New Roman" w:hAnsi="Calibri" w:cs="Calibri"/>
                <w:color w:val="000000"/>
                <w:lang w:eastAsia="en-GB"/>
              </w:rPr>
            </w:pPr>
            <w:r w:rsidRPr="00736A9F">
              <w:rPr>
                <w:rFonts w:ascii="Calibri" w:eastAsia="Times New Roman" w:hAnsi="Calibri" w:cs="Calibri"/>
                <w:color w:val="000000"/>
                <w:lang w:eastAsia="en-GB"/>
              </w:rPr>
              <w:t> </w:t>
            </w:r>
          </w:p>
        </w:tc>
        <w:tc>
          <w:tcPr>
            <w:tcW w:w="572" w:type="pct"/>
            <w:tcBorders>
              <w:top w:val="nil"/>
              <w:left w:val="nil"/>
              <w:bottom w:val="single" w:sz="4" w:space="0" w:color="auto"/>
              <w:right w:val="single" w:sz="4" w:space="0" w:color="auto"/>
            </w:tcBorders>
            <w:shd w:val="clear" w:color="auto" w:fill="E2EFD9" w:themeFill="accent6" w:themeFillTint="33"/>
            <w:vAlign w:val="center"/>
          </w:tcPr>
          <w:p w14:paraId="198C37F9" w14:textId="60044847" w:rsidR="00420E00" w:rsidRPr="00A60C7D" w:rsidRDefault="00420E00" w:rsidP="00420E00">
            <w:pPr>
              <w:spacing w:after="120" w:line="240" w:lineRule="auto"/>
              <w:jc w:val="center"/>
              <w:rPr>
                <w:rFonts w:ascii="Calibri" w:eastAsia="Times New Roman" w:hAnsi="Calibri" w:cs="Calibri"/>
                <w:lang w:eastAsia="en-GB"/>
              </w:rPr>
            </w:pPr>
            <w:r w:rsidRPr="00BC3F5A">
              <w:rPr>
                <w:rFonts w:ascii="Calibri" w:eastAsia="Times New Roman" w:hAnsi="Calibri" w:cs="Calibri"/>
                <w:b/>
                <w:bCs/>
                <w:lang w:eastAsia="en-GB"/>
              </w:rPr>
              <w:t>[</w:t>
            </w:r>
            <w:r>
              <w:rPr>
                <w:rFonts w:ascii="Calibri" w:eastAsia="Times New Roman" w:hAnsi="Calibri" w:cs="Calibri"/>
                <w:b/>
                <w:bCs/>
                <w:lang w:eastAsia="en-GB"/>
              </w:rPr>
              <w:t>d</w:t>
            </w:r>
            <w:r w:rsidRPr="00BC3F5A">
              <w:rPr>
                <w:rFonts w:ascii="Calibri" w:eastAsia="Times New Roman" w:hAnsi="Calibri" w:cs="Calibri"/>
                <w:b/>
                <w:bCs/>
                <w:lang w:eastAsia="en-GB"/>
              </w:rPr>
              <w:t>]</w:t>
            </w:r>
          </w:p>
        </w:tc>
      </w:tr>
      <w:tr w:rsidR="00420E00" w:rsidRPr="00A60C7D" w14:paraId="294FB1A6" w14:textId="334C0C59" w:rsidTr="00091EDE">
        <w:trPr>
          <w:trHeight w:val="288"/>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1D86D169" w14:textId="77777777" w:rsidR="00420E00" w:rsidRPr="00A60C7D" w:rsidRDefault="00420E00" w:rsidP="00420E00">
            <w:pPr>
              <w:spacing w:after="120" w:line="240" w:lineRule="auto"/>
              <w:jc w:val="center"/>
              <w:rPr>
                <w:rFonts w:ascii="Calibri" w:eastAsia="Times New Roman" w:hAnsi="Calibri" w:cs="Calibri"/>
                <w:color w:val="000000"/>
                <w:lang w:eastAsia="en-GB"/>
              </w:rPr>
            </w:pPr>
            <w:r w:rsidRPr="00A60C7D">
              <w:rPr>
                <w:rFonts w:ascii="Calibri" w:eastAsia="Times New Roman" w:hAnsi="Calibri" w:cs="Calibri"/>
                <w:color w:val="000000"/>
                <w:lang w:eastAsia="en-GB"/>
              </w:rPr>
              <w:t>14c</w:t>
            </w:r>
          </w:p>
        </w:tc>
        <w:tc>
          <w:tcPr>
            <w:tcW w:w="2215" w:type="pct"/>
            <w:tcBorders>
              <w:top w:val="nil"/>
              <w:left w:val="nil"/>
              <w:bottom w:val="single" w:sz="4" w:space="0" w:color="auto"/>
              <w:right w:val="nil"/>
            </w:tcBorders>
            <w:shd w:val="clear" w:color="auto" w:fill="auto"/>
            <w:vAlign w:val="center"/>
            <w:hideMark/>
          </w:tcPr>
          <w:p w14:paraId="581C6F20" w14:textId="77777777" w:rsidR="00420E00" w:rsidRPr="00A60C7D" w:rsidRDefault="00420E00" w:rsidP="00420E00">
            <w:pPr>
              <w:spacing w:after="120" w:line="240" w:lineRule="auto"/>
              <w:jc w:val="both"/>
              <w:rPr>
                <w:rFonts w:ascii="Calibri" w:eastAsia="Times New Roman" w:hAnsi="Calibri" w:cs="Calibri"/>
                <w:lang w:eastAsia="en-GB"/>
              </w:rPr>
            </w:pPr>
            <w:r w:rsidRPr="00A60C7D">
              <w:rPr>
                <w:rFonts w:ascii="Calibri" w:eastAsia="Times New Roman" w:hAnsi="Calibri" w:cs="Calibri"/>
                <w:lang w:eastAsia="en-GB"/>
              </w:rPr>
              <w:t>Average leverage ratio excluding claims on central banks (%)</w:t>
            </w:r>
          </w:p>
        </w:tc>
        <w:tc>
          <w:tcPr>
            <w:tcW w:w="571" w:type="pct"/>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55E0117D" w14:textId="77777777" w:rsidR="00420E00" w:rsidRPr="00736A9F" w:rsidRDefault="00420E00" w:rsidP="00420E00">
            <w:pPr>
              <w:tabs>
                <w:tab w:val="decimal" w:pos="520"/>
              </w:tabs>
              <w:spacing w:after="120" w:line="240" w:lineRule="auto"/>
              <w:jc w:val="center"/>
              <w:rPr>
                <w:rFonts w:ascii="Calibri" w:eastAsia="Times New Roman" w:hAnsi="Calibri" w:cs="Calibri"/>
                <w:color w:val="000000"/>
                <w:lang w:eastAsia="en-GB"/>
              </w:rPr>
            </w:pPr>
            <w:r w:rsidRPr="00736A9F">
              <w:rPr>
                <w:rFonts w:ascii="Calibri" w:eastAsia="Times New Roman" w:hAnsi="Calibri" w:cs="Calibri"/>
                <w:color w:val="000000"/>
                <w:lang w:eastAsia="en-GB"/>
              </w:rPr>
              <w:t> </w:t>
            </w:r>
          </w:p>
        </w:tc>
        <w:tc>
          <w:tcPr>
            <w:tcW w:w="571" w:type="pct"/>
            <w:tcBorders>
              <w:top w:val="nil"/>
              <w:left w:val="nil"/>
              <w:bottom w:val="single" w:sz="4" w:space="0" w:color="auto"/>
              <w:right w:val="single" w:sz="4" w:space="0" w:color="auto"/>
            </w:tcBorders>
            <w:shd w:val="clear" w:color="auto" w:fill="D0CECE" w:themeFill="background2" w:themeFillShade="E6"/>
            <w:vAlign w:val="center"/>
            <w:hideMark/>
          </w:tcPr>
          <w:p w14:paraId="100BD3B6" w14:textId="77777777" w:rsidR="00420E00" w:rsidRPr="00736A9F" w:rsidRDefault="00420E00" w:rsidP="00420E00">
            <w:pPr>
              <w:tabs>
                <w:tab w:val="decimal" w:pos="520"/>
              </w:tabs>
              <w:spacing w:after="120" w:line="240" w:lineRule="auto"/>
              <w:jc w:val="center"/>
              <w:rPr>
                <w:rFonts w:ascii="Calibri" w:eastAsia="Times New Roman" w:hAnsi="Calibri" w:cs="Calibri"/>
                <w:color w:val="000000"/>
                <w:lang w:eastAsia="en-GB"/>
              </w:rPr>
            </w:pPr>
            <w:r w:rsidRPr="00736A9F">
              <w:rPr>
                <w:rFonts w:ascii="Calibri" w:eastAsia="Times New Roman" w:hAnsi="Calibri" w:cs="Calibri"/>
                <w:color w:val="000000"/>
                <w:lang w:eastAsia="en-GB"/>
              </w:rPr>
              <w:t> </w:t>
            </w:r>
          </w:p>
        </w:tc>
        <w:tc>
          <w:tcPr>
            <w:tcW w:w="572" w:type="pct"/>
            <w:tcBorders>
              <w:top w:val="nil"/>
              <w:left w:val="nil"/>
              <w:bottom w:val="single" w:sz="4" w:space="0" w:color="auto"/>
              <w:right w:val="single" w:sz="4" w:space="0" w:color="auto"/>
            </w:tcBorders>
            <w:shd w:val="clear" w:color="auto" w:fill="D0CECE" w:themeFill="background2" w:themeFillShade="E6"/>
            <w:vAlign w:val="center"/>
            <w:hideMark/>
          </w:tcPr>
          <w:p w14:paraId="30C5A4CA" w14:textId="77777777" w:rsidR="00420E00" w:rsidRPr="00736A9F" w:rsidRDefault="00420E00" w:rsidP="00420E00">
            <w:pPr>
              <w:tabs>
                <w:tab w:val="decimal" w:pos="520"/>
              </w:tabs>
              <w:spacing w:after="120" w:line="240" w:lineRule="auto"/>
              <w:jc w:val="center"/>
              <w:rPr>
                <w:rFonts w:ascii="Calibri" w:eastAsia="Times New Roman" w:hAnsi="Calibri" w:cs="Calibri"/>
                <w:color w:val="000000"/>
                <w:lang w:eastAsia="en-GB"/>
              </w:rPr>
            </w:pPr>
            <w:r w:rsidRPr="00736A9F">
              <w:rPr>
                <w:rFonts w:ascii="Calibri" w:eastAsia="Times New Roman" w:hAnsi="Calibri" w:cs="Calibri"/>
                <w:color w:val="000000"/>
                <w:lang w:eastAsia="en-GB"/>
              </w:rPr>
              <w:t> </w:t>
            </w:r>
          </w:p>
        </w:tc>
        <w:tc>
          <w:tcPr>
            <w:tcW w:w="572" w:type="pct"/>
            <w:tcBorders>
              <w:top w:val="nil"/>
              <w:left w:val="nil"/>
              <w:bottom w:val="single" w:sz="4" w:space="0" w:color="auto"/>
              <w:right w:val="single" w:sz="4" w:space="0" w:color="auto"/>
            </w:tcBorders>
            <w:shd w:val="clear" w:color="auto" w:fill="E2EFD9" w:themeFill="accent6" w:themeFillTint="33"/>
            <w:vAlign w:val="center"/>
          </w:tcPr>
          <w:p w14:paraId="07827CDA" w14:textId="7FFEE013" w:rsidR="00420E00" w:rsidRPr="00A60C7D" w:rsidRDefault="00420E00" w:rsidP="00420E00">
            <w:pPr>
              <w:spacing w:after="120" w:line="240" w:lineRule="auto"/>
              <w:jc w:val="center"/>
              <w:rPr>
                <w:rFonts w:ascii="Calibri" w:eastAsia="Times New Roman" w:hAnsi="Calibri" w:cs="Calibri"/>
                <w:lang w:eastAsia="en-GB"/>
              </w:rPr>
            </w:pPr>
            <w:r w:rsidRPr="00BC3F5A">
              <w:rPr>
                <w:rFonts w:ascii="Calibri" w:eastAsia="Times New Roman" w:hAnsi="Calibri" w:cs="Calibri"/>
                <w:b/>
                <w:bCs/>
                <w:lang w:eastAsia="en-GB"/>
              </w:rPr>
              <w:t>[</w:t>
            </w:r>
            <w:r>
              <w:rPr>
                <w:rFonts w:ascii="Calibri" w:eastAsia="Times New Roman" w:hAnsi="Calibri" w:cs="Calibri"/>
                <w:b/>
                <w:bCs/>
                <w:lang w:eastAsia="en-GB"/>
              </w:rPr>
              <w:t>d]</w:t>
            </w:r>
          </w:p>
        </w:tc>
      </w:tr>
      <w:tr w:rsidR="00420E00" w:rsidRPr="00A60C7D" w14:paraId="66231591" w14:textId="33FC701B" w:rsidTr="00091EDE">
        <w:trPr>
          <w:trHeight w:val="288"/>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715F0618" w14:textId="77777777" w:rsidR="00420E00" w:rsidRPr="00A60C7D" w:rsidRDefault="00420E00" w:rsidP="00420E00">
            <w:pPr>
              <w:spacing w:after="120" w:line="240" w:lineRule="auto"/>
              <w:jc w:val="center"/>
              <w:rPr>
                <w:rFonts w:ascii="Calibri" w:eastAsia="Times New Roman" w:hAnsi="Calibri" w:cs="Calibri"/>
                <w:color w:val="000000"/>
                <w:lang w:eastAsia="en-GB"/>
              </w:rPr>
            </w:pPr>
            <w:r w:rsidRPr="00A60C7D">
              <w:rPr>
                <w:rFonts w:ascii="Calibri" w:eastAsia="Times New Roman" w:hAnsi="Calibri" w:cs="Calibri"/>
                <w:color w:val="000000"/>
                <w:lang w:eastAsia="en-GB"/>
              </w:rPr>
              <w:t>14d</w:t>
            </w:r>
          </w:p>
        </w:tc>
        <w:tc>
          <w:tcPr>
            <w:tcW w:w="2215" w:type="pct"/>
            <w:tcBorders>
              <w:top w:val="nil"/>
              <w:left w:val="nil"/>
              <w:bottom w:val="single" w:sz="4" w:space="0" w:color="auto"/>
              <w:right w:val="nil"/>
            </w:tcBorders>
            <w:shd w:val="clear" w:color="auto" w:fill="auto"/>
            <w:vAlign w:val="center"/>
            <w:hideMark/>
          </w:tcPr>
          <w:p w14:paraId="6579A9EC" w14:textId="77777777" w:rsidR="00420E00" w:rsidRPr="00A60C7D" w:rsidRDefault="00420E00" w:rsidP="00420E00">
            <w:pPr>
              <w:spacing w:after="120" w:line="240" w:lineRule="auto"/>
              <w:jc w:val="both"/>
              <w:rPr>
                <w:rFonts w:ascii="Calibri" w:eastAsia="Times New Roman" w:hAnsi="Calibri" w:cs="Calibri"/>
                <w:lang w:eastAsia="en-GB"/>
              </w:rPr>
            </w:pPr>
            <w:r w:rsidRPr="00A60C7D">
              <w:rPr>
                <w:rFonts w:ascii="Calibri" w:eastAsia="Times New Roman" w:hAnsi="Calibri" w:cs="Calibri"/>
                <w:lang w:eastAsia="en-GB"/>
              </w:rPr>
              <w:t>Average leverage ratio including claims on central banks (%)</w:t>
            </w:r>
          </w:p>
        </w:tc>
        <w:tc>
          <w:tcPr>
            <w:tcW w:w="571" w:type="pct"/>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0778AF76" w14:textId="77777777" w:rsidR="00420E00" w:rsidRPr="00736A9F" w:rsidRDefault="00420E00" w:rsidP="00420E00">
            <w:pPr>
              <w:tabs>
                <w:tab w:val="decimal" w:pos="520"/>
              </w:tabs>
              <w:spacing w:after="120" w:line="240" w:lineRule="auto"/>
              <w:jc w:val="center"/>
              <w:rPr>
                <w:rFonts w:ascii="Calibri" w:eastAsia="Times New Roman" w:hAnsi="Calibri" w:cs="Calibri"/>
                <w:color w:val="000000"/>
                <w:lang w:eastAsia="en-GB"/>
              </w:rPr>
            </w:pPr>
            <w:r w:rsidRPr="00736A9F">
              <w:rPr>
                <w:rFonts w:ascii="Calibri" w:eastAsia="Times New Roman" w:hAnsi="Calibri" w:cs="Calibri"/>
                <w:color w:val="000000"/>
                <w:lang w:eastAsia="en-GB"/>
              </w:rPr>
              <w:t> </w:t>
            </w:r>
          </w:p>
        </w:tc>
        <w:tc>
          <w:tcPr>
            <w:tcW w:w="571" w:type="pct"/>
            <w:tcBorders>
              <w:top w:val="nil"/>
              <w:left w:val="nil"/>
              <w:bottom w:val="single" w:sz="4" w:space="0" w:color="auto"/>
              <w:right w:val="single" w:sz="4" w:space="0" w:color="auto"/>
            </w:tcBorders>
            <w:shd w:val="clear" w:color="auto" w:fill="D0CECE" w:themeFill="background2" w:themeFillShade="E6"/>
            <w:vAlign w:val="center"/>
            <w:hideMark/>
          </w:tcPr>
          <w:p w14:paraId="3BEFE47C" w14:textId="77777777" w:rsidR="00420E00" w:rsidRPr="00736A9F" w:rsidRDefault="00420E00" w:rsidP="00420E00">
            <w:pPr>
              <w:tabs>
                <w:tab w:val="decimal" w:pos="520"/>
              </w:tabs>
              <w:spacing w:after="120" w:line="240" w:lineRule="auto"/>
              <w:jc w:val="center"/>
              <w:rPr>
                <w:rFonts w:ascii="Calibri" w:eastAsia="Times New Roman" w:hAnsi="Calibri" w:cs="Calibri"/>
                <w:color w:val="000000"/>
                <w:lang w:eastAsia="en-GB"/>
              </w:rPr>
            </w:pPr>
            <w:r w:rsidRPr="00736A9F">
              <w:rPr>
                <w:rFonts w:ascii="Calibri" w:eastAsia="Times New Roman" w:hAnsi="Calibri" w:cs="Calibri"/>
                <w:color w:val="000000"/>
                <w:lang w:eastAsia="en-GB"/>
              </w:rPr>
              <w:t> </w:t>
            </w:r>
          </w:p>
        </w:tc>
        <w:tc>
          <w:tcPr>
            <w:tcW w:w="572" w:type="pct"/>
            <w:tcBorders>
              <w:top w:val="nil"/>
              <w:left w:val="nil"/>
              <w:bottom w:val="single" w:sz="4" w:space="0" w:color="auto"/>
              <w:right w:val="single" w:sz="4" w:space="0" w:color="auto"/>
            </w:tcBorders>
            <w:shd w:val="clear" w:color="auto" w:fill="D0CECE" w:themeFill="background2" w:themeFillShade="E6"/>
            <w:vAlign w:val="center"/>
            <w:hideMark/>
          </w:tcPr>
          <w:p w14:paraId="7D1D3FBC" w14:textId="77777777" w:rsidR="00420E00" w:rsidRPr="00736A9F" w:rsidRDefault="00420E00" w:rsidP="00420E00">
            <w:pPr>
              <w:tabs>
                <w:tab w:val="decimal" w:pos="520"/>
              </w:tabs>
              <w:spacing w:after="120" w:line="240" w:lineRule="auto"/>
              <w:jc w:val="center"/>
              <w:rPr>
                <w:rFonts w:ascii="Calibri" w:eastAsia="Times New Roman" w:hAnsi="Calibri" w:cs="Calibri"/>
                <w:color w:val="000000"/>
                <w:lang w:eastAsia="en-GB"/>
              </w:rPr>
            </w:pPr>
            <w:r w:rsidRPr="00736A9F">
              <w:rPr>
                <w:rFonts w:ascii="Calibri" w:eastAsia="Times New Roman" w:hAnsi="Calibri" w:cs="Calibri"/>
                <w:color w:val="000000"/>
                <w:lang w:eastAsia="en-GB"/>
              </w:rPr>
              <w:t> </w:t>
            </w:r>
          </w:p>
        </w:tc>
        <w:tc>
          <w:tcPr>
            <w:tcW w:w="572" w:type="pct"/>
            <w:tcBorders>
              <w:top w:val="nil"/>
              <w:left w:val="nil"/>
              <w:bottom w:val="single" w:sz="4" w:space="0" w:color="auto"/>
              <w:right w:val="single" w:sz="4" w:space="0" w:color="auto"/>
            </w:tcBorders>
            <w:shd w:val="clear" w:color="auto" w:fill="E2EFD9" w:themeFill="accent6" w:themeFillTint="33"/>
            <w:vAlign w:val="center"/>
          </w:tcPr>
          <w:p w14:paraId="766580C7" w14:textId="13C5FB26" w:rsidR="00420E00" w:rsidRPr="00A60C7D" w:rsidRDefault="00420E00" w:rsidP="00420E00">
            <w:pPr>
              <w:spacing w:after="120" w:line="240" w:lineRule="auto"/>
              <w:jc w:val="center"/>
              <w:rPr>
                <w:rFonts w:ascii="Calibri" w:eastAsia="Times New Roman" w:hAnsi="Calibri" w:cs="Calibri"/>
                <w:lang w:eastAsia="en-GB"/>
              </w:rPr>
            </w:pPr>
            <w:r w:rsidRPr="00BC3F5A">
              <w:rPr>
                <w:rFonts w:ascii="Calibri" w:eastAsia="Times New Roman" w:hAnsi="Calibri" w:cs="Calibri"/>
                <w:b/>
                <w:bCs/>
                <w:lang w:eastAsia="en-GB"/>
              </w:rPr>
              <w:t>[</w:t>
            </w:r>
            <w:r>
              <w:rPr>
                <w:rFonts w:ascii="Calibri" w:eastAsia="Times New Roman" w:hAnsi="Calibri" w:cs="Calibri"/>
                <w:b/>
                <w:bCs/>
                <w:lang w:eastAsia="en-GB"/>
              </w:rPr>
              <w:t>d</w:t>
            </w:r>
            <w:r w:rsidRPr="00BC3F5A">
              <w:rPr>
                <w:rFonts w:ascii="Calibri" w:eastAsia="Times New Roman" w:hAnsi="Calibri" w:cs="Calibri"/>
                <w:b/>
                <w:bCs/>
                <w:lang w:eastAsia="en-GB"/>
              </w:rPr>
              <w:t>]</w:t>
            </w:r>
          </w:p>
        </w:tc>
      </w:tr>
      <w:tr w:rsidR="00420E00" w:rsidRPr="00A60C7D" w14:paraId="2780F8AA" w14:textId="2F0A46FF" w:rsidTr="00091EDE">
        <w:trPr>
          <w:trHeight w:val="288"/>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6AFF48B2" w14:textId="77777777" w:rsidR="00420E00" w:rsidRPr="00A60C7D" w:rsidRDefault="00420E00" w:rsidP="00420E00">
            <w:pPr>
              <w:spacing w:after="120" w:line="240" w:lineRule="auto"/>
              <w:jc w:val="center"/>
              <w:rPr>
                <w:rFonts w:ascii="Calibri" w:eastAsia="Times New Roman" w:hAnsi="Calibri" w:cs="Calibri"/>
                <w:color w:val="000000"/>
                <w:lang w:eastAsia="en-GB"/>
              </w:rPr>
            </w:pPr>
            <w:r w:rsidRPr="00A60C7D">
              <w:rPr>
                <w:rFonts w:ascii="Calibri" w:eastAsia="Times New Roman" w:hAnsi="Calibri" w:cs="Calibri"/>
                <w:color w:val="000000"/>
                <w:lang w:eastAsia="en-GB"/>
              </w:rPr>
              <w:t>14e</w:t>
            </w:r>
          </w:p>
        </w:tc>
        <w:tc>
          <w:tcPr>
            <w:tcW w:w="2215" w:type="pct"/>
            <w:tcBorders>
              <w:top w:val="nil"/>
              <w:left w:val="nil"/>
              <w:bottom w:val="single" w:sz="4" w:space="0" w:color="auto"/>
              <w:right w:val="nil"/>
            </w:tcBorders>
            <w:shd w:val="clear" w:color="auto" w:fill="auto"/>
            <w:vAlign w:val="center"/>
            <w:hideMark/>
          </w:tcPr>
          <w:p w14:paraId="5E94B984" w14:textId="77777777" w:rsidR="00420E00" w:rsidRPr="00A60C7D" w:rsidRDefault="00420E00" w:rsidP="00420E00">
            <w:pPr>
              <w:spacing w:after="120" w:line="240" w:lineRule="auto"/>
              <w:jc w:val="both"/>
              <w:rPr>
                <w:rFonts w:ascii="Calibri" w:eastAsia="Times New Roman" w:hAnsi="Calibri" w:cs="Calibri"/>
                <w:lang w:eastAsia="en-GB"/>
              </w:rPr>
            </w:pPr>
            <w:r w:rsidRPr="00A60C7D">
              <w:rPr>
                <w:rFonts w:ascii="Calibri" w:eastAsia="Times New Roman" w:hAnsi="Calibri" w:cs="Calibri"/>
                <w:lang w:eastAsia="en-GB"/>
              </w:rPr>
              <w:t>Countercyclical leverage ratio buffer (%)</w:t>
            </w:r>
          </w:p>
        </w:tc>
        <w:tc>
          <w:tcPr>
            <w:tcW w:w="571" w:type="pct"/>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0A9DE9AD" w14:textId="77777777" w:rsidR="00420E00" w:rsidRPr="00736A9F" w:rsidRDefault="00420E00" w:rsidP="00420E00">
            <w:pPr>
              <w:tabs>
                <w:tab w:val="decimal" w:pos="520"/>
              </w:tabs>
              <w:spacing w:after="120" w:line="240" w:lineRule="auto"/>
              <w:jc w:val="center"/>
              <w:rPr>
                <w:rFonts w:ascii="Calibri" w:eastAsia="Times New Roman" w:hAnsi="Calibri" w:cs="Calibri"/>
                <w:color w:val="000000"/>
                <w:lang w:eastAsia="en-GB"/>
              </w:rPr>
            </w:pPr>
            <w:r w:rsidRPr="00736A9F">
              <w:rPr>
                <w:rFonts w:ascii="Calibri" w:eastAsia="Times New Roman" w:hAnsi="Calibri" w:cs="Calibri"/>
                <w:color w:val="000000"/>
                <w:lang w:eastAsia="en-GB"/>
              </w:rPr>
              <w:t> </w:t>
            </w:r>
          </w:p>
        </w:tc>
        <w:tc>
          <w:tcPr>
            <w:tcW w:w="571" w:type="pct"/>
            <w:tcBorders>
              <w:top w:val="nil"/>
              <w:left w:val="nil"/>
              <w:bottom w:val="single" w:sz="4" w:space="0" w:color="auto"/>
              <w:right w:val="single" w:sz="4" w:space="0" w:color="auto"/>
            </w:tcBorders>
            <w:shd w:val="clear" w:color="auto" w:fill="D0CECE" w:themeFill="background2" w:themeFillShade="E6"/>
            <w:vAlign w:val="center"/>
            <w:hideMark/>
          </w:tcPr>
          <w:p w14:paraId="671A5AD3" w14:textId="77777777" w:rsidR="00420E00" w:rsidRPr="00736A9F" w:rsidRDefault="00420E00" w:rsidP="00420E00">
            <w:pPr>
              <w:tabs>
                <w:tab w:val="decimal" w:pos="520"/>
              </w:tabs>
              <w:spacing w:after="120" w:line="240" w:lineRule="auto"/>
              <w:jc w:val="center"/>
              <w:rPr>
                <w:rFonts w:ascii="Calibri" w:eastAsia="Times New Roman" w:hAnsi="Calibri" w:cs="Calibri"/>
                <w:color w:val="000000"/>
                <w:lang w:eastAsia="en-GB"/>
              </w:rPr>
            </w:pPr>
            <w:r w:rsidRPr="00736A9F">
              <w:rPr>
                <w:rFonts w:ascii="Calibri" w:eastAsia="Times New Roman" w:hAnsi="Calibri" w:cs="Calibri"/>
                <w:color w:val="000000"/>
                <w:lang w:eastAsia="en-GB"/>
              </w:rPr>
              <w:t> </w:t>
            </w:r>
          </w:p>
        </w:tc>
        <w:tc>
          <w:tcPr>
            <w:tcW w:w="572" w:type="pct"/>
            <w:tcBorders>
              <w:top w:val="nil"/>
              <w:left w:val="nil"/>
              <w:bottom w:val="single" w:sz="4" w:space="0" w:color="auto"/>
              <w:right w:val="single" w:sz="4" w:space="0" w:color="auto"/>
            </w:tcBorders>
            <w:shd w:val="clear" w:color="auto" w:fill="D0CECE" w:themeFill="background2" w:themeFillShade="E6"/>
            <w:vAlign w:val="center"/>
            <w:hideMark/>
          </w:tcPr>
          <w:p w14:paraId="791B4DB4" w14:textId="77777777" w:rsidR="00420E00" w:rsidRPr="00736A9F" w:rsidRDefault="00420E00" w:rsidP="00420E00">
            <w:pPr>
              <w:tabs>
                <w:tab w:val="decimal" w:pos="520"/>
              </w:tabs>
              <w:spacing w:after="120" w:line="240" w:lineRule="auto"/>
              <w:jc w:val="center"/>
              <w:rPr>
                <w:rFonts w:ascii="Calibri" w:eastAsia="Times New Roman" w:hAnsi="Calibri" w:cs="Calibri"/>
                <w:color w:val="000000"/>
                <w:lang w:eastAsia="en-GB"/>
              </w:rPr>
            </w:pPr>
            <w:r w:rsidRPr="00736A9F">
              <w:rPr>
                <w:rFonts w:ascii="Calibri" w:eastAsia="Times New Roman" w:hAnsi="Calibri" w:cs="Calibri"/>
                <w:color w:val="000000"/>
                <w:lang w:eastAsia="en-GB"/>
              </w:rPr>
              <w:t> </w:t>
            </w:r>
          </w:p>
        </w:tc>
        <w:tc>
          <w:tcPr>
            <w:tcW w:w="572" w:type="pct"/>
            <w:tcBorders>
              <w:top w:val="nil"/>
              <w:left w:val="nil"/>
              <w:bottom w:val="single" w:sz="4" w:space="0" w:color="auto"/>
              <w:right w:val="single" w:sz="4" w:space="0" w:color="auto"/>
            </w:tcBorders>
            <w:shd w:val="clear" w:color="auto" w:fill="E2EFD9" w:themeFill="accent6" w:themeFillTint="33"/>
            <w:vAlign w:val="center"/>
          </w:tcPr>
          <w:p w14:paraId="385267B3" w14:textId="2299536A" w:rsidR="00420E00" w:rsidRPr="00A60C7D" w:rsidRDefault="00420E00" w:rsidP="00420E00">
            <w:pPr>
              <w:spacing w:after="120" w:line="240" w:lineRule="auto"/>
              <w:jc w:val="center"/>
              <w:rPr>
                <w:rFonts w:ascii="Calibri" w:eastAsia="Times New Roman" w:hAnsi="Calibri" w:cs="Calibri"/>
                <w:lang w:eastAsia="en-GB"/>
              </w:rPr>
            </w:pPr>
            <w:r w:rsidRPr="00BC3F5A">
              <w:rPr>
                <w:rFonts w:ascii="Calibri" w:eastAsia="Times New Roman" w:hAnsi="Calibri" w:cs="Calibri"/>
                <w:b/>
                <w:bCs/>
                <w:lang w:eastAsia="en-GB"/>
              </w:rPr>
              <w:t>[</w:t>
            </w:r>
            <w:r>
              <w:rPr>
                <w:rFonts w:ascii="Calibri" w:eastAsia="Times New Roman" w:hAnsi="Calibri" w:cs="Calibri"/>
                <w:b/>
                <w:bCs/>
                <w:lang w:eastAsia="en-GB"/>
              </w:rPr>
              <w:t>d</w:t>
            </w:r>
            <w:r w:rsidRPr="00BC3F5A">
              <w:rPr>
                <w:rFonts w:ascii="Calibri" w:eastAsia="Times New Roman" w:hAnsi="Calibri" w:cs="Calibri"/>
                <w:b/>
                <w:bCs/>
                <w:lang w:eastAsia="en-GB"/>
              </w:rPr>
              <w:t>]</w:t>
            </w:r>
          </w:p>
        </w:tc>
      </w:tr>
      <w:tr w:rsidR="00420E00" w:rsidRPr="00A60C7D" w14:paraId="77A618FD" w14:textId="4C61074F" w:rsidTr="00B23C9D">
        <w:trPr>
          <w:trHeight w:val="288"/>
        </w:trPr>
        <w:tc>
          <w:tcPr>
            <w:tcW w:w="499" w:type="pct"/>
            <w:tcBorders>
              <w:top w:val="nil"/>
              <w:left w:val="single" w:sz="4" w:space="0" w:color="auto"/>
              <w:bottom w:val="single" w:sz="4" w:space="0" w:color="auto"/>
              <w:right w:val="single" w:sz="4" w:space="0" w:color="auto"/>
            </w:tcBorders>
            <w:shd w:val="clear" w:color="auto" w:fill="A8D08D" w:themeFill="accent6" w:themeFillTint="99"/>
            <w:vAlign w:val="center"/>
            <w:hideMark/>
          </w:tcPr>
          <w:p w14:paraId="19D0586B" w14:textId="77777777" w:rsidR="00420E00" w:rsidRPr="00A60C7D" w:rsidRDefault="00420E00" w:rsidP="00420E00">
            <w:pPr>
              <w:keepNext/>
              <w:spacing w:after="120" w:line="240" w:lineRule="auto"/>
              <w:jc w:val="center"/>
              <w:rPr>
                <w:rFonts w:ascii="Calibri" w:eastAsia="Times New Roman" w:hAnsi="Calibri" w:cs="Calibri"/>
                <w:b/>
                <w:bCs/>
                <w:color w:val="000000"/>
                <w:lang w:eastAsia="en-GB"/>
              </w:rPr>
            </w:pPr>
            <w:bookmarkStart w:id="2" w:name="_Hlk104992762"/>
            <w:r w:rsidRPr="00A60C7D">
              <w:rPr>
                <w:rFonts w:ascii="Calibri" w:eastAsia="Times New Roman" w:hAnsi="Calibri" w:cs="Calibri"/>
                <w:b/>
                <w:bCs/>
                <w:color w:val="000000"/>
                <w:lang w:eastAsia="en-GB"/>
              </w:rPr>
              <w:t> </w:t>
            </w:r>
          </w:p>
        </w:tc>
        <w:tc>
          <w:tcPr>
            <w:tcW w:w="3929" w:type="pct"/>
            <w:gridSpan w:val="4"/>
            <w:tcBorders>
              <w:top w:val="single" w:sz="4" w:space="0" w:color="auto"/>
              <w:left w:val="nil"/>
              <w:bottom w:val="single" w:sz="4" w:space="0" w:color="auto"/>
              <w:right w:val="single" w:sz="4" w:space="0" w:color="000000"/>
            </w:tcBorders>
            <w:shd w:val="clear" w:color="auto" w:fill="A8D08D" w:themeFill="accent6" w:themeFillTint="99"/>
            <w:vAlign w:val="center"/>
            <w:hideMark/>
          </w:tcPr>
          <w:p w14:paraId="68DCBF5C" w14:textId="77777777" w:rsidR="00420E00" w:rsidRPr="00A60C7D" w:rsidRDefault="00420E00" w:rsidP="00420E00">
            <w:pPr>
              <w:keepNext/>
              <w:spacing w:after="120" w:line="240" w:lineRule="auto"/>
              <w:rPr>
                <w:rFonts w:ascii="Calibri" w:eastAsia="Times New Roman" w:hAnsi="Calibri" w:cs="Calibri"/>
                <w:b/>
                <w:bCs/>
                <w:lang w:eastAsia="en-GB"/>
              </w:rPr>
            </w:pPr>
            <w:r w:rsidRPr="00A60C7D">
              <w:rPr>
                <w:rFonts w:ascii="Calibri" w:eastAsia="Times New Roman" w:hAnsi="Calibri" w:cs="Calibri"/>
                <w:b/>
                <w:bCs/>
                <w:lang w:eastAsia="en-GB"/>
              </w:rPr>
              <w:t>Liquidity Coverage Ratio</w:t>
            </w:r>
          </w:p>
        </w:tc>
        <w:tc>
          <w:tcPr>
            <w:tcW w:w="572" w:type="pct"/>
            <w:tcBorders>
              <w:top w:val="single" w:sz="4" w:space="0" w:color="auto"/>
              <w:left w:val="nil"/>
              <w:bottom w:val="single" w:sz="4" w:space="0" w:color="auto"/>
              <w:right w:val="single" w:sz="4" w:space="0" w:color="000000"/>
            </w:tcBorders>
            <w:shd w:val="clear" w:color="auto" w:fill="A8D08D" w:themeFill="accent6" w:themeFillTint="99"/>
          </w:tcPr>
          <w:p w14:paraId="41622DE7" w14:textId="77777777" w:rsidR="00420E00" w:rsidRPr="00A60C7D" w:rsidRDefault="00420E00" w:rsidP="00420E00">
            <w:pPr>
              <w:keepNext/>
              <w:spacing w:after="120" w:line="240" w:lineRule="auto"/>
              <w:rPr>
                <w:rFonts w:ascii="Calibri" w:eastAsia="Times New Roman" w:hAnsi="Calibri" w:cs="Calibri"/>
                <w:b/>
                <w:bCs/>
                <w:lang w:eastAsia="en-GB"/>
              </w:rPr>
            </w:pPr>
          </w:p>
        </w:tc>
      </w:tr>
      <w:bookmarkEnd w:id="2"/>
      <w:tr w:rsidR="001C2D62" w:rsidRPr="00A60C7D" w14:paraId="1732BB68" w14:textId="6E87C657" w:rsidTr="0082095A">
        <w:trPr>
          <w:trHeight w:val="288"/>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3A19A9AE" w14:textId="77777777" w:rsidR="001C2D62" w:rsidRPr="00A60C7D" w:rsidRDefault="001C2D62" w:rsidP="001C2D62">
            <w:pPr>
              <w:spacing w:after="120" w:line="240" w:lineRule="auto"/>
              <w:jc w:val="center"/>
              <w:rPr>
                <w:rFonts w:ascii="Calibri" w:eastAsia="Times New Roman" w:hAnsi="Calibri" w:cs="Calibri"/>
                <w:color w:val="000000"/>
                <w:lang w:eastAsia="en-GB"/>
              </w:rPr>
            </w:pPr>
            <w:r w:rsidRPr="00A60C7D">
              <w:rPr>
                <w:rFonts w:ascii="Calibri" w:eastAsia="Times New Roman" w:hAnsi="Calibri" w:cs="Calibri"/>
                <w:color w:val="000000"/>
                <w:lang w:eastAsia="en-GB"/>
              </w:rPr>
              <w:t>15</w:t>
            </w:r>
          </w:p>
        </w:tc>
        <w:tc>
          <w:tcPr>
            <w:tcW w:w="2215" w:type="pct"/>
            <w:tcBorders>
              <w:top w:val="nil"/>
              <w:left w:val="nil"/>
              <w:bottom w:val="single" w:sz="4" w:space="0" w:color="auto"/>
              <w:right w:val="single" w:sz="4" w:space="0" w:color="auto"/>
            </w:tcBorders>
            <w:shd w:val="clear" w:color="auto" w:fill="auto"/>
            <w:vAlign w:val="center"/>
            <w:hideMark/>
          </w:tcPr>
          <w:p w14:paraId="058F5726" w14:textId="74F011A0" w:rsidR="001C2D62" w:rsidRPr="00A60C7D" w:rsidRDefault="001C2D62" w:rsidP="001C2D62">
            <w:pPr>
              <w:spacing w:after="120" w:line="240" w:lineRule="auto"/>
              <w:jc w:val="both"/>
              <w:rPr>
                <w:rFonts w:ascii="Calibri" w:eastAsia="Times New Roman" w:hAnsi="Calibri" w:cs="Calibri"/>
                <w:color w:val="000000"/>
                <w:lang w:eastAsia="en-GB"/>
              </w:rPr>
            </w:pPr>
            <w:r w:rsidRPr="00A60C7D">
              <w:rPr>
                <w:rFonts w:ascii="Calibri" w:eastAsia="Times New Roman" w:hAnsi="Calibri" w:cs="Calibri"/>
                <w:color w:val="000000"/>
                <w:lang w:eastAsia="en-GB"/>
              </w:rPr>
              <w:t>Total high-quality liquid assets (HQLA) (Weighted value -</w:t>
            </w:r>
            <w:r>
              <w:rPr>
                <w:rFonts w:ascii="Calibri" w:eastAsia="Times New Roman" w:hAnsi="Calibri" w:cs="Calibri"/>
                <w:color w:val="000000"/>
                <w:lang w:eastAsia="en-GB"/>
              </w:rPr>
              <w:t xml:space="preserve"> </w:t>
            </w:r>
            <w:r w:rsidRPr="00A60C7D">
              <w:rPr>
                <w:rFonts w:ascii="Calibri" w:eastAsia="Times New Roman" w:hAnsi="Calibri" w:cs="Calibri"/>
                <w:color w:val="000000"/>
                <w:lang w:eastAsia="en-GB"/>
              </w:rPr>
              <w:t>average)</w:t>
            </w:r>
          </w:p>
        </w:tc>
        <w:tc>
          <w:tcPr>
            <w:tcW w:w="571" w:type="pct"/>
            <w:tcBorders>
              <w:top w:val="nil"/>
              <w:left w:val="nil"/>
              <w:bottom w:val="single" w:sz="4" w:space="0" w:color="auto"/>
              <w:right w:val="single" w:sz="4" w:space="0" w:color="auto"/>
            </w:tcBorders>
            <w:shd w:val="clear" w:color="auto" w:fill="auto"/>
            <w:vAlign w:val="center"/>
          </w:tcPr>
          <w:p w14:paraId="670F0599" w14:textId="5B30C786" w:rsidR="001C2D62" w:rsidRPr="00A60C7D" w:rsidRDefault="001C2D62" w:rsidP="001C2D62">
            <w:pPr>
              <w:keepNext/>
              <w:tabs>
                <w:tab w:val="decimal" w:pos="627"/>
              </w:tabs>
              <w:spacing w:after="120" w:line="240" w:lineRule="auto"/>
              <w:rPr>
                <w:rFonts w:ascii="Calibri" w:eastAsia="Times New Roman" w:hAnsi="Calibri" w:cs="Calibri"/>
                <w:color w:val="000000"/>
                <w:lang w:eastAsia="en-GB"/>
              </w:rPr>
            </w:pPr>
            <w:r>
              <w:rPr>
                <w:rFonts w:ascii="Calibri" w:hAnsi="Calibri" w:cs="Calibri"/>
                <w:color w:val="000000"/>
              </w:rPr>
              <w:t>2,580.90</w:t>
            </w:r>
          </w:p>
        </w:tc>
        <w:tc>
          <w:tcPr>
            <w:tcW w:w="571" w:type="pct"/>
            <w:tcBorders>
              <w:top w:val="nil"/>
              <w:left w:val="nil"/>
              <w:bottom w:val="single" w:sz="4" w:space="0" w:color="auto"/>
              <w:right w:val="single" w:sz="4" w:space="0" w:color="auto"/>
            </w:tcBorders>
            <w:shd w:val="clear" w:color="auto" w:fill="auto"/>
            <w:vAlign w:val="center"/>
            <w:hideMark/>
          </w:tcPr>
          <w:p w14:paraId="4656B2A5" w14:textId="2A8AFA6B" w:rsidR="001C2D62" w:rsidRPr="005A168C" w:rsidRDefault="001C2D62" w:rsidP="001C2D62">
            <w:pPr>
              <w:keepNext/>
              <w:tabs>
                <w:tab w:val="decimal" w:pos="627"/>
              </w:tabs>
              <w:spacing w:after="120" w:line="240" w:lineRule="auto"/>
              <w:rPr>
                <w:rFonts w:cstheme="minorHAnsi"/>
                <w:color w:val="000000"/>
              </w:rPr>
            </w:pPr>
            <w:r>
              <w:rPr>
                <w:rFonts w:cstheme="minorHAnsi"/>
                <w:color w:val="000000"/>
              </w:rPr>
              <w:t>2,082.1</w:t>
            </w:r>
          </w:p>
        </w:tc>
        <w:tc>
          <w:tcPr>
            <w:tcW w:w="572" w:type="pct"/>
            <w:tcBorders>
              <w:top w:val="nil"/>
              <w:left w:val="nil"/>
              <w:bottom w:val="single" w:sz="4" w:space="0" w:color="auto"/>
              <w:right w:val="single" w:sz="4" w:space="0" w:color="auto"/>
            </w:tcBorders>
            <w:shd w:val="clear" w:color="auto" w:fill="auto"/>
            <w:vAlign w:val="center"/>
            <w:hideMark/>
          </w:tcPr>
          <w:p w14:paraId="07104BA5" w14:textId="5C50D098" w:rsidR="001C2D62" w:rsidRPr="005A168C" w:rsidRDefault="001C2D62" w:rsidP="001C2D62">
            <w:pPr>
              <w:keepNext/>
              <w:tabs>
                <w:tab w:val="decimal" w:pos="627"/>
              </w:tabs>
              <w:spacing w:after="120" w:line="240" w:lineRule="auto"/>
              <w:rPr>
                <w:rFonts w:cstheme="minorHAnsi"/>
                <w:color w:val="000000"/>
              </w:rPr>
            </w:pPr>
            <w:r w:rsidRPr="005A168C">
              <w:rPr>
                <w:rFonts w:cstheme="minorHAnsi"/>
                <w:color w:val="000000"/>
              </w:rPr>
              <w:t>1,575.0</w:t>
            </w:r>
          </w:p>
        </w:tc>
        <w:tc>
          <w:tcPr>
            <w:tcW w:w="572" w:type="pct"/>
            <w:tcBorders>
              <w:top w:val="nil"/>
              <w:left w:val="nil"/>
              <w:bottom w:val="single" w:sz="4" w:space="0" w:color="auto"/>
              <w:right w:val="single" w:sz="4" w:space="0" w:color="auto"/>
            </w:tcBorders>
            <w:shd w:val="clear" w:color="auto" w:fill="E2EFD9" w:themeFill="accent6" w:themeFillTint="33"/>
          </w:tcPr>
          <w:p w14:paraId="69D0E61F" w14:textId="2F2F4B23" w:rsidR="001C2D62" w:rsidRPr="00A60C7D" w:rsidRDefault="001C2D62" w:rsidP="001C2D62">
            <w:pPr>
              <w:spacing w:after="120" w:line="240" w:lineRule="auto"/>
              <w:jc w:val="center"/>
              <w:rPr>
                <w:rFonts w:ascii="Calibri" w:eastAsia="Times New Roman" w:hAnsi="Calibri" w:cs="Calibri"/>
                <w:color w:val="000000"/>
                <w:lang w:eastAsia="en-GB"/>
              </w:rPr>
            </w:pPr>
            <w:r w:rsidRPr="0094635C">
              <w:rPr>
                <w:b/>
                <w:bCs/>
              </w:rPr>
              <w:t>[</w:t>
            </w:r>
            <w:r>
              <w:rPr>
                <w:b/>
                <w:bCs/>
              </w:rPr>
              <w:t>e</w:t>
            </w:r>
            <w:r w:rsidRPr="0094635C">
              <w:rPr>
                <w:b/>
                <w:bCs/>
              </w:rPr>
              <w:t>]</w:t>
            </w:r>
          </w:p>
        </w:tc>
      </w:tr>
      <w:tr w:rsidR="001C2D62" w:rsidRPr="00A60C7D" w14:paraId="1BA9EDBD" w14:textId="0E193078" w:rsidTr="003825EC">
        <w:trPr>
          <w:trHeight w:val="288"/>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104C3CAE" w14:textId="77777777" w:rsidR="001C2D62" w:rsidRPr="00A60C7D" w:rsidRDefault="001C2D62" w:rsidP="001C2D62">
            <w:pPr>
              <w:spacing w:after="120" w:line="240" w:lineRule="auto"/>
              <w:jc w:val="center"/>
              <w:rPr>
                <w:rFonts w:ascii="Calibri" w:eastAsia="Times New Roman" w:hAnsi="Calibri" w:cs="Calibri"/>
                <w:lang w:eastAsia="en-GB"/>
              </w:rPr>
            </w:pPr>
            <w:r w:rsidRPr="00A60C7D">
              <w:rPr>
                <w:rFonts w:ascii="Calibri" w:eastAsia="Times New Roman" w:hAnsi="Calibri" w:cs="Calibri"/>
                <w:lang w:eastAsia="en-GB"/>
              </w:rPr>
              <w:t>UK 16a</w:t>
            </w:r>
          </w:p>
        </w:tc>
        <w:tc>
          <w:tcPr>
            <w:tcW w:w="2215" w:type="pct"/>
            <w:tcBorders>
              <w:top w:val="nil"/>
              <w:left w:val="nil"/>
              <w:bottom w:val="single" w:sz="4" w:space="0" w:color="auto"/>
              <w:right w:val="single" w:sz="4" w:space="0" w:color="auto"/>
            </w:tcBorders>
            <w:shd w:val="clear" w:color="auto" w:fill="auto"/>
            <w:vAlign w:val="center"/>
            <w:hideMark/>
          </w:tcPr>
          <w:p w14:paraId="57C0A604" w14:textId="77777777" w:rsidR="001C2D62" w:rsidRPr="00A60C7D" w:rsidRDefault="001C2D62" w:rsidP="001C2D62">
            <w:pPr>
              <w:spacing w:after="120" w:line="240" w:lineRule="auto"/>
              <w:jc w:val="both"/>
              <w:rPr>
                <w:rFonts w:ascii="Calibri" w:eastAsia="Times New Roman" w:hAnsi="Calibri" w:cs="Calibri"/>
                <w:lang w:eastAsia="en-GB"/>
              </w:rPr>
            </w:pPr>
            <w:r w:rsidRPr="00A60C7D">
              <w:rPr>
                <w:rFonts w:ascii="Calibri" w:eastAsia="Times New Roman" w:hAnsi="Calibri" w:cs="Calibri"/>
                <w:lang w:eastAsia="en-GB"/>
              </w:rPr>
              <w:t xml:space="preserve">Cash outflows - Total weighted value </w:t>
            </w:r>
          </w:p>
        </w:tc>
        <w:tc>
          <w:tcPr>
            <w:tcW w:w="571" w:type="pct"/>
            <w:tcBorders>
              <w:top w:val="nil"/>
              <w:left w:val="nil"/>
              <w:bottom w:val="single" w:sz="4" w:space="0" w:color="auto"/>
              <w:right w:val="single" w:sz="4" w:space="0" w:color="auto"/>
            </w:tcBorders>
            <w:shd w:val="clear" w:color="auto" w:fill="auto"/>
            <w:vAlign w:val="center"/>
          </w:tcPr>
          <w:p w14:paraId="14ADDA3F" w14:textId="79634654" w:rsidR="001C2D62" w:rsidRPr="00A60C7D" w:rsidRDefault="001C2D62" w:rsidP="001C2D62">
            <w:pPr>
              <w:keepNext/>
              <w:tabs>
                <w:tab w:val="decimal" w:pos="627"/>
              </w:tabs>
              <w:spacing w:after="120" w:line="240" w:lineRule="auto"/>
              <w:rPr>
                <w:rFonts w:ascii="Calibri" w:eastAsia="Times New Roman" w:hAnsi="Calibri" w:cs="Calibri"/>
                <w:color w:val="000000"/>
                <w:lang w:eastAsia="en-GB"/>
              </w:rPr>
            </w:pPr>
            <w:r>
              <w:rPr>
                <w:rFonts w:ascii="Calibri" w:hAnsi="Calibri" w:cs="Calibri"/>
                <w:color w:val="000000"/>
              </w:rPr>
              <w:t>1,528.30</w:t>
            </w:r>
          </w:p>
        </w:tc>
        <w:tc>
          <w:tcPr>
            <w:tcW w:w="571" w:type="pct"/>
            <w:tcBorders>
              <w:top w:val="nil"/>
              <w:left w:val="nil"/>
              <w:bottom w:val="single" w:sz="4" w:space="0" w:color="auto"/>
              <w:right w:val="single" w:sz="4" w:space="0" w:color="auto"/>
            </w:tcBorders>
            <w:shd w:val="clear" w:color="auto" w:fill="auto"/>
            <w:vAlign w:val="center"/>
          </w:tcPr>
          <w:p w14:paraId="6C9A60DA" w14:textId="30B5B563" w:rsidR="001C2D62" w:rsidRPr="005A168C" w:rsidRDefault="001C2D62" w:rsidP="001C2D62">
            <w:pPr>
              <w:keepNext/>
              <w:tabs>
                <w:tab w:val="decimal" w:pos="627"/>
              </w:tabs>
              <w:spacing w:after="120" w:line="240" w:lineRule="auto"/>
              <w:rPr>
                <w:rFonts w:cstheme="minorHAnsi"/>
                <w:color w:val="000000"/>
              </w:rPr>
            </w:pPr>
            <w:r>
              <w:rPr>
                <w:rFonts w:cstheme="minorHAnsi"/>
                <w:color w:val="000000"/>
              </w:rPr>
              <w:t>1,397.8</w:t>
            </w:r>
          </w:p>
        </w:tc>
        <w:tc>
          <w:tcPr>
            <w:tcW w:w="572" w:type="pct"/>
            <w:tcBorders>
              <w:top w:val="nil"/>
              <w:left w:val="nil"/>
              <w:bottom w:val="single" w:sz="4" w:space="0" w:color="auto"/>
              <w:right w:val="single" w:sz="4" w:space="0" w:color="auto"/>
            </w:tcBorders>
            <w:shd w:val="clear" w:color="auto" w:fill="auto"/>
            <w:vAlign w:val="center"/>
          </w:tcPr>
          <w:p w14:paraId="79826D59" w14:textId="18F4DB14" w:rsidR="001C2D62" w:rsidRPr="005A168C" w:rsidRDefault="001C2D62" w:rsidP="001C2D62">
            <w:pPr>
              <w:keepNext/>
              <w:tabs>
                <w:tab w:val="decimal" w:pos="627"/>
              </w:tabs>
              <w:spacing w:after="120" w:line="240" w:lineRule="auto"/>
              <w:rPr>
                <w:rFonts w:cstheme="minorHAnsi"/>
                <w:color w:val="000000"/>
              </w:rPr>
            </w:pPr>
            <w:r w:rsidRPr="005A168C">
              <w:rPr>
                <w:rFonts w:cstheme="minorHAnsi"/>
                <w:color w:val="000000"/>
              </w:rPr>
              <w:t>1,293.4</w:t>
            </w:r>
          </w:p>
        </w:tc>
        <w:tc>
          <w:tcPr>
            <w:tcW w:w="572" w:type="pct"/>
            <w:tcBorders>
              <w:top w:val="nil"/>
              <w:left w:val="nil"/>
              <w:bottom w:val="single" w:sz="4" w:space="0" w:color="auto"/>
              <w:right w:val="single" w:sz="4" w:space="0" w:color="auto"/>
            </w:tcBorders>
            <w:shd w:val="clear" w:color="auto" w:fill="E2EFD9" w:themeFill="accent6" w:themeFillTint="33"/>
          </w:tcPr>
          <w:p w14:paraId="77653313" w14:textId="0913D34D" w:rsidR="001C2D62" w:rsidRPr="00A60C7D" w:rsidRDefault="001C2D62" w:rsidP="001C2D62">
            <w:pPr>
              <w:spacing w:after="120" w:line="240" w:lineRule="auto"/>
              <w:jc w:val="center"/>
              <w:rPr>
                <w:rFonts w:ascii="Calibri" w:eastAsia="Times New Roman" w:hAnsi="Calibri" w:cs="Calibri"/>
                <w:color w:val="000000"/>
                <w:lang w:eastAsia="en-GB"/>
              </w:rPr>
            </w:pPr>
            <w:r w:rsidRPr="0094635C">
              <w:rPr>
                <w:b/>
                <w:bCs/>
              </w:rPr>
              <w:t>[</w:t>
            </w:r>
            <w:r>
              <w:rPr>
                <w:b/>
                <w:bCs/>
              </w:rPr>
              <w:t>e</w:t>
            </w:r>
            <w:r w:rsidRPr="0094635C">
              <w:rPr>
                <w:b/>
                <w:bCs/>
              </w:rPr>
              <w:t>]</w:t>
            </w:r>
          </w:p>
        </w:tc>
      </w:tr>
      <w:tr w:rsidR="001C2D62" w:rsidRPr="00A60C7D" w14:paraId="4EABFBD3" w14:textId="006544AF" w:rsidTr="003825EC">
        <w:trPr>
          <w:trHeight w:val="288"/>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61122F9E" w14:textId="77777777" w:rsidR="001C2D62" w:rsidRPr="00A60C7D" w:rsidRDefault="001C2D62" w:rsidP="001C2D62">
            <w:pPr>
              <w:spacing w:after="120" w:line="240" w:lineRule="auto"/>
              <w:jc w:val="center"/>
              <w:rPr>
                <w:rFonts w:ascii="Calibri" w:eastAsia="Times New Roman" w:hAnsi="Calibri" w:cs="Calibri"/>
                <w:lang w:eastAsia="en-GB"/>
              </w:rPr>
            </w:pPr>
            <w:r w:rsidRPr="00A60C7D">
              <w:rPr>
                <w:rFonts w:ascii="Calibri" w:eastAsia="Times New Roman" w:hAnsi="Calibri" w:cs="Calibri"/>
                <w:lang w:eastAsia="en-GB"/>
              </w:rPr>
              <w:t>UK 16b</w:t>
            </w:r>
          </w:p>
        </w:tc>
        <w:tc>
          <w:tcPr>
            <w:tcW w:w="2215" w:type="pct"/>
            <w:tcBorders>
              <w:top w:val="nil"/>
              <w:left w:val="nil"/>
              <w:bottom w:val="single" w:sz="4" w:space="0" w:color="auto"/>
              <w:right w:val="single" w:sz="4" w:space="0" w:color="auto"/>
            </w:tcBorders>
            <w:shd w:val="clear" w:color="auto" w:fill="auto"/>
            <w:vAlign w:val="center"/>
            <w:hideMark/>
          </w:tcPr>
          <w:p w14:paraId="11B9B6F0" w14:textId="77777777" w:rsidR="001C2D62" w:rsidRPr="00A60C7D" w:rsidRDefault="001C2D62" w:rsidP="001C2D62">
            <w:pPr>
              <w:spacing w:after="120" w:line="240" w:lineRule="auto"/>
              <w:jc w:val="both"/>
              <w:rPr>
                <w:rFonts w:ascii="Calibri" w:eastAsia="Times New Roman" w:hAnsi="Calibri" w:cs="Calibri"/>
                <w:lang w:eastAsia="en-GB"/>
              </w:rPr>
            </w:pPr>
            <w:r w:rsidRPr="00A60C7D">
              <w:rPr>
                <w:rFonts w:ascii="Calibri" w:eastAsia="Times New Roman" w:hAnsi="Calibri" w:cs="Calibri"/>
                <w:lang w:eastAsia="en-GB"/>
              </w:rPr>
              <w:t xml:space="preserve">Cash inflows - Total weighted value </w:t>
            </w:r>
          </w:p>
        </w:tc>
        <w:tc>
          <w:tcPr>
            <w:tcW w:w="571" w:type="pct"/>
            <w:tcBorders>
              <w:top w:val="nil"/>
              <w:left w:val="nil"/>
              <w:bottom w:val="single" w:sz="4" w:space="0" w:color="auto"/>
              <w:right w:val="single" w:sz="4" w:space="0" w:color="auto"/>
            </w:tcBorders>
            <w:shd w:val="clear" w:color="auto" w:fill="auto"/>
            <w:vAlign w:val="center"/>
          </w:tcPr>
          <w:p w14:paraId="1CABD64D" w14:textId="708E0D42" w:rsidR="001C2D62" w:rsidRPr="00A60C7D" w:rsidRDefault="001C2D62" w:rsidP="001C2D62">
            <w:pPr>
              <w:keepNext/>
              <w:tabs>
                <w:tab w:val="decimal" w:pos="627"/>
              </w:tabs>
              <w:spacing w:after="120" w:line="240" w:lineRule="auto"/>
              <w:rPr>
                <w:rFonts w:ascii="Calibri" w:eastAsia="Times New Roman" w:hAnsi="Calibri" w:cs="Calibri"/>
                <w:color w:val="000000"/>
                <w:lang w:eastAsia="en-GB"/>
              </w:rPr>
            </w:pPr>
            <w:r>
              <w:rPr>
                <w:rFonts w:ascii="Calibri" w:hAnsi="Calibri" w:cs="Calibri"/>
                <w:color w:val="000000"/>
              </w:rPr>
              <w:t>335.2</w:t>
            </w:r>
          </w:p>
        </w:tc>
        <w:tc>
          <w:tcPr>
            <w:tcW w:w="571" w:type="pct"/>
            <w:tcBorders>
              <w:top w:val="nil"/>
              <w:left w:val="nil"/>
              <w:bottom w:val="single" w:sz="4" w:space="0" w:color="auto"/>
              <w:right w:val="single" w:sz="4" w:space="0" w:color="auto"/>
            </w:tcBorders>
            <w:shd w:val="clear" w:color="auto" w:fill="auto"/>
            <w:vAlign w:val="center"/>
          </w:tcPr>
          <w:p w14:paraId="07491BE5" w14:textId="45FC5AA0" w:rsidR="001C2D62" w:rsidRPr="005A168C" w:rsidRDefault="001C2D62" w:rsidP="001C2D62">
            <w:pPr>
              <w:keepNext/>
              <w:tabs>
                <w:tab w:val="decimal" w:pos="627"/>
              </w:tabs>
              <w:spacing w:after="120" w:line="240" w:lineRule="auto"/>
              <w:rPr>
                <w:rFonts w:cstheme="minorHAnsi"/>
                <w:color w:val="000000"/>
              </w:rPr>
            </w:pPr>
            <w:r>
              <w:rPr>
                <w:rFonts w:cstheme="minorHAnsi"/>
                <w:color w:val="000000"/>
              </w:rPr>
              <w:t>321.1</w:t>
            </w:r>
          </w:p>
        </w:tc>
        <w:tc>
          <w:tcPr>
            <w:tcW w:w="572" w:type="pct"/>
            <w:tcBorders>
              <w:top w:val="nil"/>
              <w:left w:val="nil"/>
              <w:bottom w:val="single" w:sz="4" w:space="0" w:color="auto"/>
              <w:right w:val="single" w:sz="4" w:space="0" w:color="auto"/>
            </w:tcBorders>
            <w:shd w:val="clear" w:color="auto" w:fill="auto"/>
            <w:vAlign w:val="center"/>
          </w:tcPr>
          <w:p w14:paraId="1ABFE474" w14:textId="0682CFD9" w:rsidR="001C2D62" w:rsidRPr="005A168C" w:rsidRDefault="001C2D62" w:rsidP="001C2D62">
            <w:pPr>
              <w:keepNext/>
              <w:tabs>
                <w:tab w:val="decimal" w:pos="627"/>
              </w:tabs>
              <w:spacing w:after="120" w:line="240" w:lineRule="auto"/>
              <w:rPr>
                <w:rFonts w:cstheme="minorHAnsi"/>
                <w:color w:val="000000"/>
              </w:rPr>
            </w:pPr>
            <w:r w:rsidRPr="005A168C">
              <w:rPr>
                <w:rFonts w:cstheme="minorHAnsi"/>
                <w:color w:val="000000"/>
              </w:rPr>
              <w:t>287.9</w:t>
            </w:r>
          </w:p>
        </w:tc>
        <w:tc>
          <w:tcPr>
            <w:tcW w:w="572" w:type="pct"/>
            <w:tcBorders>
              <w:top w:val="nil"/>
              <w:left w:val="nil"/>
              <w:bottom w:val="single" w:sz="4" w:space="0" w:color="auto"/>
              <w:right w:val="single" w:sz="4" w:space="0" w:color="auto"/>
            </w:tcBorders>
            <w:shd w:val="clear" w:color="auto" w:fill="E2EFD9" w:themeFill="accent6" w:themeFillTint="33"/>
          </w:tcPr>
          <w:p w14:paraId="4808ACE3" w14:textId="3AFEB0B6" w:rsidR="001C2D62" w:rsidRPr="00A60C7D" w:rsidRDefault="001C2D62" w:rsidP="001C2D62">
            <w:pPr>
              <w:spacing w:after="120" w:line="240" w:lineRule="auto"/>
              <w:jc w:val="center"/>
              <w:rPr>
                <w:rFonts w:ascii="Calibri" w:eastAsia="Times New Roman" w:hAnsi="Calibri" w:cs="Calibri"/>
                <w:color w:val="000000"/>
                <w:lang w:eastAsia="en-GB"/>
              </w:rPr>
            </w:pPr>
            <w:r w:rsidRPr="0094635C">
              <w:rPr>
                <w:b/>
                <w:bCs/>
              </w:rPr>
              <w:t>[</w:t>
            </w:r>
            <w:r>
              <w:rPr>
                <w:b/>
                <w:bCs/>
              </w:rPr>
              <w:t>e</w:t>
            </w:r>
            <w:r w:rsidRPr="0094635C">
              <w:rPr>
                <w:b/>
                <w:bCs/>
              </w:rPr>
              <w:t>]</w:t>
            </w:r>
          </w:p>
        </w:tc>
      </w:tr>
      <w:tr w:rsidR="001C2D62" w:rsidRPr="00A60C7D" w14:paraId="24359E36" w14:textId="0FDD6CF7" w:rsidTr="0082095A">
        <w:trPr>
          <w:trHeight w:val="288"/>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36E8A4A5" w14:textId="77777777" w:rsidR="001C2D62" w:rsidRPr="00A60C7D" w:rsidRDefault="001C2D62" w:rsidP="001C2D62">
            <w:pPr>
              <w:spacing w:after="120" w:line="240" w:lineRule="auto"/>
              <w:jc w:val="center"/>
              <w:rPr>
                <w:rFonts w:ascii="Calibri" w:eastAsia="Times New Roman" w:hAnsi="Calibri" w:cs="Calibri"/>
                <w:color w:val="000000"/>
                <w:lang w:eastAsia="en-GB"/>
              </w:rPr>
            </w:pPr>
            <w:r w:rsidRPr="00A60C7D">
              <w:rPr>
                <w:rFonts w:ascii="Calibri" w:eastAsia="Times New Roman" w:hAnsi="Calibri" w:cs="Calibri"/>
                <w:color w:val="000000"/>
                <w:lang w:eastAsia="en-GB"/>
              </w:rPr>
              <w:t>16</w:t>
            </w:r>
          </w:p>
        </w:tc>
        <w:tc>
          <w:tcPr>
            <w:tcW w:w="2215" w:type="pct"/>
            <w:tcBorders>
              <w:top w:val="nil"/>
              <w:left w:val="nil"/>
              <w:bottom w:val="single" w:sz="4" w:space="0" w:color="auto"/>
              <w:right w:val="single" w:sz="4" w:space="0" w:color="auto"/>
            </w:tcBorders>
            <w:shd w:val="clear" w:color="auto" w:fill="auto"/>
            <w:vAlign w:val="center"/>
            <w:hideMark/>
          </w:tcPr>
          <w:p w14:paraId="1601235D" w14:textId="77777777" w:rsidR="001C2D62" w:rsidRPr="00A60C7D" w:rsidRDefault="001C2D62" w:rsidP="001C2D62">
            <w:pPr>
              <w:spacing w:after="120" w:line="240" w:lineRule="auto"/>
              <w:jc w:val="both"/>
              <w:rPr>
                <w:rFonts w:ascii="Calibri" w:eastAsia="Times New Roman" w:hAnsi="Calibri" w:cs="Calibri"/>
                <w:color w:val="000000"/>
                <w:lang w:eastAsia="en-GB"/>
              </w:rPr>
            </w:pPr>
            <w:r w:rsidRPr="00A60C7D">
              <w:rPr>
                <w:rFonts w:ascii="Calibri" w:eastAsia="Times New Roman" w:hAnsi="Calibri" w:cs="Calibri"/>
                <w:color w:val="000000"/>
                <w:lang w:eastAsia="en-GB"/>
              </w:rPr>
              <w:t>Total net cash outflows (adjusted value)</w:t>
            </w:r>
          </w:p>
        </w:tc>
        <w:tc>
          <w:tcPr>
            <w:tcW w:w="571" w:type="pct"/>
            <w:tcBorders>
              <w:top w:val="nil"/>
              <w:left w:val="nil"/>
              <w:bottom w:val="single" w:sz="4" w:space="0" w:color="auto"/>
              <w:right w:val="single" w:sz="4" w:space="0" w:color="auto"/>
            </w:tcBorders>
            <w:shd w:val="clear" w:color="auto" w:fill="auto"/>
            <w:vAlign w:val="center"/>
          </w:tcPr>
          <w:p w14:paraId="44B65CF5" w14:textId="149F89DA" w:rsidR="001C2D62" w:rsidRPr="00A60C7D" w:rsidRDefault="001C2D62" w:rsidP="001C2D62">
            <w:pPr>
              <w:keepNext/>
              <w:tabs>
                <w:tab w:val="decimal" w:pos="627"/>
              </w:tabs>
              <w:spacing w:after="120" w:line="240" w:lineRule="auto"/>
              <w:rPr>
                <w:rFonts w:ascii="Calibri" w:eastAsia="Times New Roman" w:hAnsi="Calibri" w:cs="Calibri"/>
                <w:color w:val="000000"/>
                <w:lang w:eastAsia="en-GB"/>
              </w:rPr>
            </w:pPr>
            <w:r>
              <w:rPr>
                <w:rFonts w:ascii="Calibri" w:hAnsi="Calibri" w:cs="Calibri"/>
                <w:color w:val="000000"/>
              </w:rPr>
              <w:t>1,193.00</w:t>
            </w:r>
          </w:p>
        </w:tc>
        <w:tc>
          <w:tcPr>
            <w:tcW w:w="571" w:type="pct"/>
            <w:tcBorders>
              <w:top w:val="nil"/>
              <w:left w:val="nil"/>
              <w:bottom w:val="single" w:sz="4" w:space="0" w:color="auto"/>
              <w:right w:val="single" w:sz="4" w:space="0" w:color="auto"/>
            </w:tcBorders>
            <w:shd w:val="clear" w:color="auto" w:fill="auto"/>
            <w:vAlign w:val="center"/>
            <w:hideMark/>
          </w:tcPr>
          <w:p w14:paraId="2319095C" w14:textId="7D2D86C9" w:rsidR="001C2D62" w:rsidRPr="005A168C" w:rsidRDefault="001C2D62" w:rsidP="001C2D62">
            <w:pPr>
              <w:keepNext/>
              <w:tabs>
                <w:tab w:val="decimal" w:pos="627"/>
              </w:tabs>
              <w:spacing w:after="120" w:line="240" w:lineRule="auto"/>
              <w:rPr>
                <w:rFonts w:cstheme="minorHAnsi"/>
                <w:color w:val="000000"/>
              </w:rPr>
            </w:pPr>
            <w:r>
              <w:rPr>
                <w:rFonts w:cstheme="minorHAnsi"/>
                <w:color w:val="000000"/>
              </w:rPr>
              <w:t>1,076.7</w:t>
            </w:r>
          </w:p>
        </w:tc>
        <w:tc>
          <w:tcPr>
            <w:tcW w:w="572" w:type="pct"/>
            <w:tcBorders>
              <w:top w:val="nil"/>
              <w:left w:val="nil"/>
              <w:bottom w:val="single" w:sz="4" w:space="0" w:color="auto"/>
              <w:right w:val="single" w:sz="4" w:space="0" w:color="auto"/>
            </w:tcBorders>
            <w:shd w:val="clear" w:color="auto" w:fill="auto"/>
            <w:vAlign w:val="center"/>
            <w:hideMark/>
          </w:tcPr>
          <w:p w14:paraId="1288C68C" w14:textId="4FF63789" w:rsidR="001C2D62" w:rsidRPr="005A168C" w:rsidRDefault="001C2D62" w:rsidP="001C2D62">
            <w:pPr>
              <w:keepNext/>
              <w:tabs>
                <w:tab w:val="decimal" w:pos="627"/>
              </w:tabs>
              <w:spacing w:after="120" w:line="240" w:lineRule="auto"/>
              <w:rPr>
                <w:rFonts w:cstheme="minorHAnsi"/>
                <w:color w:val="000000"/>
              </w:rPr>
            </w:pPr>
            <w:r w:rsidRPr="005A168C">
              <w:rPr>
                <w:rFonts w:cstheme="minorHAnsi"/>
                <w:color w:val="000000"/>
              </w:rPr>
              <w:t>1,005.5</w:t>
            </w:r>
          </w:p>
        </w:tc>
        <w:tc>
          <w:tcPr>
            <w:tcW w:w="572" w:type="pct"/>
            <w:tcBorders>
              <w:top w:val="nil"/>
              <w:left w:val="nil"/>
              <w:bottom w:val="single" w:sz="4" w:space="0" w:color="auto"/>
              <w:right w:val="single" w:sz="4" w:space="0" w:color="auto"/>
            </w:tcBorders>
            <w:shd w:val="clear" w:color="auto" w:fill="E2EFD9" w:themeFill="accent6" w:themeFillTint="33"/>
          </w:tcPr>
          <w:p w14:paraId="3CAA0231" w14:textId="155891EC" w:rsidR="001C2D62" w:rsidRPr="00A60C7D" w:rsidRDefault="001C2D62" w:rsidP="001C2D62">
            <w:pPr>
              <w:spacing w:after="120" w:line="240" w:lineRule="auto"/>
              <w:jc w:val="center"/>
              <w:rPr>
                <w:rFonts w:ascii="Calibri" w:eastAsia="Times New Roman" w:hAnsi="Calibri" w:cs="Calibri"/>
                <w:color w:val="000000"/>
                <w:lang w:eastAsia="en-GB"/>
              </w:rPr>
            </w:pPr>
            <w:r w:rsidRPr="0094635C">
              <w:rPr>
                <w:b/>
                <w:bCs/>
              </w:rPr>
              <w:t>[</w:t>
            </w:r>
            <w:r>
              <w:rPr>
                <w:b/>
                <w:bCs/>
              </w:rPr>
              <w:t>e</w:t>
            </w:r>
            <w:r w:rsidRPr="0094635C">
              <w:rPr>
                <w:b/>
                <w:bCs/>
              </w:rPr>
              <w:t>]</w:t>
            </w:r>
          </w:p>
        </w:tc>
      </w:tr>
      <w:tr w:rsidR="001C2D62" w:rsidRPr="00A60C7D" w14:paraId="78105A65" w14:textId="6122F00F" w:rsidTr="0082095A">
        <w:trPr>
          <w:trHeight w:val="288"/>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38033DAF" w14:textId="77777777" w:rsidR="001C2D62" w:rsidRPr="00A60C7D" w:rsidRDefault="001C2D62" w:rsidP="001C2D62">
            <w:pPr>
              <w:spacing w:after="120" w:line="240" w:lineRule="auto"/>
              <w:jc w:val="center"/>
              <w:rPr>
                <w:rFonts w:ascii="Calibri" w:eastAsia="Times New Roman" w:hAnsi="Calibri" w:cs="Calibri"/>
                <w:color w:val="000000"/>
                <w:lang w:eastAsia="en-GB"/>
              </w:rPr>
            </w:pPr>
            <w:r w:rsidRPr="00A60C7D">
              <w:rPr>
                <w:rFonts w:ascii="Calibri" w:eastAsia="Times New Roman" w:hAnsi="Calibri" w:cs="Calibri"/>
                <w:color w:val="000000"/>
                <w:lang w:eastAsia="en-GB"/>
              </w:rPr>
              <w:t>17</w:t>
            </w:r>
          </w:p>
        </w:tc>
        <w:tc>
          <w:tcPr>
            <w:tcW w:w="2215" w:type="pct"/>
            <w:tcBorders>
              <w:top w:val="nil"/>
              <w:left w:val="nil"/>
              <w:bottom w:val="single" w:sz="4" w:space="0" w:color="auto"/>
              <w:right w:val="single" w:sz="4" w:space="0" w:color="auto"/>
            </w:tcBorders>
            <w:shd w:val="clear" w:color="auto" w:fill="auto"/>
            <w:vAlign w:val="center"/>
            <w:hideMark/>
          </w:tcPr>
          <w:p w14:paraId="6F6221A9" w14:textId="77777777" w:rsidR="001C2D62" w:rsidRPr="00A60C7D" w:rsidRDefault="001C2D62" w:rsidP="001C2D62">
            <w:pPr>
              <w:spacing w:after="120" w:line="240" w:lineRule="auto"/>
              <w:jc w:val="both"/>
              <w:rPr>
                <w:rFonts w:ascii="Calibri" w:eastAsia="Times New Roman" w:hAnsi="Calibri" w:cs="Calibri"/>
                <w:color w:val="000000"/>
                <w:lang w:eastAsia="en-GB"/>
              </w:rPr>
            </w:pPr>
            <w:r w:rsidRPr="00A60C7D">
              <w:rPr>
                <w:rFonts w:ascii="Calibri" w:eastAsia="Times New Roman" w:hAnsi="Calibri" w:cs="Calibri"/>
                <w:color w:val="000000"/>
                <w:lang w:eastAsia="en-GB"/>
              </w:rPr>
              <w:t>Liquidity coverage ratio (%)</w:t>
            </w:r>
          </w:p>
        </w:tc>
        <w:tc>
          <w:tcPr>
            <w:tcW w:w="571" w:type="pct"/>
            <w:tcBorders>
              <w:top w:val="nil"/>
              <w:left w:val="nil"/>
              <w:bottom w:val="single" w:sz="4" w:space="0" w:color="auto"/>
              <w:right w:val="single" w:sz="4" w:space="0" w:color="auto"/>
            </w:tcBorders>
            <w:shd w:val="clear" w:color="auto" w:fill="auto"/>
            <w:vAlign w:val="center"/>
          </w:tcPr>
          <w:p w14:paraId="22B24E5A" w14:textId="477820D3" w:rsidR="001C2D62" w:rsidRPr="00A60C7D" w:rsidRDefault="001C2D62" w:rsidP="001C2D62">
            <w:pPr>
              <w:keepNext/>
              <w:tabs>
                <w:tab w:val="decimal" w:pos="627"/>
              </w:tabs>
              <w:spacing w:after="120" w:line="240" w:lineRule="auto"/>
              <w:rPr>
                <w:rFonts w:ascii="Calibri" w:eastAsia="Times New Roman" w:hAnsi="Calibri" w:cs="Calibri"/>
                <w:color w:val="000000"/>
                <w:lang w:eastAsia="en-GB"/>
              </w:rPr>
            </w:pPr>
            <w:r>
              <w:rPr>
                <w:rFonts w:ascii="Calibri" w:hAnsi="Calibri" w:cs="Calibri"/>
                <w:color w:val="000000"/>
              </w:rPr>
              <w:t>218.2</w:t>
            </w:r>
          </w:p>
        </w:tc>
        <w:tc>
          <w:tcPr>
            <w:tcW w:w="571" w:type="pct"/>
            <w:tcBorders>
              <w:top w:val="nil"/>
              <w:left w:val="nil"/>
              <w:bottom w:val="single" w:sz="4" w:space="0" w:color="auto"/>
              <w:right w:val="single" w:sz="4" w:space="0" w:color="auto"/>
            </w:tcBorders>
            <w:shd w:val="clear" w:color="auto" w:fill="auto"/>
            <w:vAlign w:val="center"/>
            <w:hideMark/>
          </w:tcPr>
          <w:p w14:paraId="2D749336" w14:textId="5698C4FB" w:rsidR="001C2D62" w:rsidRPr="005A168C" w:rsidRDefault="001C2D62" w:rsidP="001C2D62">
            <w:pPr>
              <w:keepNext/>
              <w:tabs>
                <w:tab w:val="decimal" w:pos="627"/>
              </w:tabs>
              <w:spacing w:after="120" w:line="240" w:lineRule="auto"/>
              <w:rPr>
                <w:rFonts w:cstheme="minorHAnsi"/>
                <w:color w:val="000000"/>
              </w:rPr>
            </w:pPr>
            <w:r>
              <w:rPr>
                <w:rFonts w:cstheme="minorHAnsi"/>
                <w:color w:val="000000"/>
              </w:rPr>
              <w:t>193.8</w:t>
            </w:r>
          </w:p>
        </w:tc>
        <w:tc>
          <w:tcPr>
            <w:tcW w:w="572" w:type="pct"/>
            <w:tcBorders>
              <w:top w:val="nil"/>
              <w:left w:val="nil"/>
              <w:bottom w:val="single" w:sz="4" w:space="0" w:color="auto"/>
              <w:right w:val="single" w:sz="4" w:space="0" w:color="auto"/>
            </w:tcBorders>
            <w:shd w:val="clear" w:color="auto" w:fill="auto"/>
            <w:vAlign w:val="center"/>
            <w:hideMark/>
          </w:tcPr>
          <w:p w14:paraId="6C404127" w14:textId="04FAE2CD" w:rsidR="001C2D62" w:rsidRPr="005A168C" w:rsidRDefault="001C2D62" w:rsidP="001C2D62">
            <w:pPr>
              <w:keepNext/>
              <w:tabs>
                <w:tab w:val="decimal" w:pos="627"/>
              </w:tabs>
              <w:spacing w:after="120" w:line="240" w:lineRule="auto"/>
              <w:rPr>
                <w:rFonts w:cstheme="minorHAnsi"/>
                <w:color w:val="000000"/>
              </w:rPr>
            </w:pPr>
            <w:r w:rsidRPr="005A168C">
              <w:rPr>
                <w:rFonts w:cstheme="minorHAnsi"/>
                <w:color w:val="000000"/>
              </w:rPr>
              <w:t>155.6</w:t>
            </w:r>
          </w:p>
        </w:tc>
        <w:tc>
          <w:tcPr>
            <w:tcW w:w="572" w:type="pct"/>
            <w:tcBorders>
              <w:top w:val="nil"/>
              <w:left w:val="nil"/>
              <w:bottom w:val="single" w:sz="4" w:space="0" w:color="auto"/>
              <w:right w:val="single" w:sz="4" w:space="0" w:color="auto"/>
            </w:tcBorders>
            <w:shd w:val="clear" w:color="auto" w:fill="E2EFD9" w:themeFill="accent6" w:themeFillTint="33"/>
          </w:tcPr>
          <w:p w14:paraId="14605C9F" w14:textId="75541082" w:rsidR="001C2D62" w:rsidRPr="00A60C7D" w:rsidRDefault="001C2D62" w:rsidP="001C2D62">
            <w:pPr>
              <w:spacing w:after="120" w:line="240" w:lineRule="auto"/>
              <w:jc w:val="center"/>
              <w:rPr>
                <w:rFonts w:ascii="Calibri" w:eastAsia="Times New Roman" w:hAnsi="Calibri" w:cs="Calibri"/>
                <w:color w:val="000000"/>
                <w:lang w:eastAsia="en-GB"/>
              </w:rPr>
            </w:pPr>
            <w:r w:rsidRPr="0094635C">
              <w:rPr>
                <w:b/>
                <w:bCs/>
              </w:rPr>
              <w:t>[</w:t>
            </w:r>
            <w:r>
              <w:rPr>
                <w:b/>
                <w:bCs/>
              </w:rPr>
              <w:t>f</w:t>
            </w:r>
            <w:r w:rsidRPr="0094635C">
              <w:rPr>
                <w:b/>
                <w:bCs/>
              </w:rPr>
              <w:t>]</w:t>
            </w:r>
          </w:p>
        </w:tc>
      </w:tr>
      <w:tr w:rsidR="00420E00" w:rsidRPr="00A60C7D" w14:paraId="06773F3A" w14:textId="4FCE0C30" w:rsidTr="00B23C9D">
        <w:trPr>
          <w:trHeight w:val="288"/>
        </w:trPr>
        <w:tc>
          <w:tcPr>
            <w:tcW w:w="499" w:type="pct"/>
            <w:tcBorders>
              <w:top w:val="nil"/>
              <w:left w:val="single" w:sz="4" w:space="0" w:color="auto"/>
              <w:bottom w:val="single" w:sz="4" w:space="0" w:color="auto"/>
              <w:right w:val="single" w:sz="4" w:space="0" w:color="auto"/>
            </w:tcBorders>
            <w:shd w:val="clear" w:color="auto" w:fill="A8D08D" w:themeFill="accent6" w:themeFillTint="99"/>
            <w:vAlign w:val="center"/>
            <w:hideMark/>
          </w:tcPr>
          <w:p w14:paraId="2668BDD1" w14:textId="77777777" w:rsidR="00420E00" w:rsidRPr="00A60C7D" w:rsidRDefault="00420E00" w:rsidP="00420E00">
            <w:pPr>
              <w:spacing w:after="120" w:line="240" w:lineRule="auto"/>
              <w:jc w:val="center"/>
              <w:rPr>
                <w:rFonts w:ascii="Calibri" w:eastAsia="Times New Roman" w:hAnsi="Calibri" w:cs="Calibri"/>
                <w:b/>
                <w:bCs/>
                <w:color w:val="000000"/>
                <w:lang w:eastAsia="en-GB"/>
              </w:rPr>
            </w:pPr>
            <w:bookmarkStart w:id="3" w:name="_Hlk104992800"/>
            <w:r w:rsidRPr="00A60C7D">
              <w:rPr>
                <w:rFonts w:ascii="Calibri" w:eastAsia="Times New Roman" w:hAnsi="Calibri" w:cs="Calibri"/>
                <w:b/>
                <w:bCs/>
                <w:color w:val="000000"/>
                <w:lang w:eastAsia="en-GB"/>
              </w:rPr>
              <w:t> </w:t>
            </w:r>
          </w:p>
        </w:tc>
        <w:tc>
          <w:tcPr>
            <w:tcW w:w="3929" w:type="pct"/>
            <w:gridSpan w:val="4"/>
            <w:tcBorders>
              <w:top w:val="single" w:sz="4" w:space="0" w:color="auto"/>
              <w:left w:val="nil"/>
              <w:bottom w:val="single" w:sz="4" w:space="0" w:color="auto"/>
              <w:right w:val="single" w:sz="4" w:space="0" w:color="000000"/>
            </w:tcBorders>
            <w:shd w:val="clear" w:color="auto" w:fill="A8D08D" w:themeFill="accent6" w:themeFillTint="99"/>
            <w:vAlign w:val="center"/>
            <w:hideMark/>
          </w:tcPr>
          <w:p w14:paraId="1B46CEC6" w14:textId="77777777" w:rsidR="00420E00" w:rsidRPr="00A60C7D" w:rsidRDefault="00420E00" w:rsidP="00420E00">
            <w:pPr>
              <w:spacing w:after="120" w:line="240" w:lineRule="auto"/>
              <w:rPr>
                <w:rFonts w:ascii="Calibri" w:eastAsia="Times New Roman" w:hAnsi="Calibri" w:cs="Calibri"/>
                <w:b/>
                <w:bCs/>
                <w:color w:val="000000"/>
                <w:lang w:eastAsia="en-GB"/>
              </w:rPr>
            </w:pPr>
            <w:r w:rsidRPr="00A60C7D">
              <w:rPr>
                <w:rFonts w:ascii="Calibri" w:eastAsia="Times New Roman" w:hAnsi="Calibri" w:cs="Calibri"/>
                <w:b/>
                <w:bCs/>
                <w:color w:val="000000"/>
                <w:lang w:eastAsia="en-GB"/>
              </w:rPr>
              <w:t>Net Stable Funding Ratio</w:t>
            </w:r>
          </w:p>
        </w:tc>
        <w:tc>
          <w:tcPr>
            <w:tcW w:w="572" w:type="pct"/>
            <w:tcBorders>
              <w:top w:val="single" w:sz="4" w:space="0" w:color="auto"/>
              <w:left w:val="nil"/>
              <w:bottom w:val="single" w:sz="4" w:space="0" w:color="auto"/>
              <w:right w:val="single" w:sz="4" w:space="0" w:color="000000"/>
            </w:tcBorders>
            <w:shd w:val="clear" w:color="auto" w:fill="A8D08D" w:themeFill="accent6" w:themeFillTint="99"/>
          </w:tcPr>
          <w:p w14:paraId="2EB671C5" w14:textId="77777777" w:rsidR="00420E00" w:rsidRPr="00A60C7D" w:rsidRDefault="00420E00" w:rsidP="00420E00">
            <w:pPr>
              <w:spacing w:after="120" w:line="240" w:lineRule="auto"/>
              <w:rPr>
                <w:rFonts w:ascii="Calibri" w:eastAsia="Times New Roman" w:hAnsi="Calibri" w:cs="Calibri"/>
                <w:b/>
                <w:bCs/>
                <w:color w:val="000000"/>
                <w:lang w:eastAsia="en-GB"/>
              </w:rPr>
            </w:pPr>
          </w:p>
        </w:tc>
      </w:tr>
      <w:tr w:rsidR="001C2D62" w:rsidRPr="00A60C7D" w14:paraId="438213A3" w14:textId="28374E5C" w:rsidTr="0082095A">
        <w:trPr>
          <w:trHeight w:val="288"/>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27C13783" w14:textId="77777777" w:rsidR="001C2D62" w:rsidRPr="00A60C7D" w:rsidRDefault="001C2D62" w:rsidP="001C2D62">
            <w:pPr>
              <w:spacing w:after="120" w:line="240" w:lineRule="auto"/>
              <w:jc w:val="center"/>
              <w:rPr>
                <w:rFonts w:ascii="Calibri" w:eastAsia="Times New Roman" w:hAnsi="Calibri" w:cs="Calibri"/>
                <w:color w:val="000000"/>
                <w:lang w:eastAsia="en-GB"/>
              </w:rPr>
            </w:pPr>
            <w:r w:rsidRPr="00A60C7D">
              <w:rPr>
                <w:rFonts w:ascii="Calibri" w:eastAsia="Times New Roman" w:hAnsi="Calibri" w:cs="Calibri"/>
                <w:color w:val="000000"/>
                <w:lang w:eastAsia="en-GB"/>
              </w:rPr>
              <w:t>18</w:t>
            </w:r>
          </w:p>
        </w:tc>
        <w:tc>
          <w:tcPr>
            <w:tcW w:w="2215" w:type="pct"/>
            <w:tcBorders>
              <w:top w:val="nil"/>
              <w:left w:val="nil"/>
              <w:bottom w:val="single" w:sz="4" w:space="0" w:color="auto"/>
              <w:right w:val="single" w:sz="4" w:space="0" w:color="auto"/>
            </w:tcBorders>
            <w:shd w:val="clear" w:color="auto" w:fill="auto"/>
            <w:vAlign w:val="center"/>
            <w:hideMark/>
          </w:tcPr>
          <w:p w14:paraId="3A7B7335" w14:textId="77777777" w:rsidR="001C2D62" w:rsidRPr="00A60C7D" w:rsidRDefault="001C2D62" w:rsidP="001C2D62">
            <w:pPr>
              <w:spacing w:after="120" w:line="240" w:lineRule="auto"/>
              <w:jc w:val="both"/>
              <w:rPr>
                <w:rFonts w:ascii="Calibri" w:eastAsia="Times New Roman" w:hAnsi="Calibri" w:cs="Calibri"/>
                <w:color w:val="000000"/>
                <w:lang w:eastAsia="en-GB"/>
              </w:rPr>
            </w:pPr>
            <w:r w:rsidRPr="00A60C7D">
              <w:rPr>
                <w:rFonts w:ascii="Calibri" w:eastAsia="Times New Roman" w:hAnsi="Calibri" w:cs="Calibri"/>
                <w:color w:val="000000"/>
                <w:lang w:eastAsia="en-GB"/>
              </w:rPr>
              <w:t>Total available stable funding</w:t>
            </w:r>
          </w:p>
        </w:tc>
        <w:tc>
          <w:tcPr>
            <w:tcW w:w="571" w:type="pct"/>
            <w:tcBorders>
              <w:top w:val="nil"/>
              <w:left w:val="nil"/>
              <w:bottom w:val="single" w:sz="4" w:space="0" w:color="auto"/>
              <w:right w:val="single" w:sz="4" w:space="0" w:color="auto"/>
            </w:tcBorders>
            <w:shd w:val="clear" w:color="auto" w:fill="auto"/>
            <w:vAlign w:val="center"/>
          </w:tcPr>
          <w:p w14:paraId="2CFF9132" w14:textId="002F06E3" w:rsidR="001C2D62" w:rsidRPr="00A60C7D" w:rsidRDefault="001C2D62" w:rsidP="001C2D62">
            <w:pPr>
              <w:keepNext/>
              <w:tabs>
                <w:tab w:val="decimal" w:pos="627"/>
              </w:tabs>
              <w:spacing w:after="120" w:line="240" w:lineRule="auto"/>
              <w:rPr>
                <w:rFonts w:ascii="Calibri" w:eastAsia="Times New Roman" w:hAnsi="Calibri" w:cs="Calibri"/>
                <w:color w:val="000000"/>
                <w:lang w:eastAsia="en-GB"/>
              </w:rPr>
            </w:pPr>
            <w:r>
              <w:rPr>
                <w:rFonts w:ascii="Calibri" w:hAnsi="Calibri" w:cs="Calibri"/>
                <w:color w:val="000000"/>
              </w:rPr>
              <w:t>18,576.1</w:t>
            </w:r>
          </w:p>
        </w:tc>
        <w:tc>
          <w:tcPr>
            <w:tcW w:w="571" w:type="pct"/>
            <w:tcBorders>
              <w:top w:val="nil"/>
              <w:left w:val="nil"/>
              <w:bottom w:val="single" w:sz="4" w:space="0" w:color="auto"/>
              <w:right w:val="single" w:sz="4" w:space="0" w:color="auto"/>
            </w:tcBorders>
            <w:shd w:val="clear" w:color="auto" w:fill="auto"/>
            <w:vAlign w:val="center"/>
            <w:hideMark/>
          </w:tcPr>
          <w:p w14:paraId="6371F5F1" w14:textId="52FDEF3E" w:rsidR="001C2D62" w:rsidRPr="005A168C" w:rsidRDefault="001C2D62" w:rsidP="001C2D62">
            <w:pPr>
              <w:keepNext/>
              <w:tabs>
                <w:tab w:val="decimal" w:pos="627"/>
              </w:tabs>
              <w:spacing w:after="120" w:line="240" w:lineRule="auto"/>
              <w:rPr>
                <w:rFonts w:cstheme="minorHAnsi"/>
                <w:color w:val="000000"/>
              </w:rPr>
            </w:pPr>
            <w:r w:rsidRPr="006D0929">
              <w:rPr>
                <w:rFonts w:cstheme="minorHAnsi"/>
                <w:color w:val="000000"/>
              </w:rPr>
              <w:t>17,543.6</w:t>
            </w:r>
          </w:p>
        </w:tc>
        <w:tc>
          <w:tcPr>
            <w:tcW w:w="572" w:type="pct"/>
            <w:tcBorders>
              <w:top w:val="nil"/>
              <w:left w:val="nil"/>
              <w:bottom w:val="single" w:sz="4" w:space="0" w:color="auto"/>
              <w:right w:val="single" w:sz="4" w:space="0" w:color="auto"/>
            </w:tcBorders>
            <w:shd w:val="clear" w:color="auto" w:fill="auto"/>
            <w:vAlign w:val="center"/>
            <w:hideMark/>
          </w:tcPr>
          <w:p w14:paraId="25F50308" w14:textId="0FF6C282" w:rsidR="001C2D62" w:rsidRPr="005A168C" w:rsidRDefault="001C2D62" w:rsidP="001C2D62">
            <w:pPr>
              <w:keepNext/>
              <w:tabs>
                <w:tab w:val="decimal" w:pos="627"/>
              </w:tabs>
              <w:spacing w:after="120" w:line="240" w:lineRule="auto"/>
              <w:rPr>
                <w:rFonts w:cstheme="minorHAnsi"/>
                <w:color w:val="000000"/>
              </w:rPr>
            </w:pPr>
            <w:r w:rsidRPr="005A168C">
              <w:rPr>
                <w:rFonts w:cstheme="minorHAnsi"/>
                <w:color w:val="000000"/>
              </w:rPr>
              <w:t>16,874.6</w:t>
            </w:r>
          </w:p>
        </w:tc>
        <w:tc>
          <w:tcPr>
            <w:tcW w:w="572" w:type="pct"/>
            <w:tcBorders>
              <w:top w:val="nil"/>
              <w:left w:val="nil"/>
              <w:bottom w:val="single" w:sz="4" w:space="0" w:color="auto"/>
              <w:right w:val="single" w:sz="4" w:space="0" w:color="auto"/>
            </w:tcBorders>
            <w:shd w:val="clear" w:color="auto" w:fill="E2EFD9" w:themeFill="accent6" w:themeFillTint="33"/>
          </w:tcPr>
          <w:p w14:paraId="6CC5F74F" w14:textId="63A9C9EA" w:rsidR="001C2D62" w:rsidRPr="00A60C7D" w:rsidRDefault="001C2D62" w:rsidP="001C2D62">
            <w:pPr>
              <w:spacing w:after="120" w:line="240" w:lineRule="auto"/>
              <w:jc w:val="center"/>
              <w:rPr>
                <w:rFonts w:ascii="Calibri" w:eastAsia="Times New Roman" w:hAnsi="Calibri" w:cs="Calibri"/>
                <w:color w:val="000000"/>
                <w:lang w:eastAsia="en-GB"/>
              </w:rPr>
            </w:pPr>
            <w:r w:rsidRPr="001D7B1E">
              <w:rPr>
                <w:b/>
                <w:bCs/>
              </w:rPr>
              <w:t>[</w:t>
            </w:r>
            <w:r>
              <w:rPr>
                <w:b/>
                <w:bCs/>
              </w:rPr>
              <w:t>g</w:t>
            </w:r>
            <w:r w:rsidRPr="001D7B1E">
              <w:rPr>
                <w:b/>
                <w:bCs/>
              </w:rPr>
              <w:t>]</w:t>
            </w:r>
          </w:p>
        </w:tc>
      </w:tr>
      <w:tr w:rsidR="001C2D62" w:rsidRPr="00A60C7D" w14:paraId="6EFFB4D5" w14:textId="01AD9461" w:rsidTr="0082095A">
        <w:trPr>
          <w:trHeight w:val="288"/>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703823DC" w14:textId="77777777" w:rsidR="001C2D62" w:rsidRPr="00A60C7D" w:rsidRDefault="001C2D62" w:rsidP="001C2D62">
            <w:pPr>
              <w:spacing w:after="120" w:line="240" w:lineRule="auto"/>
              <w:jc w:val="center"/>
              <w:rPr>
                <w:rFonts w:ascii="Calibri" w:eastAsia="Times New Roman" w:hAnsi="Calibri" w:cs="Calibri"/>
                <w:color w:val="000000"/>
                <w:lang w:eastAsia="en-GB"/>
              </w:rPr>
            </w:pPr>
            <w:r w:rsidRPr="00A60C7D">
              <w:rPr>
                <w:rFonts w:ascii="Calibri" w:eastAsia="Times New Roman" w:hAnsi="Calibri" w:cs="Calibri"/>
                <w:color w:val="000000"/>
                <w:lang w:eastAsia="en-GB"/>
              </w:rPr>
              <w:t>19</w:t>
            </w:r>
          </w:p>
        </w:tc>
        <w:tc>
          <w:tcPr>
            <w:tcW w:w="2215" w:type="pct"/>
            <w:tcBorders>
              <w:top w:val="nil"/>
              <w:left w:val="nil"/>
              <w:bottom w:val="single" w:sz="4" w:space="0" w:color="auto"/>
              <w:right w:val="single" w:sz="4" w:space="0" w:color="auto"/>
            </w:tcBorders>
            <w:shd w:val="clear" w:color="auto" w:fill="auto"/>
            <w:noWrap/>
            <w:vAlign w:val="bottom"/>
            <w:hideMark/>
          </w:tcPr>
          <w:p w14:paraId="34C4B259" w14:textId="77777777" w:rsidR="001C2D62" w:rsidRPr="00A60C7D" w:rsidRDefault="001C2D62" w:rsidP="001C2D62">
            <w:pPr>
              <w:spacing w:after="120" w:line="240" w:lineRule="auto"/>
              <w:rPr>
                <w:rFonts w:ascii="Calibri" w:eastAsia="Times New Roman" w:hAnsi="Calibri" w:cs="Calibri"/>
                <w:color w:val="000000"/>
                <w:lang w:eastAsia="en-GB"/>
              </w:rPr>
            </w:pPr>
            <w:r w:rsidRPr="00A60C7D">
              <w:rPr>
                <w:rFonts w:ascii="Calibri" w:eastAsia="Times New Roman" w:hAnsi="Calibri" w:cs="Calibri"/>
                <w:color w:val="000000"/>
                <w:lang w:eastAsia="en-GB"/>
              </w:rPr>
              <w:t>Total required stable funding</w:t>
            </w:r>
          </w:p>
        </w:tc>
        <w:tc>
          <w:tcPr>
            <w:tcW w:w="571" w:type="pct"/>
            <w:tcBorders>
              <w:top w:val="nil"/>
              <w:left w:val="nil"/>
              <w:bottom w:val="single" w:sz="4" w:space="0" w:color="auto"/>
              <w:right w:val="single" w:sz="4" w:space="0" w:color="auto"/>
            </w:tcBorders>
            <w:shd w:val="clear" w:color="auto" w:fill="auto"/>
            <w:vAlign w:val="center"/>
          </w:tcPr>
          <w:p w14:paraId="78FACAE2" w14:textId="2727D6CF" w:rsidR="001C2D62" w:rsidRPr="00A60C7D" w:rsidRDefault="001C2D62" w:rsidP="001C2D62">
            <w:pPr>
              <w:keepNext/>
              <w:tabs>
                <w:tab w:val="decimal" w:pos="627"/>
              </w:tabs>
              <w:spacing w:after="120" w:line="240" w:lineRule="auto"/>
              <w:rPr>
                <w:rFonts w:ascii="Calibri" w:eastAsia="Times New Roman" w:hAnsi="Calibri" w:cs="Calibri"/>
                <w:color w:val="000000"/>
                <w:lang w:eastAsia="en-GB"/>
              </w:rPr>
            </w:pPr>
            <w:r>
              <w:rPr>
                <w:rFonts w:ascii="Calibri" w:hAnsi="Calibri" w:cs="Calibri"/>
                <w:color w:val="000000"/>
              </w:rPr>
              <w:t>13,975.3</w:t>
            </w:r>
          </w:p>
        </w:tc>
        <w:tc>
          <w:tcPr>
            <w:tcW w:w="571" w:type="pct"/>
            <w:tcBorders>
              <w:top w:val="nil"/>
              <w:left w:val="nil"/>
              <w:bottom w:val="single" w:sz="4" w:space="0" w:color="auto"/>
              <w:right w:val="single" w:sz="4" w:space="0" w:color="auto"/>
            </w:tcBorders>
            <w:shd w:val="clear" w:color="auto" w:fill="auto"/>
            <w:vAlign w:val="center"/>
            <w:hideMark/>
          </w:tcPr>
          <w:p w14:paraId="4846360A" w14:textId="72CFF244" w:rsidR="001C2D62" w:rsidRPr="005A168C" w:rsidRDefault="001C2D62" w:rsidP="001C2D62">
            <w:pPr>
              <w:keepNext/>
              <w:tabs>
                <w:tab w:val="decimal" w:pos="627"/>
              </w:tabs>
              <w:spacing w:after="120" w:line="240" w:lineRule="auto"/>
              <w:rPr>
                <w:rFonts w:cstheme="minorHAnsi"/>
                <w:color w:val="000000"/>
              </w:rPr>
            </w:pPr>
            <w:r w:rsidRPr="006D0929">
              <w:rPr>
                <w:rFonts w:cstheme="minorHAnsi"/>
                <w:color w:val="000000"/>
              </w:rPr>
              <w:t>13,706.8</w:t>
            </w:r>
          </w:p>
        </w:tc>
        <w:tc>
          <w:tcPr>
            <w:tcW w:w="572" w:type="pct"/>
            <w:tcBorders>
              <w:top w:val="nil"/>
              <w:left w:val="nil"/>
              <w:bottom w:val="single" w:sz="4" w:space="0" w:color="auto"/>
              <w:right w:val="single" w:sz="4" w:space="0" w:color="auto"/>
            </w:tcBorders>
            <w:shd w:val="clear" w:color="auto" w:fill="auto"/>
            <w:vAlign w:val="center"/>
            <w:hideMark/>
          </w:tcPr>
          <w:p w14:paraId="4893F3E0" w14:textId="32511FCB" w:rsidR="001C2D62" w:rsidRPr="005A168C" w:rsidRDefault="001C2D62" w:rsidP="001C2D62">
            <w:pPr>
              <w:keepNext/>
              <w:tabs>
                <w:tab w:val="decimal" w:pos="627"/>
              </w:tabs>
              <w:spacing w:after="120" w:line="240" w:lineRule="auto"/>
              <w:rPr>
                <w:rFonts w:cstheme="minorHAnsi"/>
                <w:color w:val="000000"/>
              </w:rPr>
            </w:pPr>
            <w:r w:rsidRPr="005A168C">
              <w:rPr>
                <w:rFonts w:cstheme="minorHAnsi"/>
                <w:color w:val="000000"/>
              </w:rPr>
              <w:t>13,690.4</w:t>
            </w:r>
          </w:p>
        </w:tc>
        <w:tc>
          <w:tcPr>
            <w:tcW w:w="572" w:type="pct"/>
            <w:tcBorders>
              <w:top w:val="nil"/>
              <w:left w:val="nil"/>
              <w:bottom w:val="single" w:sz="4" w:space="0" w:color="auto"/>
              <w:right w:val="single" w:sz="4" w:space="0" w:color="auto"/>
            </w:tcBorders>
            <w:shd w:val="clear" w:color="auto" w:fill="E2EFD9" w:themeFill="accent6" w:themeFillTint="33"/>
          </w:tcPr>
          <w:p w14:paraId="7B21F852" w14:textId="2C2CE52A" w:rsidR="001C2D62" w:rsidRPr="00A60C7D" w:rsidRDefault="001C2D62" w:rsidP="001C2D62">
            <w:pPr>
              <w:spacing w:after="120" w:line="240" w:lineRule="auto"/>
              <w:jc w:val="center"/>
              <w:rPr>
                <w:rFonts w:ascii="Calibri" w:eastAsia="Times New Roman" w:hAnsi="Calibri" w:cs="Calibri"/>
                <w:color w:val="000000"/>
                <w:lang w:eastAsia="en-GB"/>
              </w:rPr>
            </w:pPr>
            <w:r w:rsidRPr="001D7B1E">
              <w:rPr>
                <w:b/>
                <w:bCs/>
              </w:rPr>
              <w:t>[</w:t>
            </w:r>
            <w:r>
              <w:rPr>
                <w:b/>
                <w:bCs/>
              </w:rPr>
              <w:t>g</w:t>
            </w:r>
            <w:r w:rsidRPr="001D7B1E">
              <w:rPr>
                <w:b/>
                <w:bCs/>
              </w:rPr>
              <w:t>]</w:t>
            </w:r>
          </w:p>
        </w:tc>
      </w:tr>
      <w:tr w:rsidR="001C2D62" w:rsidRPr="00A60C7D" w14:paraId="08A23C66" w14:textId="61404CA3" w:rsidTr="00E91934">
        <w:trPr>
          <w:trHeight w:val="288"/>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62C95520" w14:textId="77777777" w:rsidR="001C2D62" w:rsidRPr="00A60C7D" w:rsidRDefault="001C2D62" w:rsidP="001C2D62">
            <w:pPr>
              <w:spacing w:after="120" w:line="240" w:lineRule="auto"/>
              <w:jc w:val="center"/>
              <w:rPr>
                <w:rFonts w:ascii="Calibri" w:eastAsia="Times New Roman" w:hAnsi="Calibri" w:cs="Calibri"/>
                <w:color w:val="000000"/>
                <w:lang w:eastAsia="en-GB"/>
              </w:rPr>
            </w:pPr>
            <w:r w:rsidRPr="00A60C7D">
              <w:rPr>
                <w:rFonts w:ascii="Calibri" w:eastAsia="Times New Roman" w:hAnsi="Calibri" w:cs="Calibri"/>
                <w:color w:val="000000"/>
                <w:lang w:eastAsia="en-GB"/>
              </w:rPr>
              <w:t>20</w:t>
            </w:r>
          </w:p>
        </w:tc>
        <w:tc>
          <w:tcPr>
            <w:tcW w:w="2215" w:type="pct"/>
            <w:tcBorders>
              <w:top w:val="nil"/>
              <w:left w:val="nil"/>
              <w:bottom w:val="single" w:sz="4" w:space="0" w:color="auto"/>
              <w:right w:val="single" w:sz="4" w:space="0" w:color="auto"/>
            </w:tcBorders>
            <w:shd w:val="clear" w:color="auto" w:fill="auto"/>
            <w:vAlign w:val="center"/>
            <w:hideMark/>
          </w:tcPr>
          <w:p w14:paraId="60D38F4E" w14:textId="77777777" w:rsidR="001C2D62" w:rsidRPr="00A60C7D" w:rsidRDefault="001C2D62" w:rsidP="001C2D62">
            <w:pPr>
              <w:spacing w:after="120" w:line="240" w:lineRule="auto"/>
              <w:jc w:val="both"/>
              <w:rPr>
                <w:rFonts w:ascii="Calibri" w:eastAsia="Times New Roman" w:hAnsi="Calibri" w:cs="Calibri"/>
                <w:color w:val="000000"/>
                <w:lang w:eastAsia="en-GB"/>
              </w:rPr>
            </w:pPr>
            <w:r w:rsidRPr="00A60C7D">
              <w:rPr>
                <w:rFonts w:ascii="Calibri" w:eastAsia="Times New Roman" w:hAnsi="Calibri" w:cs="Calibri"/>
                <w:color w:val="000000"/>
                <w:lang w:eastAsia="en-GB"/>
              </w:rPr>
              <w:t>NSFR ratio (%)</w:t>
            </w:r>
          </w:p>
        </w:tc>
        <w:tc>
          <w:tcPr>
            <w:tcW w:w="571" w:type="pct"/>
            <w:tcBorders>
              <w:top w:val="nil"/>
              <w:left w:val="nil"/>
              <w:bottom w:val="single" w:sz="4" w:space="0" w:color="auto"/>
              <w:right w:val="single" w:sz="4" w:space="0" w:color="auto"/>
            </w:tcBorders>
            <w:shd w:val="clear" w:color="auto" w:fill="auto"/>
            <w:vAlign w:val="center"/>
          </w:tcPr>
          <w:p w14:paraId="2F2D85A5" w14:textId="2C0613B6" w:rsidR="001C2D62" w:rsidRPr="00A60C7D" w:rsidRDefault="001C2D62" w:rsidP="001C2D62">
            <w:pPr>
              <w:keepNext/>
              <w:tabs>
                <w:tab w:val="decimal" w:pos="627"/>
              </w:tabs>
              <w:spacing w:after="120" w:line="240" w:lineRule="auto"/>
              <w:rPr>
                <w:rFonts w:ascii="Calibri" w:eastAsia="Times New Roman" w:hAnsi="Calibri" w:cs="Calibri"/>
                <w:color w:val="000000"/>
                <w:lang w:eastAsia="en-GB"/>
              </w:rPr>
            </w:pPr>
            <w:r>
              <w:rPr>
                <w:rFonts w:ascii="Calibri" w:hAnsi="Calibri" w:cs="Calibri"/>
                <w:color w:val="000000"/>
              </w:rPr>
              <w:t>132.9</w:t>
            </w:r>
          </w:p>
        </w:tc>
        <w:tc>
          <w:tcPr>
            <w:tcW w:w="571" w:type="pct"/>
            <w:tcBorders>
              <w:top w:val="nil"/>
              <w:left w:val="nil"/>
              <w:bottom w:val="single" w:sz="4" w:space="0" w:color="auto"/>
              <w:right w:val="single" w:sz="4" w:space="0" w:color="auto"/>
            </w:tcBorders>
            <w:shd w:val="clear" w:color="auto" w:fill="auto"/>
            <w:vAlign w:val="center"/>
          </w:tcPr>
          <w:p w14:paraId="006CCA69" w14:textId="2E8E0541" w:rsidR="001C2D62" w:rsidRPr="005A168C" w:rsidRDefault="001C2D62" w:rsidP="001C2D62">
            <w:pPr>
              <w:keepNext/>
              <w:tabs>
                <w:tab w:val="decimal" w:pos="627"/>
              </w:tabs>
              <w:spacing w:after="120" w:line="240" w:lineRule="auto"/>
              <w:rPr>
                <w:rFonts w:cstheme="minorHAnsi"/>
                <w:color w:val="000000"/>
              </w:rPr>
            </w:pPr>
            <w:r w:rsidRPr="00EE5782">
              <w:rPr>
                <w:rFonts w:cstheme="minorHAnsi"/>
                <w:color w:val="000000"/>
              </w:rPr>
              <w:t>128.0</w:t>
            </w:r>
          </w:p>
        </w:tc>
        <w:tc>
          <w:tcPr>
            <w:tcW w:w="572" w:type="pct"/>
            <w:tcBorders>
              <w:top w:val="nil"/>
              <w:left w:val="nil"/>
              <w:bottom w:val="single" w:sz="4" w:space="0" w:color="auto"/>
              <w:right w:val="single" w:sz="4" w:space="0" w:color="auto"/>
            </w:tcBorders>
            <w:shd w:val="clear" w:color="auto" w:fill="auto"/>
            <w:vAlign w:val="center"/>
          </w:tcPr>
          <w:p w14:paraId="689DCBD9" w14:textId="6C93D553" w:rsidR="001C2D62" w:rsidRPr="005A168C" w:rsidRDefault="001C2D62" w:rsidP="001C2D62">
            <w:pPr>
              <w:keepNext/>
              <w:tabs>
                <w:tab w:val="decimal" w:pos="627"/>
              </w:tabs>
              <w:spacing w:after="120" w:line="240" w:lineRule="auto"/>
              <w:rPr>
                <w:rFonts w:cstheme="minorHAnsi"/>
                <w:color w:val="000000"/>
              </w:rPr>
            </w:pPr>
            <w:r w:rsidRPr="005A168C">
              <w:rPr>
                <w:rFonts w:cstheme="minorHAnsi"/>
                <w:color w:val="000000"/>
              </w:rPr>
              <w:t>123.3</w:t>
            </w:r>
          </w:p>
        </w:tc>
        <w:tc>
          <w:tcPr>
            <w:tcW w:w="572" w:type="pct"/>
            <w:tcBorders>
              <w:top w:val="nil"/>
              <w:left w:val="nil"/>
              <w:bottom w:val="single" w:sz="4" w:space="0" w:color="auto"/>
              <w:right w:val="single" w:sz="4" w:space="0" w:color="auto"/>
            </w:tcBorders>
            <w:shd w:val="clear" w:color="auto" w:fill="E2EFD9" w:themeFill="accent6" w:themeFillTint="33"/>
          </w:tcPr>
          <w:p w14:paraId="7AC8FAE1" w14:textId="76B17BD0" w:rsidR="001C2D62" w:rsidRPr="00A60C7D" w:rsidRDefault="001C2D62" w:rsidP="001C2D62">
            <w:pPr>
              <w:spacing w:after="120" w:line="240" w:lineRule="auto"/>
              <w:jc w:val="center"/>
              <w:rPr>
                <w:rFonts w:ascii="Calibri" w:eastAsia="Times New Roman" w:hAnsi="Calibri" w:cs="Calibri"/>
                <w:color w:val="000000"/>
                <w:lang w:eastAsia="en-GB"/>
              </w:rPr>
            </w:pPr>
            <w:r w:rsidRPr="001D7B1E">
              <w:rPr>
                <w:b/>
                <w:bCs/>
              </w:rPr>
              <w:t>[</w:t>
            </w:r>
            <w:r>
              <w:rPr>
                <w:b/>
                <w:bCs/>
              </w:rPr>
              <w:t>g</w:t>
            </w:r>
            <w:r w:rsidRPr="001D7B1E">
              <w:rPr>
                <w:b/>
                <w:bCs/>
              </w:rPr>
              <w:t>]</w:t>
            </w:r>
          </w:p>
        </w:tc>
      </w:tr>
    </w:tbl>
    <w:bookmarkEnd w:id="3"/>
    <w:p w14:paraId="381A95BC" w14:textId="6EEF13F4" w:rsidR="00655FBA" w:rsidRPr="00655FBA" w:rsidRDefault="00F15698" w:rsidP="00655FBA">
      <w:pPr>
        <w:rPr>
          <w:i/>
          <w:iCs/>
        </w:rPr>
      </w:pPr>
      <w:r>
        <w:rPr>
          <w:i/>
          <w:iCs/>
        </w:rPr>
        <w:t xml:space="preserve">The notes column does not form part of the template, but </w:t>
      </w:r>
      <w:r w:rsidR="00BC3F5A">
        <w:rPr>
          <w:i/>
          <w:iCs/>
        </w:rPr>
        <w:t>provides additional information for users.</w:t>
      </w:r>
    </w:p>
    <w:p w14:paraId="5787B858" w14:textId="5B8929EF" w:rsidR="00B23C9D" w:rsidRDefault="00B23C9D" w:rsidP="00FE3C98">
      <w:pPr>
        <w:keepNext/>
        <w:rPr>
          <w:b/>
          <w:bCs/>
        </w:rPr>
      </w:pPr>
      <w:r w:rsidRPr="00B23C9D">
        <w:rPr>
          <w:b/>
          <w:bCs/>
        </w:rPr>
        <w:t>Notes</w:t>
      </w:r>
    </w:p>
    <w:p w14:paraId="1311E0FC" w14:textId="38E11B90" w:rsidR="00282D43" w:rsidRPr="008521E5" w:rsidRDefault="00282D43" w:rsidP="00E179B0">
      <w:pPr>
        <w:ind w:left="567" w:hanging="567"/>
        <w:jc w:val="both"/>
      </w:pPr>
      <w:r>
        <w:rPr>
          <w:b/>
          <w:bCs/>
        </w:rPr>
        <w:t>[a]</w:t>
      </w:r>
      <w:r>
        <w:rPr>
          <w:b/>
          <w:bCs/>
        </w:rPr>
        <w:tab/>
      </w:r>
      <w:r w:rsidRPr="00662BD4">
        <w:t xml:space="preserve">The amount specified </w:t>
      </w:r>
      <w:r>
        <w:t>for CET1 capital is a minimum percentage. Percentages for AT1 and T2 capital are maximums and additional CET1 capital may be used to make up the total capital requirement if AT1 and / or T2 capital are not available</w:t>
      </w:r>
      <w:r w:rsidR="00CF7296">
        <w:t>.</w:t>
      </w:r>
    </w:p>
    <w:p w14:paraId="1C759DA1" w14:textId="58264967" w:rsidR="00282D43" w:rsidRDefault="00282D43" w:rsidP="00E179B0">
      <w:pPr>
        <w:ind w:left="567" w:hanging="567"/>
        <w:jc w:val="both"/>
      </w:pPr>
      <w:r w:rsidRPr="00E64829">
        <w:rPr>
          <w:b/>
          <w:bCs/>
        </w:rPr>
        <w:t>[</w:t>
      </w:r>
      <w:r>
        <w:rPr>
          <w:b/>
          <w:bCs/>
        </w:rPr>
        <w:t>b</w:t>
      </w:r>
      <w:r w:rsidRPr="00E64829">
        <w:rPr>
          <w:b/>
          <w:bCs/>
        </w:rPr>
        <w:t>]</w:t>
      </w:r>
      <w:r>
        <w:rPr>
          <w:b/>
          <w:bCs/>
        </w:rPr>
        <w:tab/>
      </w:r>
      <w:r>
        <w:t>These buffers are not currently applicable to the Group</w:t>
      </w:r>
      <w:r w:rsidR="00CF7296">
        <w:t>.</w:t>
      </w:r>
    </w:p>
    <w:p w14:paraId="4FDAC7F6" w14:textId="5FDDC39F" w:rsidR="00566123" w:rsidRPr="00566123" w:rsidRDefault="00566123" w:rsidP="00FE3C98">
      <w:pPr>
        <w:keepNext/>
        <w:ind w:left="567" w:hanging="567"/>
        <w:jc w:val="both"/>
      </w:pPr>
      <w:r>
        <w:rPr>
          <w:b/>
          <w:bCs/>
        </w:rPr>
        <w:t>[c]</w:t>
      </w:r>
      <w:r>
        <w:rPr>
          <w:b/>
          <w:bCs/>
        </w:rPr>
        <w:tab/>
      </w:r>
      <w:r>
        <w:t xml:space="preserve">This assumes that T2 capital is used in meeting the SREP own funds requirements to the maximum extent </w:t>
      </w:r>
      <w:r w:rsidR="000D0856">
        <w:t xml:space="preserve">possible </w:t>
      </w:r>
      <w:r>
        <w:t>with the CET requirement compris</w:t>
      </w:r>
      <w:r w:rsidR="000D0856">
        <w:t>ing</w:t>
      </w:r>
      <w:r>
        <w:t xml:space="preserve"> the balance of that requirement.</w:t>
      </w:r>
    </w:p>
    <w:p w14:paraId="37AD2725" w14:textId="1314B5DD" w:rsidR="00BC3F5A" w:rsidRPr="00BC3F5A" w:rsidRDefault="00BC3F5A" w:rsidP="00BC3F5A">
      <w:pPr>
        <w:spacing w:after="120" w:line="240" w:lineRule="auto"/>
        <w:ind w:left="567" w:hanging="567"/>
        <w:jc w:val="both"/>
        <w:rPr>
          <w:rFonts w:ascii="Calibri" w:eastAsia="Times New Roman" w:hAnsi="Calibri" w:cs="Calibri"/>
          <w:lang w:eastAsia="en-GB"/>
        </w:rPr>
      </w:pPr>
      <w:r w:rsidRPr="00BC3F5A">
        <w:rPr>
          <w:rFonts w:ascii="Calibri" w:eastAsia="Times New Roman" w:hAnsi="Calibri" w:cs="Calibri"/>
          <w:b/>
          <w:bCs/>
          <w:lang w:eastAsia="en-GB"/>
        </w:rPr>
        <w:t>[</w:t>
      </w:r>
      <w:r w:rsidR="00566123">
        <w:rPr>
          <w:rFonts w:ascii="Calibri" w:eastAsia="Times New Roman" w:hAnsi="Calibri" w:cs="Calibri"/>
          <w:b/>
          <w:bCs/>
          <w:lang w:eastAsia="en-GB"/>
        </w:rPr>
        <w:t>d</w:t>
      </w:r>
      <w:r w:rsidRPr="00BC3F5A">
        <w:rPr>
          <w:rFonts w:ascii="Calibri" w:eastAsia="Times New Roman" w:hAnsi="Calibri" w:cs="Calibri"/>
          <w:b/>
          <w:bCs/>
          <w:lang w:eastAsia="en-GB"/>
        </w:rPr>
        <w:t>]</w:t>
      </w:r>
      <w:r>
        <w:rPr>
          <w:rFonts w:ascii="Calibri" w:eastAsia="Times New Roman" w:hAnsi="Calibri" w:cs="Calibri"/>
          <w:b/>
          <w:bCs/>
          <w:lang w:eastAsia="en-GB"/>
        </w:rPr>
        <w:tab/>
      </w:r>
      <w:r w:rsidRPr="00BC3F5A">
        <w:rPr>
          <w:rFonts w:ascii="Calibri" w:eastAsia="Times New Roman" w:hAnsi="Calibri" w:cs="Calibri"/>
          <w:lang w:eastAsia="en-GB"/>
        </w:rPr>
        <w:t>Th</w:t>
      </w:r>
      <w:r>
        <w:rPr>
          <w:rFonts w:ascii="Calibri" w:eastAsia="Times New Roman" w:hAnsi="Calibri" w:cs="Calibri"/>
          <w:lang w:eastAsia="en-GB"/>
        </w:rPr>
        <w:t>e</w:t>
      </w:r>
      <w:r w:rsidRPr="00BC3F5A">
        <w:rPr>
          <w:rFonts w:ascii="Calibri" w:eastAsia="Times New Roman" w:hAnsi="Calibri" w:cs="Calibri"/>
          <w:lang w:eastAsia="en-GB"/>
        </w:rPr>
        <w:t>s</w:t>
      </w:r>
      <w:r>
        <w:rPr>
          <w:rFonts w:ascii="Calibri" w:eastAsia="Times New Roman" w:hAnsi="Calibri" w:cs="Calibri"/>
          <w:lang w:eastAsia="en-GB"/>
        </w:rPr>
        <w:t>e lines are only required for LREQ banks, as defined by the PRA Rulebook. The Group’s balance sheet size is too small</w:t>
      </w:r>
      <w:r w:rsidR="0082095A">
        <w:rPr>
          <w:rFonts w:ascii="Calibri" w:eastAsia="Times New Roman" w:hAnsi="Calibri" w:cs="Calibri"/>
          <w:lang w:eastAsia="en-GB"/>
        </w:rPr>
        <w:t xml:space="preserve"> for it</w:t>
      </w:r>
      <w:r>
        <w:rPr>
          <w:rFonts w:ascii="Calibri" w:eastAsia="Times New Roman" w:hAnsi="Calibri" w:cs="Calibri"/>
          <w:lang w:eastAsia="en-GB"/>
        </w:rPr>
        <w:t xml:space="preserve"> to be classified as an LREQ bank.</w:t>
      </w:r>
      <w:r w:rsidRPr="00BC3F5A">
        <w:rPr>
          <w:rFonts w:ascii="Calibri" w:eastAsia="Times New Roman" w:hAnsi="Calibri" w:cs="Calibri"/>
          <w:lang w:eastAsia="en-GB"/>
        </w:rPr>
        <w:t xml:space="preserve"> </w:t>
      </w:r>
      <w:r w:rsidR="00E179B0">
        <w:rPr>
          <w:rFonts w:ascii="Calibri" w:eastAsia="Times New Roman" w:hAnsi="Calibri" w:cs="Calibri"/>
          <w:lang w:eastAsia="en-GB"/>
        </w:rPr>
        <w:t>An LREQ bank is one to which the Leverage Ratio requirements of the PRA Rulebook apply, generally those with over £50.0 billion of retail deposits or more than £10.0 billion of foreign assets.</w:t>
      </w:r>
    </w:p>
    <w:p w14:paraId="6130BF61" w14:textId="711DEACA" w:rsidR="00B23C9D" w:rsidRDefault="000F5C38" w:rsidP="000F5C38">
      <w:pPr>
        <w:ind w:left="567" w:hanging="567"/>
        <w:jc w:val="both"/>
      </w:pPr>
      <w:r w:rsidRPr="000F5C38">
        <w:rPr>
          <w:b/>
          <w:bCs/>
        </w:rPr>
        <w:t>[</w:t>
      </w:r>
      <w:r w:rsidR="00566123">
        <w:rPr>
          <w:b/>
          <w:bCs/>
        </w:rPr>
        <w:t>e</w:t>
      </w:r>
      <w:r w:rsidRPr="000F5C38">
        <w:rPr>
          <w:b/>
          <w:bCs/>
        </w:rPr>
        <w:t>]</w:t>
      </w:r>
      <w:r w:rsidRPr="000F5C38">
        <w:rPr>
          <w:b/>
          <w:bCs/>
        </w:rPr>
        <w:tab/>
      </w:r>
      <w:r w:rsidRPr="000F5C38">
        <w:t>These measures are based on a 12</w:t>
      </w:r>
      <w:r w:rsidR="00EE5782">
        <w:t>-</w:t>
      </w:r>
      <w:r w:rsidRPr="000F5C38">
        <w:t>month rolling average of month end positions</w:t>
      </w:r>
      <w:r>
        <w:t xml:space="preserve">. </w:t>
      </w:r>
    </w:p>
    <w:p w14:paraId="2BCA7ED8" w14:textId="60A32AE5" w:rsidR="003825EC" w:rsidRPr="003825EC" w:rsidRDefault="003825EC" w:rsidP="000F5C38">
      <w:pPr>
        <w:ind w:left="567" w:hanging="567"/>
        <w:jc w:val="both"/>
      </w:pPr>
      <w:r>
        <w:rPr>
          <w:b/>
          <w:bCs/>
        </w:rPr>
        <w:t>[</w:t>
      </w:r>
      <w:r w:rsidR="00566123">
        <w:rPr>
          <w:b/>
          <w:bCs/>
        </w:rPr>
        <w:t>f</w:t>
      </w:r>
      <w:r>
        <w:rPr>
          <w:b/>
          <w:bCs/>
        </w:rPr>
        <w:t xml:space="preserve">] </w:t>
      </w:r>
      <w:r>
        <w:rPr>
          <w:b/>
          <w:bCs/>
        </w:rPr>
        <w:tab/>
      </w:r>
      <w:r w:rsidR="00282D43" w:rsidRPr="000F5C38">
        <w:t>Th</w:t>
      </w:r>
      <w:r w:rsidR="00282D43">
        <w:t>is</w:t>
      </w:r>
      <w:r w:rsidR="00282D43" w:rsidRPr="000F5C38">
        <w:t xml:space="preserve"> measure </w:t>
      </w:r>
      <w:r w:rsidR="00282D43">
        <w:t xml:space="preserve">is </w:t>
      </w:r>
      <w:r w:rsidR="00282D43" w:rsidRPr="000F5C38">
        <w:t>based on a 12</w:t>
      </w:r>
      <w:r w:rsidR="00EE5782">
        <w:t>-</w:t>
      </w:r>
      <w:r w:rsidR="00282D43" w:rsidRPr="000F5C38">
        <w:t>month rolling average of month end positions</w:t>
      </w:r>
      <w:r w:rsidR="00282D43">
        <w:t>, therefore cannot be derived from the values given above it.</w:t>
      </w:r>
    </w:p>
    <w:p w14:paraId="09733D43" w14:textId="2A8D9C9A" w:rsidR="000F5C38" w:rsidRPr="00E91934" w:rsidRDefault="000F5C38" w:rsidP="000F5C38">
      <w:pPr>
        <w:ind w:left="567" w:hanging="567"/>
        <w:jc w:val="both"/>
      </w:pPr>
      <w:r>
        <w:rPr>
          <w:b/>
          <w:bCs/>
        </w:rPr>
        <w:t>[</w:t>
      </w:r>
      <w:r w:rsidR="00566123">
        <w:rPr>
          <w:b/>
          <w:bCs/>
        </w:rPr>
        <w:t>g</w:t>
      </w:r>
      <w:r>
        <w:rPr>
          <w:b/>
          <w:bCs/>
        </w:rPr>
        <w:t>]</w:t>
      </w:r>
      <w:r>
        <w:rPr>
          <w:b/>
          <w:bCs/>
        </w:rPr>
        <w:tab/>
      </w:r>
      <w:r w:rsidRPr="000F5C38">
        <w:t xml:space="preserve">These measures are based on a </w:t>
      </w:r>
      <w:r>
        <w:t>4</w:t>
      </w:r>
      <w:r w:rsidR="00EE5782">
        <w:t>-</w:t>
      </w:r>
      <w:r>
        <w:t>quarter</w:t>
      </w:r>
      <w:r w:rsidRPr="000F5C38">
        <w:t xml:space="preserve"> rolling average of </w:t>
      </w:r>
      <w:r>
        <w:t>quarter</w:t>
      </w:r>
      <w:r w:rsidRPr="000F5C38">
        <w:t xml:space="preserve"> end positions</w:t>
      </w:r>
      <w:r>
        <w:t xml:space="preserve">. </w:t>
      </w:r>
    </w:p>
    <w:p w14:paraId="5D7B2581" w14:textId="408A2F0C" w:rsidR="000F5C38" w:rsidRDefault="000F5C38" w:rsidP="00B23C9D">
      <w:pPr>
        <w:ind w:left="567" w:hanging="567"/>
      </w:pPr>
    </w:p>
    <w:p w14:paraId="1B323A7F" w14:textId="7271C3E1" w:rsidR="00655FBA" w:rsidRPr="00655FBA" w:rsidRDefault="00655FBA" w:rsidP="00655FBA">
      <w:pPr>
        <w:keepNext/>
        <w:rPr>
          <w:b/>
          <w:bCs/>
          <w:color w:val="00B050"/>
          <w:sz w:val="28"/>
          <w:szCs w:val="28"/>
        </w:rPr>
      </w:pPr>
      <w:r w:rsidRPr="00655FBA">
        <w:rPr>
          <w:b/>
          <w:bCs/>
          <w:color w:val="00B050"/>
          <w:sz w:val="28"/>
          <w:szCs w:val="28"/>
        </w:rPr>
        <w:t>Summary of key metrics</w:t>
      </w:r>
    </w:p>
    <w:p w14:paraId="7C74BE9E" w14:textId="414BF244" w:rsidR="0091719F" w:rsidRDefault="0091719F" w:rsidP="00655FBA">
      <w:pPr>
        <w:keepLines/>
        <w:spacing w:before="120"/>
        <w:jc w:val="both"/>
      </w:pPr>
      <w:r>
        <w:t>The Group’s CET1 capital comprises its equity shareholders’ funds, adjusted as required by the Regulatory Capital Rules of the PRA, and can be used for all capital purposes. Total Regulatory Capital (</w:t>
      </w:r>
      <w:r w:rsidR="00E179B0">
        <w:t>‘</w:t>
      </w:r>
      <w:r>
        <w:t>TRC</w:t>
      </w:r>
      <w:r w:rsidR="00E179B0">
        <w:t>’</w:t>
      </w:r>
      <w:r>
        <w:t xml:space="preserve">), in addition, includes </w:t>
      </w:r>
      <w:r w:rsidR="000D6C5C" w:rsidRPr="00D506E3">
        <w:t>tier 2 capital in the form of</w:t>
      </w:r>
      <w:r w:rsidR="000D6C5C">
        <w:t xml:space="preserve"> the Group’s </w:t>
      </w:r>
      <w:r w:rsidR="000D6C5C" w:rsidRPr="00D506E3">
        <w:t>Tier</w:t>
      </w:r>
      <w:r w:rsidR="000D6C5C">
        <w:t>-</w:t>
      </w:r>
      <w:r w:rsidR="000D6C5C" w:rsidRPr="00D506E3">
        <w:t xml:space="preserve">2 Bond. </w:t>
      </w:r>
      <w:r w:rsidR="000D6C5C">
        <w:t>This tier 2 capital can be used to meet up to 25% of TCR. Capital levels on both measures in the period have remained broadly stable, with the positive operational performance continuing to support the capital position, even after allowing for paid and proposed distributions.</w:t>
      </w:r>
    </w:p>
    <w:p w14:paraId="49F7E5D7" w14:textId="12E6A2D3" w:rsidR="00655FBA" w:rsidRDefault="00655FBA" w:rsidP="00655FBA">
      <w:pPr>
        <w:keepLines/>
        <w:spacing w:before="120"/>
        <w:jc w:val="both"/>
      </w:pPr>
      <w:r w:rsidRPr="00A77D52">
        <w:t xml:space="preserve">The </w:t>
      </w:r>
      <w:r>
        <w:t xml:space="preserve">Group’s capital ratios remained relatively stable, with a small downward move in the period mostly a function of the impact of the product mix in the lending books on </w:t>
      </w:r>
      <w:r w:rsidR="000D6C5C">
        <w:t>Total Risk Exposure.</w:t>
      </w:r>
    </w:p>
    <w:p w14:paraId="6327D907" w14:textId="4D2DF755" w:rsidR="00DA12CE" w:rsidRPr="00A77D52" w:rsidRDefault="00DA12CE" w:rsidP="00655FBA">
      <w:pPr>
        <w:keepLines/>
        <w:spacing w:before="120"/>
        <w:jc w:val="both"/>
      </w:pPr>
      <w:r w:rsidRPr="00A77D52">
        <w:t xml:space="preserve">During the period the </w:t>
      </w:r>
      <w:r w:rsidR="000D6C5C" w:rsidRPr="00A77D52">
        <w:t>Capital Conservation</w:t>
      </w:r>
      <w:r w:rsidR="000D6C5C">
        <w:t xml:space="preserve"> buffer</w:t>
      </w:r>
      <w:r w:rsidRPr="00A77D52">
        <w:t xml:space="preserve"> remained at 2.5%, its long-term rate, while the </w:t>
      </w:r>
      <w:r>
        <w:t xml:space="preserve">UK </w:t>
      </w:r>
      <w:r w:rsidR="000D6C5C">
        <w:t>Counter-Cyclical buffer</w:t>
      </w:r>
      <w:r>
        <w:t xml:space="preserve"> was 2.0% (30 September 2023: 2.0%; 31 March 2023: 1.0%).</w:t>
      </w:r>
    </w:p>
    <w:p w14:paraId="2179ADB8" w14:textId="692CD0D6" w:rsidR="00655FBA" w:rsidRDefault="00655FBA" w:rsidP="00655FBA">
      <w:pPr>
        <w:keepNext/>
        <w:keepLines/>
        <w:jc w:val="both"/>
      </w:pPr>
      <w:r w:rsidRPr="002940ED">
        <w:t xml:space="preserve">The </w:t>
      </w:r>
      <w:r>
        <w:t xml:space="preserve">rolling twelve month </w:t>
      </w:r>
      <w:r w:rsidRPr="002940ED">
        <w:t xml:space="preserve">average </w:t>
      </w:r>
      <w:r>
        <w:t xml:space="preserve">of the Bank’s </w:t>
      </w:r>
      <w:r w:rsidR="000D6C5C">
        <w:t>Liquidity Coverage Ratio</w:t>
      </w:r>
      <w:r w:rsidRPr="002940ED">
        <w:t xml:space="preserve"> </w:t>
      </w:r>
      <w:r>
        <w:t>at 31 March 2024</w:t>
      </w:r>
      <w:r w:rsidRPr="002940ED">
        <w:t xml:space="preserve"> was </w:t>
      </w:r>
      <w:r>
        <w:t>218.2%</w:t>
      </w:r>
      <w:r w:rsidRPr="002940ED">
        <w:t xml:space="preserve"> compared to </w:t>
      </w:r>
      <w:r>
        <w:t>148.8%</w:t>
      </w:r>
      <w:r w:rsidRPr="002940ED">
        <w:t xml:space="preserve"> </w:t>
      </w:r>
      <w:r>
        <w:t>a year earlier</w:t>
      </w:r>
      <w:r w:rsidRPr="002940ED">
        <w:t xml:space="preserve">, </w:t>
      </w:r>
      <w:r>
        <w:t>and 193.7% for the 2023 financial year</w:t>
      </w:r>
      <w:bookmarkStart w:id="4" w:name="_Hlk134442286"/>
      <w:r w:rsidR="00E179B0">
        <w:t>. These movements reflect</w:t>
      </w:r>
      <w:r w:rsidRPr="002D15A2">
        <w:t xml:space="preserve"> a strategic increase in deposit levels over time to </w:t>
      </w:r>
      <w:r w:rsidR="00E179B0">
        <w:t>provide flexibility over</w:t>
      </w:r>
      <w:r w:rsidRPr="002D15A2">
        <w:t xml:space="preserve"> </w:t>
      </w:r>
      <w:r>
        <w:t>the repayment of wholesale debt, with repayments of TFSME borrowings being made throughout the period, and the Group’s retail bonds falling due in August.</w:t>
      </w:r>
      <w:bookmarkEnd w:id="4"/>
      <w:r w:rsidRPr="002940ED">
        <w:t xml:space="preserve"> </w:t>
      </w:r>
    </w:p>
    <w:p w14:paraId="4EFC97D7" w14:textId="7290E7FF" w:rsidR="00655FBA" w:rsidRDefault="00DA12CE" w:rsidP="00DA12CE">
      <w:pPr>
        <w:keepNext/>
        <w:keepLines/>
        <w:jc w:val="both"/>
      </w:pPr>
      <w:r>
        <w:t xml:space="preserve">At 31 March 2024, the Bank’s </w:t>
      </w:r>
      <w:r w:rsidR="000D6C5C">
        <w:t>Net Stable Funding Ratio</w:t>
      </w:r>
      <w:r>
        <w:t xml:space="preserve"> stood at 132.9% (30 September 2023: 123.4%; 31 March 2023: 128.6%), reflecting a marginal strengthening of the position in the year.</w:t>
      </w:r>
    </w:p>
    <w:p w14:paraId="44976F87" w14:textId="77777777" w:rsidR="00E179B0" w:rsidRDefault="00E179B0" w:rsidP="00B23C9D">
      <w:pPr>
        <w:ind w:left="567" w:hanging="567"/>
        <w:rPr>
          <w:b/>
          <w:bCs/>
        </w:rPr>
      </w:pPr>
    </w:p>
    <w:p w14:paraId="36B61A8D" w14:textId="199A03FB" w:rsidR="00FE3C98" w:rsidRDefault="00FE3C98" w:rsidP="00E179B0">
      <w:pPr>
        <w:keepNext/>
        <w:ind w:left="567" w:hanging="567"/>
        <w:rPr>
          <w:b/>
          <w:bCs/>
        </w:rPr>
      </w:pPr>
      <w:r>
        <w:rPr>
          <w:b/>
          <w:bCs/>
        </w:rPr>
        <w:t>Paragon Banking Group PLC</w:t>
      </w:r>
    </w:p>
    <w:p w14:paraId="46E831B7" w14:textId="447EB59E" w:rsidR="00FE3C98" w:rsidRDefault="00FE3C98" w:rsidP="00E179B0">
      <w:pPr>
        <w:keepNext/>
        <w:ind w:left="567" w:hanging="567"/>
      </w:pPr>
      <w:r>
        <w:t>51 Homer Road, Solihull, West Midlands, B91 3QJ</w:t>
      </w:r>
    </w:p>
    <w:p w14:paraId="4C0A43E4" w14:textId="0FA38EC5" w:rsidR="00FE3C98" w:rsidRDefault="00FE3C98" w:rsidP="00E179B0">
      <w:pPr>
        <w:keepNext/>
        <w:ind w:left="567" w:hanging="567"/>
      </w:pPr>
      <w:r>
        <w:t>Registered number: 2336032</w:t>
      </w:r>
    </w:p>
    <w:p w14:paraId="10A8D3FE" w14:textId="6C41735B" w:rsidR="00FE3C98" w:rsidRPr="00FE3C98" w:rsidRDefault="00FE3C98" w:rsidP="00B23C9D">
      <w:pPr>
        <w:ind w:left="567" w:hanging="567"/>
      </w:pPr>
      <w:r>
        <w:t>LEI: 213800S1TDK</w:t>
      </w:r>
      <w:r w:rsidR="003D3660">
        <w:t>IB1IUTS72</w:t>
      </w:r>
    </w:p>
    <w:sectPr w:rsidR="00FE3C98" w:rsidRPr="00FE3C98" w:rsidSect="00A60C7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1E33E" w14:textId="77777777" w:rsidR="00A22B84" w:rsidRDefault="00A22B84" w:rsidP="00BC3F5A">
      <w:pPr>
        <w:spacing w:after="0" w:line="240" w:lineRule="auto"/>
      </w:pPr>
      <w:r>
        <w:separator/>
      </w:r>
    </w:p>
  </w:endnote>
  <w:endnote w:type="continuationSeparator" w:id="0">
    <w:p w14:paraId="73261CD0" w14:textId="77777777" w:rsidR="00A22B84" w:rsidRDefault="00A22B84" w:rsidP="00BC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77F79" w14:textId="1F6E0ED7" w:rsidR="00BC3F5A" w:rsidRPr="00BC3F5A" w:rsidRDefault="00BC3F5A" w:rsidP="00BC3F5A">
    <w:pPr>
      <w:pStyle w:val="Footer"/>
      <w:pBdr>
        <w:top w:val="single" w:sz="4" w:space="1" w:color="auto"/>
      </w:pBdr>
      <w:rPr>
        <w:i/>
        <w:iCs/>
      </w:rPr>
    </w:pPr>
    <w:r w:rsidRPr="00BC3F5A">
      <w:rPr>
        <w:i/>
        <w:iCs/>
      </w:rPr>
      <w:t>Half year Pillar 3 Report – 31 March 202</w:t>
    </w:r>
    <w:r w:rsidR="007D32CA">
      <w:rPr>
        <w:i/>
        <w:iCs/>
      </w:rPr>
      <w:t>4</w:t>
    </w:r>
    <w:r w:rsidRPr="00BC3F5A">
      <w:rPr>
        <w:i/>
        <w:iCs/>
      </w:rPr>
      <w:tab/>
    </w:r>
    <w:r w:rsidRPr="00BC3F5A">
      <w:rPr>
        <w:i/>
        <w:iCs/>
      </w:rPr>
      <w:tab/>
    </w:r>
    <w:r w:rsidRPr="00BC3F5A">
      <w:rPr>
        <w:i/>
        <w:iCs/>
      </w:rPr>
      <w:fldChar w:fldCharType="begin"/>
    </w:r>
    <w:r w:rsidRPr="00BC3F5A">
      <w:rPr>
        <w:i/>
        <w:iCs/>
      </w:rPr>
      <w:instrText xml:space="preserve"> PAGE   \* MERGEFORMAT </w:instrText>
    </w:r>
    <w:r w:rsidRPr="00BC3F5A">
      <w:rPr>
        <w:i/>
        <w:iCs/>
      </w:rPr>
      <w:fldChar w:fldCharType="separate"/>
    </w:r>
    <w:r w:rsidRPr="00BC3F5A">
      <w:rPr>
        <w:i/>
        <w:iCs/>
        <w:noProof/>
      </w:rPr>
      <w:t>1</w:t>
    </w:r>
    <w:r w:rsidRPr="00BC3F5A">
      <w:rPr>
        <w:i/>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A638D" w14:textId="77777777" w:rsidR="00A22B84" w:rsidRDefault="00A22B84" w:rsidP="00BC3F5A">
      <w:pPr>
        <w:spacing w:after="0" w:line="240" w:lineRule="auto"/>
      </w:pPr>
      <w:r>
        <w:separator/>
      </w:r>
    </w:p>
  </w:footnote>
  <w:footnote w:type="continuationSeparator" w:id="0">
    <w:p w14:paraId="26EC979A" w14:textId="77777777" w:rsidR="00A22B84" w:rsidRDefault="00A22B84" w:rsidP="00BC3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57DAD" w14:textId="6C252F2F" w:rsidR="00BC3F5A" w:rsidRPr="00BC3F5A" w:rsidRDefault="00BC3F5A" w:rsidP="00BC3F5A">
    <w:pPr>
      <w:pStyle w:val="Header"/>
      <w:jc w:val="right"/>
      <w:rPr>
        <w:b/>
        <w:bCs/>
        <w:color w:val="00B050"/>
      </w:rPr>
    </w:pPr>
    <w:r w:rsidRPr="00BC3F5A">
      <w:rPr>
        <w:b/>
        <w:bCs/>
        <w:color w:val="00B050"/>
      </w:rPr>
      <w:t>Paragon Banking Group PLC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FE9"/>
    <w:rsid w:val="00076C45"/>
    <w:rsid w:val="00091EDE"/>
    <w:rsid w:val="000B50CB"/>
    <w:rsid w:val="000D0856"/>
    <w:rsid w:val="000D6C5C"/>
    <w:rsid w:val="000F5C38"/>
    <w:rsid w:val="001513E1"/>
    <w:rsid w:val="0019062B"/>
    <w:rsid w:val="001C2D62"/>
    <w:rsid w:val="00260CC8"/>
    <w:rsid w:val="00276894"/>
    <w:rsid w:val="00282D43"/>
    <w:rsid w:val="002935EA"/>
    <w:rsid w:val="002B7109"/>
    <w:rsid w:val="002D7688"/>
    <w:rsid w:val="003213B4"/>
    <w:rsid w:val="003825EC"/>
    <w:rsid w:val="003D3660"/>
    <w:rsid w:val="00420E00"/>
    <w:rsid w:val="00432A99"/>
    <w:rsid w:val="0043472E"/>
    <w:rsid w:val="00437E77"/>
    <w:rsid w:val="004532F5"/>
    <w:rsid w:val="00466003"/>
    <w:rsid w:val="00566123"/>
    <w:rsid w:val="00592AEE"/>
    <w:rsid w:val="005A168C"/>
    <w:rsid w:val="00615004"/>
    <w:rsid w:val="00640FCE"/>
    <w:rsid w:val="00653DB1"/>
    <w:rsid w:val="00655FBA"/>
    <w:rsid w:val="00662BD4"/>
    <w:rsid w:val="006C1451"/>
    <w:rsid w:val="006E116D"/>
    <w:rsid w:val="00736A9F"/>
    <w:rsid w:val="007D32CA"/>
    <w:rsid w:val="0082095A"/>
    <w:rsid w:val="008521E5"/>
    <w:rsid w:val="00853781"/>
    <w:rsid w:val="00887BBA"/>
    <w:rsid w:val="008A6483"/>
    <w:rsid w:val="0091719F"/>
    <w:rsid w:val="00972853"/>
    <w:rsid w:val="009E7FBF"/>
    <w:rsid w:val="009F2BEA"/>
    <w:rsid w:val="00A22B84"/>
    <w:rsid w:val="00A60C7D"/>
    <w:rsid w:val="00A71FE9"/>
    <w:rsid w:val="00AE0122"/>
    <w:rsid w:val="00B23C9D"/>
    <w:rsid w:val="00B476ED"/>
    <w:rsid w:val="00BB31EB"/>
    <w:rsid w:val="00BC3F5A"/>
    <w:rsid w:val="00BE0C60"/>
    <w:rsid w:val="00C555CA"/>
    <w:rsid w:val="00CE27C8"/>
    <w:rsid w:val="00CF7296"/>
    <w:rsid w:val="00D37862"/>
    <w:rsid w:val="00D470BD"/>
    <w:rsid w:val="00D819CA"/>
    <w:rsid w:val="00DA12CE"/>
    <w:rsid w:val="00E179B0"/>
    <w:rsid w:val="00E5067C"/>
    <w:rsid w:val="00E61279"/>
    <w:rsid w:val="00E64598"/>
    <w:rsid w:val="00E64829"/>
    <w:rsid w:val="00E91934"/>
    <w:rsid w:val="00E94513"/>
    <w:rsid w:val="00EA3479"/>
    <w:rsid w:val="00ED089F"/>
    <w:rsid w:val="00ED21B3"/>
    <w:rsid w:val="00EE5782"/>
    <w:rsid w:val="00F15698"/>
    <w:rsid w:val="00FE3C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8BAED"/>
  <w15:chartTrackingRefBased/>
  <w15:docId w15:val="{4643D7B9-5FFD-449C-A215-E6D3C9639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6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698"/>
    <w:rPr>
      <w:color w:val="0563C1" w:themeColor="hyperlink"/>
      <w:u w:val="single"/>
    </w:rPr>
  </w:style>
  <w:style w:type="character" w:styleId="UnresolvedMention">
    <w:name w:val="Unresolved Mention"/>
    <w:basedOn w:val="DefaultParagraphFont"/>
    <w:uiPriority w:val="99"/>
    <w:semiHidden/>
    <w:unhideWhenUsed/>
    <w:rsid w:val="00F15698"/>
    <w:rPr>
      <w:color w:val="605E5C"/>
      <w:shd w:val="clear" w:color="auto" w:fill="E1DFDD"/>
    </w:rPr>
  </w:style>
  <w:style w:type="paragraph" w:styleId="Header">
    <w:name w:val="header"/>
    <w:basedOn w:val="Normal"/>
    <w:link w:val="HeaderChar"/>
    <w:uiPriority w:val="99"/>
    <w:unhideWhenUsed/>
    <w:rsid w:val="00BC3F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3F5A"/>
  </w:style>
  <w:style w:type="paragraph" w:styleId="Footer">
    <w:name w:val="footer"/>
    <w:basedOn w:val="Normal"/>
    <w:link w:val="FooterChar"/>
    <w:uiPriority w:val="99"/>
    <w:unhideWhenUsed/>
    <w:rsid w:val="00BC3F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3F5A"/>
  </w:style>
  <w:style w:type="character" w:customStyle="1" w:styleId="ui-provider">
    <w:name w:val="ui-provider"/>
    <w:basedOn w:val="DefaultParagraphFont"/>
    <w:rsid w:val="00190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822677">
      <w:bodyDiv w:val="1"/>
      <w:marLeft w:val="0"/>
      <w:marRight w:val="0"/>
      <w:marTop w:val="0"/>
      <w:marBottom w:val="0"/>
      <w:divBdr>
        <w:top w:val="none" w:sz="0" w:space="0" w:color="auto"/>
        <w:left w:val="none" w:sz="0" w:space="0" w:color="auto"/>
        <w:bottom w:val="none" w:sz="0" w:space="0" w:color="auto"/>
        <w:right w:val="none" w:sz="0" w:space="0" w:color="auto"/>
      </w:divBdr>
    </w:div>
    <w:div w:id="643848340">
      <w:bodyDiv w:val="1"/>
      <w:marLeft w:val="0"/>
      <w:marRight w:val="0"/>
      <w:marTop w:val="0"/>
      <w:marBottom w:val="0"/>
      <w:divBdr>
        <w:top w:val="none" w:sz="0" w:space="0" w:color="auto"/>
        <w:left w:val="none" w:sz="0" w:space="0" w:color="auto"/>
        <w:bottom w:val="none" w:sz="0" w:space="0" w:color="auto"/>
        <w:right w:val="none" w:sz="0" w:space="0" w:color="auto"/>
      </w:divBdr>
    </w:div>
    <w:div w:id="715665217">
      <w:bodyDiv w:val="1"/>
      <w:marLeft w:val="0"/>
      <w:marRight w:val="0"/>
      <w:marTop w:val="0"/>
      <w:marBottom w:val="0"/>
      <w:divBdr>
        <w:top w:val="none" w:sz="0" w:space="0" w:color="auto"/>
        <w:left w:val="none" w:sz="0" w:space="0" w:color="auto"/>
        <w:bottom w:val="none" w:sz="0" w:space="0" w:color="auto"/>
        <w:right w:val="none" w:sz="0" w:space="0" w:color="auto"/>
      </w:divBdr>
    </w:div>
    <w:div w:id="100775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paragonbankinggroup.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1299</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Rohan Mistry</dc:creator>
  <cp:keywords/>
  <dc:description/>
  <cp:lastModifiedBy>Peter Mitchell</cp:lastModifiedBy>
  <cp:revision>2</cp:revision>
  <cp:lastPrinted>2024-05-30T15:48:00Z</cp:lastPrinted>
  <dcterms:created xsi:type="dcterms:W3CDTF">2024-06-04T07:47:00Z</dcterms:created>
  <dcterms:modified xsi:type="dcterms:W3CDTF">2024-06-04T07:47:00Z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tention Period">
    <vt:lpwstr>Keep</vt:lpwstr>
  </property>
</Properties>
</file>