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4183" w14:textId="77777777" w:rsidR="00DA523A" w:rsidRDefault="00DA523A" w:rsidP="00DA523A">
      <w:pPr>
        <w:jc w:val="right"/>
        <w:rPr>
          <w:rFonts w:ascii="Arial" w:hAnsi="Arial" w:cs="Arial"/>
          <w:b/>
          <w:bCs/>
          <w:sz w:val="21"/>
          <w:szCs w:val="21"/>
        </w:rPr>
      </w:pPr>
      <w:r w:rsidRPr="00A95920">
        <w:rPr>
          <w:rFonts w:ascii="Arial" w:hAnsi="Arial" w:cs="Arial"/>
          <w:b/>
          <w:bCs/>
          <w:sz w:val="21"/>
          <w:szCs w:val="21"/>
        </w:rPr>
        <w:t>(Company No:  2366640)</w:t>
      </w:r>
    </w:p>
    <w:p w14:paraId="5CDE018D" w14:textId="77777777" w:rsidR="00921878" w:rsidRPr="00A95920" w:rsidRDefault="00921878" w:rsidP="00DA523A">
      <w:pPr>
        <w:jc w:val="right"/>
        <w:rPr>
          <w:rFonts w:ascii="Arial" w:hAnsi="Arial" w:cs="Arial"/>
          <w:b/>
          <w:bCs/>
          <w:sz w:val="21"/>
          <w:szCs w:val="21"/>
        </w:rPr>
      </w:pPr>
    </w:p>
    <w:p w14:paraId="7100EA94" w14:textId="77777777" w:rsidR="00921878" w:rsidRPr="00921878" w:rsidRDefault="00921878" w:rsidP="00921878">
      <w:pPr>
        <w:jc w:val="center"/>
        <w:rPr>
          <w:rFonts w:ascii="Arial" w:hAnsi="Arial" w:cs="Arial"/>
          <w:b/>
          <w:sz w:val="21"/>
          <w:szCs w:val="21"/>
        </w:rPr>
      </w:pPr>
      <w:r w:rsidRPr="00921878">
        <w:rPr>
          <w:rFonts w:ascii="Arial" w:hAnsi="Arial" w:cs="Arial"/>
          <w:b/>
          <w:sz w:val="21"/>
          <w:szCs w:val="21"/>
        </w:rPr>
        <w:t>THE COMPANIES ACT 2006</w:t>
      </w:r>
    </w:p>
    <w:p w14:paraId="4B34336A" w14:textId="77777777" w:rsidR="00921878" w:rsidRPr="00921878" w:rsidRDefault="00921878" w:rsidP="00921878">
      <w:pPr>
        <w:jc w:val="center"/>
        <w:rPr>
          <w:rFonts w:ascii="Arial" w:hAnsi="Arial" w:cs="Arial"/>
          <w:b/>
          <w:sz w:val="21"/>
          <w:szCs w:val="21"/>
        </w:rPr>
      </w:pPr>
      <w:r w:rsidRPr="00921878">
        <w:rPr>
          <w:rFonts w:ascii="Arial" w:hAnsi="Arial" w:cs="Arial"/>
          <w:b/>
          <w:sz w:val="21"/>
          <w:szCs w:val="21"/>
        </w:rPr>
        <w:t>COMPANY LIMITED BY SHARES</w:t>
      </w:r>
    </w:p>
    <w:p w14:paraId="2CA548E5" w14:textId="77777777" w:rsidR="00921878" w:rsidRPr="00921878" w:rsidRDefault="00921878" w:rsidP="00921878">
      <w:pPr>
        <w:jc w:val="center"/>
        <w:rPr>
          <w:rFonts w:ascii="Arial" w:hAnsi="Arial" w:cs="Arial"/>
          <w:b/>
          <w:sz w:val="21"/>
          <w:szCs w:val="21"/>
        </w:rPr>
      </w:pPr>
      <w:r w:rsidRPr="00921878">
        <w:rPr>
          <w:rFonts w:ascii="Arial" w:hAnsi="Arial" w:cs="Arial"/>
          <w:b/>
          <w:sz w:val="21"/>
          <w:szCs w:val="21"/>
        </w:rPr>
        <w:t>ORIDANRY AND SPECIAL RESOLUTIONS</w:t>
      </w:r>
    </w:p>
    <w:p w14:paraId="5BEA356F" w14:textId="77777777" w:rsidR="00921878" w:rsidRPr="00921878" w:rsidRDefault="00921878" w:rsidP="00921878">
      <w:pPr>
        <w:jc w:val="center"/>
        <w:rPr>
          <w:rFonts w:ascii="Arial" w:hAnsi="Arial" w:cs="Arial"/>
          <w:b/>
          <w:sz w:val="21"/>
          <w:szCs w:val="21"/>
        </w:rPr>
      </w:pPr>
      <w:r w:rsidRPr="00921878">
        <w:rPr>
          <w:rFonts w:ascii="Arial" w:hAnsi="Arial" w:cs="Arial"/>
          <w:b/>
          <w:sz w:val="21"/>
          <w:szCs w:val="21"/>
        </w:rPr>
        <w:t>OF</w:t>
      </w:r>
    </w:p>
    <w:p w14:paraId="4310BEA9" w14:textId="77777777" w:rsidR="00921878" w:rsidRPr="00921878" w:rsidRDefault="00921878" w:rsidP="00921878">
      <w:pPr>
        <w:jc w:val="center"/>
        <w:rPr>
          <w:rFonts w:ascii="Arial" w:hAnsi="Arial" w:cs="Arial"/>
          <w:b/>
          <w:sz w:val="21"/>
          <w:szCs w:val="21"/>
        </w:rPr>
      </w:pPr>
      <w:r w:rsidRPr="00921878">
        <w:rPr>
          <w:rFonts w:ascii="Arial" w:hAnsi="Arial" w:cs="Arial"/>
          <w:b/>
          <w:sz w:val="21"/>
          <w:szCs w:val="21"/>
        </w:rPr>
        <w:t>PENNON GROUP PLC</w:t>
      </w:r>
    </w:p>
    <w:p w14:paraId="119870C8" w14:textId="77777777" w:rsidR="00921878" w:rsidRDefault="00921878" w:rsidP="00921878">
      <w:pPr>
        <w:jc w:val="center"/>
        <w:rPr>
          <w:rFonts w:ascii="Arial" w:hAnsi="Arial" w:cs="Arial"/>
          <w:b/>
          <w:sz w:val="21"/>
          <w:szCs w:val="21"/>
        </w:rPr>
      </w:pPr>
      <w:r w:rsidRPr="00921878">
        <w:rPr>
          <w:rFonts w:ascii="Arial" w:hAnsi="Arial" w:cs="Arial"/>
          <w:b/>
          <w:sz w:val="21"/>
          <w:szCs w:val="21"/>
        </w:rPr>
        <w:t>(the “Company”)</w:t>
      </w:r>
    </w:p>
    <w:p w14:paraId="504FF736" w14:textId="4BEE5750" w:rsidR="00DA523A" w:rsidRPr="00921878" w:rsidRDefault="00DA523A" w:rsidP="00921878">
      <w:pPr>
        <w:rPr>
          <w:rFonts w:ascii="Arial" w:hAnsi="Arial" w:cs="Arial"/>
          <w:sz w:val="21"/>
          <w:szCs w:val="21"/>
        </w:rPr>
      </w:pPr>
      <w:r w:rsidRPr="00921878">
        <w:rPr>
          <w:rFonts w:ascii="Arial" w:hAnsi="Arial" w:cs="Arial"/>
          <w:sz w:val="21"/>
          <w:szCs w:val="21"/>
        </w:rPr>
        <w:t xml:space="preserve">At the Annual General Meeting of the Company held at </w:t>
      </w:r>
      <w:r w:rsidR="007E5A95" w:rsidRPr="00921878">
        <w:rPr>
          <w:rFonts w:ascii="Arial" w:hAnsi="Arial" w:cs="Arial"/>
          <w:sz w:val="21"/>
          <w:szCs w:val="21"/>
        </w:rPr>
        <w:t>Peninsula House</w:t>
      </w:r>
      <w:r w:rsidR="00434997" w:rsidRPr="00921878">
        <w:rPr>
          <w:rFonts w:ascii="Arial" w:hAnsi="Arial" w:cs="Arial"/>
          <w:sz w:val="21"/>
          <w:szCs w:val="21"/>
        </w:rPr>
        <w:t>,</w:t>
      </w:r>
      <w:r w:rsidR="007E5A95" w:rsidRPr="00921878">
        <w:rPr>
          <w:rFonts w:ascii="Arial" w:hAnsi="Arial" w:cs="Arial"/>
          <w:sz w:val="21"/>
          <w:szCs w:val="21"/>
        </w:rPr>
        <w:t xml:space="preserve"> Rydon Lane,</w:t>
      </w:r>
      <w:r w:rsidR="00434997" w:rsidRPr="00921878">
        <w:rPr>
          <w:rFonts w:ascii="Arial" w:hAnsi="Arial" w:cs="Arial"/>
          <w:sz w:val="21"/>
          <w:szCs w:val="21"/>
        </w:rPr>
        <w:t xml:space="preserve"> </w:t>
      </w:r>
      <w:r w:rsidRPr="00921878">
        <w:rPr>
          <w:rFonts w:ascii="Arial" w:hAnsi="Arial" w:cs="Arial"/>
          <w:sz w:val="21"/>
          <w:szCs w:val="21"/>
        </w:rPr>
        <w:t xml:space="preserve">Exeter </w:t>
      </w:r>
      <w:r w:rsidR="00432D5A" w:rsidRPr="00921878">
        <w:rPr>
          <w:rFonts w:ascii="Arial" w:hAnsi="Arial" w:cs="Arial"/>
          <w:sz w:val="21"/>
          <w:szCs w:val="21"/>
        </w:rPr>
        <w:t>EX2 7</w:t>
      </w:r>
      <w:r w:rsidR="007E5A95" w:rsidRPr="00921878">
        <w:rPr>
          <w:rFonts w:ascii="Arial" w:hAnsi="Arial" w:cs="Arial"/>
          <w:sz w:val="21"/>
          <w:szCs w:val="21"/>
        </w:rPr>
        <w:t>HR</w:t>
      </w:r>
      <w:r w:rsidR="00432D5A" w:rsidRPr="00921878">
        <w:rPr>
          <w:rFonts w:ascii="Arial" w:hAnsi="Arial" w:cs="Arial"/>
          <w:sz w:val="21"/>
          <w:szCs w:val="21"/>
        </w:rPr>
        <w:t xml:space="preserve"> </w:t>
      </w:r>
      <w:r w:rsidRPr="00921878">
        <w:rPr>
          <w:rFonts w:ascii="Arial" w:hAnsi="Arial" w:cs="Arial"/>
          <w:sz w:val="21"/>
          <w:szCs w:val="21"/>
        </w:rPr>
        <w:t xml:space="preserve">on </w:t>
      </w:r>
      <w:r w:rsidR="007E5A95" w:rsidRPr="00921878">
        <w:rPr>
          <w:rFonts w:ascii="Arial" w:hAnsi="Arial" w:cs="Arial"/>
          <w:sz w:val="21"/>
          <w:szCs w:val="21"/>
        </w:rPr>
        <w:t>Wednesday</w:t>
      </w:r>
      <w:r w:rsidRPr="00921878">
        <w:rPr>
          <w:rFonts w:ascii="Arial" w:hAnsi="Arial" w:cs="Arial"/>
          <w:sz w:val="21"/>
          <w:szCs w:val="21"/>
        </w:rPr>
        <w:t xml:space="preserve"> 2</w:t>
      </w:r>
      <w:r w:rsidR="007E5A95" w:rsidRPr="00921878">
        <w:rPr>
          <w:rFonts w:ascii="Arial" w:hAnsi="Arial" w:cs="Arial"/>
          <w:sz w:val="21"/>
          <w:szCs w:val="21"/>
        </w:rPr>
        <w:t>4</w:t>
      </w:r>
      <w:r w:rsidR="001D1044" w:rsidRPr="00921878">
        <w:rPr>
          <w:rFonts w:ascii="Arial" w:hAnsi="Arial" w:cs="Arial"/>
          <w:sz w:val="21"/>
          <w:szCs w:val="21"/>
          <w:vertAlign w:val="superscript"/>
        </w:rPr>
        <w:t>th</w:t>
      </w:r>
      <w:r w:rsidRPr="00921878">
        <w:rPr>
          <w:rFonts w:ascii="Arial" w:hAnsi="Arial" w:cs="Arial"/>
          <w:sz w:val="21"/>
          <w:szCs w:val="21"/>
        </w:rPr>
        <w:t xml:space="preserve"> July 202</w:t>
      </w:r>
      <w:r w:rsidR="007E5A95" w:rsidRPr="00921878">
        <w:rPr>
          <w:rFonts w:ascii="Arial" w:hAnsi="Arial" w:cs="Arial"/>
          <w:sz w:val="21"/>
          <w:szCs w:val="21"/>
        </w:rPr>
        <w:t>4</w:t>
      </w:r>
      <w:r w:rsidRPr="00921878">
        <w:rPr>
          <w:rFonts w:ascii="Arial" w:hAnsi="Arial" w:cs="Arial"/>
          <w:sz w:val="21"/>
          <w:szCs w:val="21"/>
        </w:rPr>
        <w:t xml:space="preserve"> the following Resolutions were passed as Ordinary and Special </w:t>
      </w:r>
      <w:proofErr w:type="gramStart"/>
      <w:r w:rsidRPr="00921878">
        <w:rPr>
          <w:rFonts w:ascii="Arial" w:hAnsi="Arial" w:cs="Arial"/>
          <w:sz w:val="21"/>
          <w:szCs w:val="21"/>
        </w:rPr>
        <w:t>Resolutions:-</w:t>
      </w:r>
      <w:proofErr w:type="gramEnd"/>
    </w:p>
    <w:p w14:paraId="26CBA68A" w14:textId="77777777" w:rsidR="00DA523A" w:rsidRPr="00A95920" w:rsidRDefault="00DA523A" w:rsidP="00DA523A">
      <w:pPr>
        <w:rPr>
          <w:rFonts w:ascii="Arial" w:hAnsi="Arial" w:cs="Arial"/>
          <w:sz w:val="21"/>
          <w:szCs w:val="21"/>
        </w:rPr>
      </w:pPr>
    </w:p>
    <w:p w14:paraId="40CBF1FE" w14:textId="099AE609" w:rsidR="001A0550" w:rsidRPr="008A7730" w:rsidRDefault="00DA523A" w:rsidP="00036EA5">
      <w:pPr>
        <w:rPr>
          <w:rFonts w:ascii="Arial" w:hAnsi="Arial" w:cs="Arial"/>
          <w:b/>
          <w:bCs/>
          <w:sz w:val="21"/>
          <w:szCs w:val="21"/>
          <w:u w:val="single"/>
        </w:rPr>
      </w:pPr>
      <w:r w:rsidRPr="00F75FEC">
        <w:rPr>
          <w:rFonts w:ascii="Arial" w:hAnsi="Arial" w:cs="Arial"/>
          <w:b/>
          <w:bCs/>
          <w:sz w:val="21"/>
          <w:szCs w:val="21"/>
          <w:u w:val="single"/>
        </w:rPr>
        <w:t>ORDINARY RESOLUTION</w:t>
      </w:r>
      <w:r w:rsidR="008C4012" w:rsidRPr="00F75FEC">
        <w:rPr>
          <w:rFonts w:ascii="Arial" w:hAnsi="Arial" w:cs="Arial"/>
          <w:b/>
          <w:bCs/>
          <w:sz w:val="21"/>
          <w:szCs w:val="21"/>
          <w:u w:val="single"/>
        </w:rPr>
        <w:t>S</w:t>
      </w:r>
    </w:p>
    <w:p w14:paraId="195CAC4B" w14:textId="34821D6C" w:rsidR="00ED0434" w:rsidRPr="00A95920" w:rsidRDefault="008C4012" w:rsidP="00ED0434">
      <w:pPr>
        <w:autoSpaceDE w:val="0"/>
        <w:autoSpaceDN w:val="0"/>
        <w:adjustRightInd w:val="0"/>
        <w:spacing w:after="0" w:line="240" w:lineRule="auto"/>
        <w:rPr>
          <w:rFonts w:ascii="Arial" w:hAnsi="Arial" w:cs="Arial"/>
          <w:b/>
          <w:bCs/>
          <w:sz w:val="21"/>
          <w:szCs w:val="21"/>
        </w:rPr>
      </w:pPr>
      <w:r w:rsidRPr="00A95920">
        <w:rPr>
          <w:rFonts w:ascii="Arial" w:hAnsi="Arial" w:cs="Arial"/>
          <w:b/>
          <w:bCs/>
          <w:sz w:val="21"/>
          <w:szCs w:val="21"/>
        </w:rPr>
        <w:t>Resolution 1</w:t>
      </w:r>
      <w:r w:rsidR="007E5A95">
        <w:rPr>
          <w:rFonts w:ascii="Arial" w:hAnsi="Arial" w:cs="Arial"/>
          <w:b/>
          <w:bCs/>
          <w:sz w:val="21"/>
          <w:szCs w:val="21"/>
        </w:rPr>
        <w:t>2</w:t>
      </w:r>
      <w:r w:rsidRPr="00A95920">
        <w:rPr>
          <w:rFonts w:ascii="Arial" w:hAnsi="Arial" w:cs="Arial"/>
          <w:b/>
          <w:bCs/>
          <w:sz w:val="21"/>
          <w:szCs w:val="21"/>
        </w:rPr>
        <w:t xml:space="preserve"> - </w:t>
      </w:r>
      <w:r w:rsidR="007E5A95">
        <w:rPr>
          <w:rFonts w:ascii="Arial" w:hAnsi="Arial" w:cs="Arial"/>
          <w:b/>
          <w:bCs/>
          <w:sz w:val="21"/>
          <w:szCs w:val="21"/>
        </w:rPr>
        <w:t>A</w:t>
      </w:r>
      <w:r w:rsidR="00ED0434" w:rsidRPr="00A95920">
        <w:rPr>
          <w:rFonts w:ascii="Arial" w:hAnsi="Arial" w:cs="Arial"/>
          <w:b/>
          <w:bCs/>
          <w:sz w:val="21"/>
          <w:szCs w:val="21"/>
        </w:rPr>
        <w:t>ppointment of auditor</w:t>
      </w:r>
    </w:p>
    <w:p w14:paraId="11448B7D" w14:textId="77777777" w:rsidR="008C4012" w:rsidRPr="00A95920" w:rsidRDefault="008C4012" w:rsidP="00ED0434">
      <w:pPr>
        <w:autoSpaceDE w:val="0"/>
        <w:autoSpaceDN w:val="0"/>
        <w:adjustRightInd w:val="0"/>
        <w:spacing w:after="0" w:line="240" w:lineRule="auto"/>
        <w:rPr>
          <w:rFonts w:ascii="Arial" w:hAnsi="Arial" w:cs="Arial"/>
          <w:b/>
          <w:bCs/>
          <w:sz w:val="21"/>
          <w:szCs w:val="21"/>
        </w:rPr>
      </w:pPr>
    </w:p>
    <w:p w14:paraId="739C563B" w14:textId="16A3164B" w:rsidR="00DD1A44" w:rsidRPr="008A7730" w:rsidRDefault="00434997" w:rsidP="008A7730">
      <w:pPr>
        <w:pStyle w:val="BodytextGeneric-Styles"/>
        <w:spacing w:after="40"/>
        <w:rPr>
          <w:rFonts w:ascii="Arial" w:hAnsi="Arial" w:cs="Arial"/>
          <w:color w:val="auto"/>
          <w:sz w:val="21"/>
          <w:szCs w:val="21"/>
        </w:rPr>
      </w:pPr>
      <w:r w:rsidRPr="00A95920">
        <w:rPr>
          <w:rFonts w:ascii="Arial" w:hAnsi="Arial" w:cs="Arial"/>
          <w:color w:val="auto"/>
          <w:sz w:val="21"/>
          <w:szCs w:val="21"/>
        </w:rPr>
        <w:t xml:space="preserve">That </w:t>
      </w:r>
      <w:r w:rsidR="007E5A95">
        <w:rPr>
          <w:rFonts w:ascii="Arial" w:hAnsi="Arial" w:cs="Arial"/>
          <w:color w:val="auto"/>
          <w:sz w:val="21"/>
          <w:szCs w:val="21"/>
        </w:rPr>
        <w:t>PricewaterhouseCoopers</w:t>
      </w:r>
      <w:r w:rsidRPr="00A95920">
        <w:rPr>
          <w:rFonts w:ascii="Arial" w:hAnsi="Arial" w:cs="Arial"/>
          <w:color w:val="auto"/>
          <w:sz w:val="21"/>
          <w:szCs w:val="21"/>
        </w:rPr>
        <w:t xml:space="preserve"> LLP be appointed as Auditor of the Company to hold office until the conclusion of the next AGM at which accounts are laid before the Company. </w:t>
      </w:r>
    </w:p>
    <w:p w14:paraId="7204955C" w14:textId="77777777" w:rsidR="00DD1A44" w:rsidRPr="00A95920" w:rsidRDefault="00DD1A44" w:rsidP="00ED0434">
      <w:pPr>
        <w:autoSpaceDE w:val="0"/>
        <w:autoSpaceDN w:val="0"/>
        <w:adjustRightInd w:val="0"/>
        <w:spacing w:after="0" w:line="240" w:lineRule="auto"/>
        <w:rPr>
          <w:rFonts w:ascii="Arial" w:hAnsi="Arial" w:cs="Arial"/>
          <w:sz w:val="21"/>
          <w:szCs w:val="21"/>
        </w:rPr>
      </w:pPr>
    </w:p>
    <w:p w14:paraId="10189411" w14:textId="1F4A03DB" w:rsidR="00ED0434" w:rsidRPr="00A95920" w:rsidRDefault="008C4012" w:rsidP="00ED0434">
      <w:pPr>
        <w:autoSpaceDE w:val="0"/>
        <w:autoSpaceDN w:val="0"/>
        <w:adjustRightInd w:val="0"/>
        <w:spacing w:after="0" w:line="240" w:lineRule="auto"/>
        <w:rPr>
          <w:rFonts w:ascii="Arial" w:hAnsi="Arial" w:cs="Arial"/>
          <w:b/>
          <w:bCs/>
          <w:sz w:val="21"/>
          <w:szCs w:val="21"/>
        </w:rPr>
      </w:pPr>
      <w:r w:rsidRPr="00A95920">
        <w:rPr>
          <w:rFonts w:ascii="Arial" w:hAnsi="Arial" w:cs="Arial"/>
          <w:b/>
          <w:bCs/>
          <w:sz w:val="21"/>
          <w:szCs w:val="21"/>
        </w:rPr>
        <w:t>Resolution 1</w:t>
      </w:r>
      <w:r w:rsidR="007E5A95">
        <w:rPr>
          <w:rFonts w:ascii="Arial" w:hAnsi="Arial" w:cs="Arial"/>
          <w:b/>
          <w:bCs/>
          <w:sz w:val="21"/>
          <w:szCs w:val="21"/>
        </w:rPr>
        <w:t>5</w:t>
      </w:r>
      <w:r w:rsidRPr="00A95920">
        <w:rPr>
          <w:rFonts w:ascii="Arial" w:hAnsi="Arial" w:cs="Arial"/>
          <w:b/>
          <w:bCs/>
          <w:sz w:val="21"/>
          <w:szCs w:val="21"/>
        </w:rPr>
        <w:t xml:space="preserve"> - </w:t>
      </w:r>
      <w:r w:rsidR="00ED0434" w:rsidRPr="00A95920">
        <w:rPr>
          <w:rFonts w:ascii="Arial" w:hAnsi="Arial" w:cs="Arial"/>
          <w:b/>
          <w:bCs/>
          <w:sz w:val="21"/>
          <w:szCs w:val="21"/>
        </w:rPr>
        <w:t xml:space="preserve">Authority to allot </w:t>
      </w:r>
      <w:proofErr w:type="gramStart"/>
      <w:r w:rsidR="00ED0434" w:rsidRPr="00A95920">
        <w:rPr>
          <w:rFonts w:ascii="Arial" w:hAnsi="Arial" w:cs="Arial"/>
          <w:b/>
          <w:bCs/>
          <w:sz w:val="21"/>
          <w:szCs w:val="21"/>
        </w:rPr>
        <w:t>shares</w:t>
      </w:r>
      <w:proofErr w:type="gramEnd"/>
    </w:p>
    <w:p w14:paraId="7C72FA5B" w14:textId="77777777" w:rsidR="00DD1A44" w:rsidRPr="00A95920" w:rsidRDefault="00DD1A44" w:rsidP="00ED0434">
      <w:pPr>
        <w:autoSpaceDE w:val="0"/>
        <w:autoSpaceDN w:val="0"/>
        <w:adjustRightInd w:val="0"/>
        <w:spacing w:after="0" w:line="240" w:lineRule="auto"/>
        <w:rPr>
          <w:rFonts w:ascii="Arial" w:hAnsi="Arial" w:cs="Arial"/>
          <w:sz w:val="21"/>
          <w:szCs w:val="21"/>
        </w:rPr>
      </w:pPr>
    </w:p>
    <w:p w14:paraId="416F6D12" w14:textId="77777777" w:rsidR="00434997" w:rsidRPr="00A95920" w:rsidRDefault="00434997" w:rsidP="00434997">
      <w:pPr>
        <w:pStyle w:val="BodytextGeneric-Styles"/>
        <w:rPr>
          <w:rFonts w:ascii="Arial" w:hAnsi="Arial" w:cs="Arial"/>
          <w:sz w:val="21"/>
          <w:szCs w:val="21"/>
        </w:rPr>
      </w:pPr>
      <w:r w:rsidRPr="00A95920">
        <w:rPr>
          <w:rFonts w:ascii="Arial" w:hAnsi="Arial" w:cs="Arial"/>
          <w:sz w:val="21"/>
          <w:szCs w:val="21"/>
        </w:rPr>
        <w:t xml:space="preserve">That: </w:t>
      </w:r>
    </w:p>
    <w:p w14:paraId="6AB826E0" w14:textId="77777777" w:rsidR="00434997" w:rsidRPr="00A95920" w:rsidRDefault="00434997" w:rsidP="00434997">
      <w:pPr>
        <w:pStyle w:val="a-List-2-restartGeneric-StylesLists"/>
        <w:numPr>
          <w:ilvl w:val="0"/>
          <w:numId w:val="9"/>
        </w:numPr>
        <w:rPr>
          <w:rFonts w:ascii="Arial" w:hAnsi="Arial" w:cs="Arial"/>
          <w:sz w:val="21"/>
          <w:szCs w:val="21"/>
        </w:rPr>
      </w:pPr>
      <w:r w:rsidRPr="00A95920">
        <w:rPr>
          <w:rFonts w:ascii="Arial" w:hAnsi="Arial" w:cs="Arial"/>
          <w:sz w:val="21"/>
          <w:szCs w:val="21"/>
        </w:rPr>
        <w:t xml:space="preserve">the Directors be generally and unconditionally authorised, in accordance with Section 551 of the Act, to exercise all powers of the Company to allot shares in the Company and grant rights to subscribe for, or convert any security into, shares in the Company: </w:t>
      </w:r>
    </w:p>
    <w:p w14:paraId="35B84953" w14:textId="763D3D99" w:rsidR="00434997" w:rsidRPr="00A95920" w:rsidRDefault="00434997" w:rsidP="00434997">
      <w:pPr>
        <w:pStyle w:val="iii-List-3Generic-StylesLists"/>
        <w:numPr>
          <w:ilvl w:val="0"/>
          <w:numId w:val="10"/>
        </w:numPr>
        <w:rPr>
          <w:rFonts w:ascii="Arial" w:hAnsi="Arial" w:cs="Arial"/>
          <w:sz w:val="21"/>
          <w:szCs w:val="21"/>
        </w:rPr>
      </w:pPr>
      <w:r w:rsidRPr="00A95920">
        <w:rPr>
          <w:rFonts w:ascii="Arial" w:hAnsi="Arial" w:cs="Arial"/>
          <w:sz w:val="21"/>
          <w:szCs w:val="21"/>
        </w:rPr>
        <w:t>up to a maximum nominal amount of £5</w:t>
      </w:r>
      <w:r w:rsidR="007E5A95">
        <w:rPr>
          <w:rFonts w:ascii="Arial" w:hAnsi="Arial" w:cs="Arial"/>
          <w:sz w:val="21"/>
          <w:szCs w:val="21"/>
        </w:rPr>
        <w:t>8,209,077</w:t>
      </w:r>
      <w:r w:rsidRPr="00A95920">
        <w:rPr>
          <w:rFonts w:ascii="Arial" w:hAnsi="Arial" w:cs="Arial"/>
          <w:sz w:val="21"/>
          <w:szCs w:val="21"/>
        </w:rPr>
        <w:t xml:space="preserve"> (such amount to be reduced by the nominal amount of any equity securities (as defined in Section 560 of the Act) allotted under paragraph (ii) below </w:t>
      </w:r>
      <w:proofErr w:type="gramStart"/>
      <w:r w:rsidRPr="00A95920">
        <w:rPr>
          <w:rFonts w:ascii="Arial" w:hAnsi="Arial" w:cs="Arial"/>
          <w:sz w:val="21"/>
          <w:szCs w:val="21"/>
        </w:rPr>
        <w:t>in excess of</w:t>
      </w:r>
      <w:proofErr w:type="gramEnd"/>
      <w:r w:rsidRPr="00A95920">
        <w:rPr>
          <w:rFonts w:ascii="Arial" w:hAnsi="Arial" w:cs="Arial"/>
          <w:sz w:val="21"/>
          <w:szCs w:val="21"/>
        </w:rPr>
        <w:t xml:space="preserve"> £5</w:t>
      </w:r>
      <w:r w:rsidR="007E5A95">
        <w:rPr>
          <w:rFonts w:ascii="Arial" w:hAnsi="Arial" w:cs="Arial"/>
          <w:sz w:val="21"/>
          <w:szCs w:val="21"/>
        </w:rPr>
        <w:t>8,209,077</w:t>
      </w:r>
      <w:r w:rsidRPr="00A95920">
        <w:rPr>
          <w:rFonts w:ascii="Arial" w:hAnsi="Arial" w:cs="Arial"/>
          <w:sz w:val="21"/>
          <w:szCs w:val="21"/>
        </w:rPr>
        <w:t xml:space="preserve">); and </w:t>
      </w:r>
    </w:p>
    <w:p w14:paraId="79E1C8D8" w14:textId="143071CF" w:rsidR="00434997" w:rsidRPr="00A95920" w:rsidRDefault="00434997" w:rsidP="00434997">
      <w:pPr>
        <w:pStyle w:val="iii-List-3Generic-StylesLists"/>
        <w:numPr>
          <w:ilvl w:val="0"/>
          <w:numId w:val="10"/>
        </w:numPr>
        <w:rPr>
          <w:rFonts w:ascii="Arial" w:hAnsi="Arial" w:cs="Arial"/>
          <w:sz w:val="21"/>
          <w:szCs w:val="21"/>
        </w:rPr>
      </w:pPr>
      <w:r w:rsidRPr="00A95920">
        <w:rPr>
          <w:rFonts w:ascii="Arial" w:hAnsi="Arial" w:cs="Arial"/>
          <w:sz w:val="21"/>
          <w:szCs w:val="21"/>
        </w:rPr>
        <w:t>comprising equity securities (as defined in Section 560 of the Act) up to a maximum nominal amount of £1</w:t>
      </w:r>
      <w:r w:rsidR="007E5A95">
        <w:rPr>
          <w:rFonts w:ascii="Arial" w:hAnsi="Arial" w:cs="Arial"/>
          <w:sz w:val="21"/>
          <w:szCs w:val="21"/>
        </w:rPr>
        <w:t>16,418,155</w:t>
      </w:r>
      <w:r w:rsidRPr="00A95920">
        <w:rPr>
          <w:rFonts w:ascii="Arial" w:hAnsi="Arial" w:cs="Arial"/>
          <w:sz w:val="21"/>
          <w:szCs w:val="21"/>
        </w:rPr>
        <w:t xml:space="preserve"> (such amount to be reduced by any shares allotted or rights granted under paragraph (</w:t>
      </w:r>
      <w:proofErr w:type="spellStart"/>
      <w:r w:rsidRPr="00A95920">
        <w:rPr>
          <w:rFonts w:ascii="Arial" w:hAnsi="Arial" w:cs="Arial"/>
          <w:sz w:val="21"/>
          <w:szCs w:val="21"/>
        </w:rPr>
        <w:t>i</w:t>
      </w:r>
      <w:proofErr w:type="spellEnd"/>
      <w:r w:rsidRPr="00A95920">
        <w:rPr>
          <w:rFonts w:ascii="Arial" w:hAnsi="Arial" w:cs="Arial"/>
          <w:sz w:val="21"/>
          <w:szCs w:val="21"/>
        </w:rPr>
        <w:t xml:space="preserve">) above) in connection with an offer by way of a rights issue: </w:t>
      </w:r>
    </w:p>
    <w:p w14:paraId="65E3028C" w14:textId="77777777" w:rsidR="00434997" w:rsidRPr="00A95920" w:rsidRDefault="00434997" w:rsidP="00434997">
      <w:pPr>
        <w:pStyle w:val="A-List-4Generic-StylesLists"/>
        <w:numPr>
          <w:ilvl w:val="0"/>
          <w:numId w:val="11"/>
        </w:numPr>
        <w:rPr>
          <w:rFonts w:ascii="Arial" w:hAnsi="Arial" w:cs="Arial"/>
          <w:sz w:val="21"/>
          <w:szCs w:val="21"/>
        </w:rPr>
      </w:pPr>
      <w:r w:rsidRPr="00A95920">
        <w:rPr>
          <w:rFonts w:ascii="Arial" w:hAnsi="Arial" w:cs="Arial"/>
          <w:sz w:val="21"/>
          <w:szCs w:val="21"/>
        </w:rPr>
        <w:t xml:space="preserve">to holders of ordinary shares in proportion (as nearly as may be practicable) to their existing holdings; and </w:t>
      </w:r>
    </w:p>
    <w:p w14:paraId="50E5AD45" w14:textId="77777777" w:rsidR="00434997" w:rsidRPr="00A95920" w:rsidRDefault="00434997" w:rsidP="00434997">
      <w:pPr>
        <w:pStyle w:val="A-List-4Generic-StylesLists"/>
        <w:numPr>
          <w:ilvl w:val="0"/>
          <w:numId w:val="11"/>
        </w:numPr>
        <w:rPr>
          <w:rFonts w:ascii="Arial" w:hAnsi="Arial" w:cs="Arial"/>
          <w:sz w:val="21"/>
          <w:szCs w:val="21"/>
        </w:rPr>
      </w:pPr>
      <w:r w:rsidRPr="00A95920">
        <w:rPr>
          <w:rFonts w:ascii="Arial" w:hAnsi="Arial" w:cs="Arial"/>
          <w:sz w:val="21"/>
          <w:szCs w:val="21"/>
        </w:rPr>
        <w:t>to holders of other equity securities if this is required by the rights of those securities or, if the Directors consider it necessary, as permitted by the rights of those securities,</w:t>
      </w:r>
    </w:p>
    <w:p w14:paraId="163505F0" w14:textId="77777777" w:rsidR="00434997" w:rsidRPr="00A95920" w:rsidRDefault="00434997" w:rsidP="000F4890">
      <w:pPr>
        <w:pStyle w:val="a-List-2-indent-6Generic-StylesLists"/>
        <w:ind w:left="1440"/>
        <w:rPr>
          <w:rFonts w:ascii="Arial" w:hAnsi="Arial" w:cs="Arial"/>
          <w:sz w:val="21"/>
          <w:szCs w:val="21"/>
        </w:rPr>
      </w:pPr>
      <w:r w:rsidRPr="00A95920">
        <w:rPr>
          <w:rFonts w:ascii="Arial" w:hAnsi="Arial" w:cs="Arial"/>
          <w:sz w:val="21"/>
          <w:szCs w:val="21"/>
        </w:rPr>
        <w:t xml:space="preserve">and so that the Directors may impose such exclusions, limits or other restrictions and make any other arrangements as they consider expedient, </w:t>
      </w:r>
      <w:proofErr w:type="gramStart"/>
      <w:r w:rsidRPr="00A95920">
        <w:rPr>
          <w:rFonts w:ascii="Arial" w:hAnsi="Arial" w:cs="Arial"/>
          <w:sz w:val="21"/>
          <w:szCs w:val="21"/>
        </w:rPr>
        <w:t>necessary</w:t>
      </w:r>
      <w:proofErr w:type="gramEnd"/>
      <w:r w:rsidRPr="00A95920">
        <w:rPr>
          <w:rFonts w:ascii="Arial" w:hAnsi="Arial" w:cs="Arial"/>
          <w:sz w:val="21"/>
          <w:szCs w:val="21"/>
        </w:rPr>
        <w:t xml:space="preserve"> or appropriate in relation to treasury shares, fractional entitlements, record dates, shares represented by depositary receipts, legal, regulatory or practical problems under the laws in any territory or the requirements of any relevant regulatory body or stock exchange or any other matter, provided that: </w:t>
      </w:r>
    </w:p>
    <w:p w14:paraId="0B3181D0" w14:textId="6FC5D8D0" w:rsidR="00434997" w:rsidRPr="00A95920" w:rsidRDefault="00434997" w:rsidP="00434997">
      <w:pPr>
        <w:pStyle w:val="a-List-2Generic-StylesLists"/>
        <w:numPr>
          <w:ilvl w:val="0"/>
          <w:numId w:val="12"/>
        </w:numPr>
        <w:rPr>
          <w:rFonts w:ascii="Arial" w:hAnsi="Arial" w:cs="Arial"/>
          <w:sz w:val="21"/>
          <w:szCs w:val="21"/>
        </w:rPr>
      </w:pPr>
      <w:r w:rsidRPr="00A95920">
        <w:rPr>
          <w:rFonts w:ascii="Arial" w:hAnsi="Arial" w:cs="Arial"/>
          <w:sz w:val="21"/>
          <w:szCs w:val="21"/>
        </w:rPr>
        <w:t>this authority shall expire at the conclusion of the next AGM of the Company after the passing of this resolution or, if earlier, at the close of business on 1</w:t>
      </w:r>
      <w:r w:rsidR="008A7730" w:rsidRPr="008A7730">
        <w:rPr>
          <w:rFonts w:ascii="Arial" w:hAnsi="Arial" w:cs="Arial"/>
          <w:sz w:val="21"/>
          <w:szCs w:val="21"/>
          <w:vertAlign w:val="superscript"/>
        </w:rPr>
        <w:t>st</w:t>
      </w:r>
      <w:r w:rsidRPr="00A95920">
        <w:rPr>
          <w:rFonts w:ascii="Arial" w:hAnsi="Arial" w:cs="Arial"/>
          <w:sz w:val="21"/>
          <w:szCs w:val="21"/>
        </w:rPr>
        <w:t xml:space="preserve"> October </w:t>
      </w:r>
      <w:proofErr w:type="gramStart"/>
      <w:r w:rsidRPr="00A95920">
        <w:rPr>
          <w:rFonts w:ascii="Arial" w:hAnsi="Arial" w:cs="Arial"/>
          <w:sz w:val="21"/>
          <w:szCs w:val="21"/>
        </w:rPr>
        <w:t>202</w:t>
      </w:r>
      <w:r w:rsidR="007E5A95">
        <w:rPr>
          <w:rFonts w:ascii="Arial" w:hAnsi="Arial" w:cs="Arial"/>
          <w:sz w:val="21"/>
          <w:szCs w:val="21"/>
        </w:rPr>
        <w:t>5</w:t>
      </w:r>
      <w:r w:rsidRPr="00A95920">
        <w:rPr>
          <w:rFonts w:ascii="Arial" w:hAnsi="Arial" w:cs="Arial"/>
          <w:sz w:val="21"/>
          <w:szCs w:val="21"/>
        </w:rPr>
        <w:t>;</w:t>
      </w:r>
      <w:proofErr w:type="gramEnd"/>
    </w:p>
    <w:p w14:paraId="054DAFD4" w14:textId="77777777" w:rsidR="00434997" w:rsidRPr="00A95920" w:rsidRDefault="00434997" w:rsidP="00434997">
      <w:pPr>
        <w:pStyle w:val="a-List-2Generic-StylesLists"/>
        <w:numPr>
          <w:ilvl w:val="0"/>
          <w:numId w:val="12"/>
        </w:numPr>
        <w:rPr>
          <w:rFonts w:ascii="Arial" w:hAnsi="Arial" w:cs="Arial"/>
          <w:sz w:val="21"/>
          <w:szCs w:val="21"/>
        </w:rPr>
      </w:pPr>
      <w:r w:rsidRPr="00A95920">
        <w:rPr>
          <w:rFonts w:ascii="Arial" w:hAnsi="Arial" w:cs="Arial"/>
          <w:sz w:val="21"/>
          <w:szCs w:val="21"/>
        </w:rPr>
        <w:t xml:space="preserve">the Company may, before this authority expires, make an offer, or enter into an agreement which would or might require shares to be allotted or rights to be granted </w:t>
      </w:r>
      <w:r w:rsidRPr="00A95920">
        <w:rPr>
          <w:rFonts w:ascii="Arial" w:hAnsi="Arial" w:cs="Arial"/>
          <w:sz w:val="21"/>
          <w:szCs w:val="21"/>
        </w:rPr>
        <w:lastRenderedPageBreak/>
        <w:t xml:space="preserve">after it expires, and the Directors may allot shares or grant rights in pursuance of such offer or agreement as if this authority had not expired; and </w:t>
      </w:r>
    </w:p>
    <w:p w14:paraId="105F1263" w14:textId="67B14903" w:rsidR="00434997" w:rsidRPr="00A95920" w:rsidRDefault="00434997" w:rsidP="00434997">
      <w:pPr>
        <w:pStyle w:val="a-List-2Generic-StylesLists"/>
        <w:numPr>
          <w:ilvl w:val="0"/>
          <w:numId w:val="12"/>
        </w:numPr>
        <w:rPr>
          <w:rFonts w:ascii="Arial" w:hAnsi="Arial" w:cs="Arial"/>
          <w:sz w:val="21"/>
          <w:szCs w:val="21"/>
        </w:rPr>
      </w:pPr>
      <w:r w:rsidRPr="00A95920">
        <w:rPr>
          <w:rFonts w:ascii="Arial" w:hAnsi="Arial" w:cs="Arial"/>
          <w:sz w:val="21"/>
          <w:szCs w:val="21"/>
        </w:rPr>
        <w:t xml:space="preserve">all previous unutilised authorities under Section 551 of the Act shall cease to have effect (save to the extent that the same are exercisable pursuant to Section 551(7) of the Act by reason of any offer or agreement made prior to the date of this resolution which would or might require shares to be allotted or rights to be granted on or after that date). </w:t>
      </w:r>
    </w:p>
    <w:p w14:paraId="29799250" w14:textId="77777777" w:rsidR="007E5A95" w:rsidRDefault="007E5A95" w:rsidP="007223FA">
      <w:pPr>
        <w:pStyle w:val="BodytextGeneric-Styles"/>
        <w:rPr>
          <w:rFonts w:ascii="Arial" w:hAnsi="Arial" w:cs="Arial"/>
          <w:color w:val="auto"/>
          <w:sz w:val="21"/>
          <w:szCs w:val="21"/>
        </w:rPr>
      </w:pPr>
    </w:p>
    <w:p w14:paraId="607943A2" w14:textId="1EDD468E" w:rsidR="007E5A95" w:rsidRDefault="007E5A95" w:rsidP="007223FA">
      <w:pPr>
        <w:pStyle w:val="BodytextGeneric-Styles"/>
        <w:rPr>
          <w:rFonts w:ascii="Arial" w:hAnsi="Arial" w:cs="Arial"/>
          <w:b/>
          <w:bCs/>
          <w:color w:val="auto"/>
          <w:sz w:val="21"/>
          <w:szCs w:val="21"/>
        </w:rPr>
      </w:pPr>
      <w:r>
        <w:rPr>
          <w:rFonts w:ascii="Arial" w:hAnsi="Arial" w:cs="Arial"/>
          <w:b/>
          <w:bCs/>
          <w:color w:val="auto"/>
          <w:sz w:val="21"/>
          <w:szCs w:val="21"/>
        </w:rPr>
        <w:t>Resolution 17 – The adoption of the Pennon Group Sharesave Scheme (the “2024 Sharesave”)</w:t>
      </w:r>
    </w:p>
    <w:p w14:paraId="5799F3E0" w14:textId="77777777" w:rsidR="007E5A95" w:rsidRDefault="007E5A95" w:rsidP="007223FA">
      <w:pPr>
        <w:pStyle w:val="BodytextGeneric-Styles"/>
        <w:rPr>
          <w:rFonts w:ascii="Arial" w:hAnsi="Arial" w:cs="Arial"/>
          <w:b/>
          <w:bCs/>
          <w:color w:val="auto"/>
          <w:sz w:val="21"/>
          <w:szCs w:val="21"/>
        </w:rPr>
      </w:pPr>
    </w:p>
    <w:p w14:paraId="0F2BBE55" w14:textId="1BEF9213" w:rsidR="007E5A95" w:rsidRDefault="007E5A95" w:rsidP="007223FA">
      <w:pPr>
        <w:pStyle w:val="BodytextGeneric-Styles"/>
        <w:rPr>
          <w:rFonts w:ascii="Arial" w:hAnsi="Arial" w:cs="Arial"/>
          <w:color w:val="auto"/>
          <w:sz w:val="21"/>
          <w:szCs w:val="21"/>
        </w:rPr>
      </w:pPr>
      <w:r>
        <w:rPr>
          <w:rFonts w:ascii="Arial" w:hAnsi="Arial" w:cs="Arial"/>
          <w:color w:val="auto"/>
          <w:sz w:val="21"/>
          <w:szCs w:val="21"/>
        </w:rPr>
        <w:t>That:</w:t>
      </w:r>
    </w:p>
    <w:p w14:paraId="79F13E78" w14:textId="19D448C6" w:rsidR="007E5A95" w:rsidRDefault="00BD1CA5" w:rsidP="007E5A95">
      <w:pPr>
        <w:pStyle w:val="BodytextGeneric-Styles"/>
        <w:numPr>
          <w:ilvl w:val="0"/>
          <w:numId w:val="23"/>
        </w:numPr>
        <w:rPr>
          <w:rFonts w:ascii="Arial" w:hAnsi="Arial" w:cs="Arial"/>
          <w:color w:val="auto"/>
          <w:sz w:val="21"/>
          <w:szCs w:val="21"/>
        </w:rPr>
      </w:pPr>
      <w:r>
        <w:rPr>
          <w:rFonts w:ascii="Arial" w:hAnsi="Arial" w:cs="Arial"/>
          <w:color w:val="auto"/>
          <w:sz w:val="21"/>
          <w:szCs w:val="21"/>
        </w:rPr>
        <w:t>the rules of the 2024 Sharesave in the form produced to the meeting and initialled by the Chair for the purposes of identification, the principal terms of which are summarised in Appendix 2 to the Notice</w:t>
      </w:r>
      <w:r w:rsidR="003C75EA">
        <w:rPr>
          <w:rFonts w:ascii="Arial" w:hAnsi="Arial" w:cs="Arial"/>
          <w:color w:val="auto"/>
          <w:sz w:val="21"/>
          <w:szCs w:val="21"/>
        </w:rPr>
        <w:t xml:space="preserve"> of the meeting</w:t>
      </w:r>
      <w:r>
        <w:rPr>
          <w:rFonts w:ascii="Arial" w:hAnsi="Arial" w:cs="Arial"/>
          <w:color w:val="auto"/>
          <w:sz w:val="21"/>
          <w:szCs w:val="21"/>
        </w:rPr>
        <w:t xml:space="preserve">, be approved; and </w:t>
      </w:r>
    </w:p>
    <w:p w14:paraId="73DAC024" w14:textId="6CE48A86" w:rsidR="00BD1CA5" w:rsidRPr="008A7730" w:rsidRDefault="00BD1CA5" w:rsidP="00BD1CA5">
      <w:pPr>
        <w:pStyle w:val="BodytextGeneric-Styles"/>
        <w:numPr>
          <w:ilvl w:val="0"/>
          <w:numId w:val="23"/>
        </w:numPr>
        <w:rPr>
          <w:rFonts w:ascii="Arial" w:hAnsi="Arial" w:cs="Arial"/>
          <w:color w:val="auto"/>
          <w:sz w:val="21"/>
          <w:szCs w:val="21"/>
        </w:rPr>
      </w:pPr>
      <w:r>
        <w:rPr>
          <w:rFonts w:ascii="Arial" w:hAnsi="Arial" w:cs="Arial"/>
          <w:color w:val="auto"/>
          <w:sz w:val="21"/>
          <w:szCs w:val="21"/>
        </w:rPr>
        <w:t xml:space="preserve">the Directors be authorised to do what they consider necessary or expedient to implement the 2024 Sharesave and to establish further plans based on the 2024 Sharesave to take account of local tax, exchange control or securities laws in overseas territories provided that any shares made available under any other such plans count against any limits on individual or overall participation under the 2024 Sharesave. </w:t>
      </w:r>
    </w:p>
    <w:p w14:paraId="5F42AF90" w14:textId="61901F38" w:rsidR="00BD1CA5" w:rsidRDefault="00BD1CA5" w:rsidP="00BD1CA5">
      <w:pPr>
        <w:pStyle w:val="BodytextGeneric-Styles"/>
        <w:rPr>
          <w:rFonts w:ascii="Arial" w:hAnsi="Arial" w:cs="Arial"/>
          <w:b/>
          <w:bCs/>
          <w:color w:val="auto"/>
          <w:sz w:val="21"/>
          <w:szCs w:val="21"/>
        </w:rPr>
      </w:pPr>
    </w:p>
    <w:p w14:paraId="3E6912F3" w14:textId="78E8A340" w:rsidR="00BD1CA5" w:rsidRDefault="00BD1CA5" w:rsidP="00BD1CA5">
      <w:pPr>
        <w:pStyle w:val="BodytextGeneric-Styles"/>
        <w:rPr>
          <w:rFonts w:ascii="Arial" w:hAnsi="Arial" w:cs="Arial"/>
          <w:b/>
          <w:bCs/>
          <w:color w:val="auto"/>
          <w:sz w:val="21"/>
          <w:szCs w:val="21"/>
        </w:rPr>
      </w:pPr>
      <w:r>
        <w:rPr>
          <w:rFonts w:ascii="Arial" w:hAnsi="Arial" w:cs="Arial"/>
          <w:b/>
          <w:bCs/>
          <w:color w:val="auto"/>
          <w:sz w:val="21"/>
          <w:szCs w:val="21"/>
        </w:rPr>
        <w:t>Resolution 18 – The adoption of the Pennon Group All-Employee Share Incentive Plan (the “2024 SIP”)</w:t>
      </w:r>
    </w:p>
    <w:p w14:paraId="17C7B4F5" w14:textId="77777777" w:rsidR="00BD1CA5" w:rsidRDefault="00BD1CA5" w:rsidP="00BD1CA5">
      <w:pPr>
        <w:pStyle w:val="BodytextGeneric-Styles"/>
        <w:rPr>
          <w:rFonts w:ascii="Arial" w:hAnsi="Arial" w:cs="Arial"/>
          <w:b/>
          <w:bCs/>
          <w:color w:val="auto"/>
          <w:sz w:val="21"/>
          <w:szCs w:val="21"/>
        </w:rPr>
      </w:pPr>
    </w:p>
    <w:p w14:paraId="3C45166A" w14:textId="250A4827" w:rsidR="00BD1CA5" w:rsidRDefault="00BD1CA5" w:rsidP="00BD1CA5">
      <w:pPr>
        <w:pStyle w:val="BodytextGeneric-Styles"/>
        <w:rPr>
          <w:rFonts w:ascii="Arial" w:hAnsi="Arial" w:cs="Arial"/>
          <w:color w:val="auto"/>
          <w:sz w:val="21"/>
          <w:szCs w:val="21"/>
        </w:rPr>
      </w:pPr>
      <w:r>
        <w:rPr>
          <w:rFonts w:ascii="Arial" w:hAnsi="Arial" w:cs="Arial"/>
          <w:color w:val="auto"/>
          <w:sz w:val="21"/>
          <w:szCs w:val="21"/>
        </w:rPr>
        <w:t>That:</w:t>
      </w:r>
    </w:p>
    <w:p w14:paraId="1756C040" w14:textId="7B003B27" w:rsidR="00BD1CA5" w:rsidRDefault="00BD1CA5" w:rsidP="00BD1CA5">
      <w:pPr>
        <w:pStyle w:val="BodytextGeneric-Styles"/>
        <w:numPr>
          <w:ilvl w:val="0"/>
          <w:numId w:val="24"/>
        </w:numPr>
        <w:rPr>
          <w:rFonts w:ascii="Arial" w:hAnsi="Arial" w:cs="Arial"/>
          <w:color w:val="auto"/>
          <w:sz w:val="21"/>
          <w:szCs w:val="21"/>
        </w:rPr>
      </w:pPr>
      <w:r>
        <w:rPr>
          <w:rFonts w:ascii="Arial" w:hAnsi="Arial" w:cs="Arial"/>
          <w:color w:val="auto"/>
          <w:sz w:val="21"/>
          <w:szCs w:val="21"/>
        </w:rPr>
        <w:t>the rules of the 2024 SIP in the form produced to the meeting and initialled by the Chair for the purposes of identification, the principal terms of which are summarised in Appendix 2 to the Notice</w:t>
      </w:r>
      <w:r w:rsidR="00DB4B81">
        <w:rPr>
          <w:rFonts w:ascii="Arial" w:hAnsi="Arial" w:cs="Arial"/>
          <w:color w:val="auto"/>
          <w:sz w:val="21"/>
          <w:szCs w:val="21"/>
        </w:rPr>
        <w:t xml:space="preserve"> of Meeting</w:t>
      </w:r>
      <w:r>
        <w:rPr>
          <w:rFonts w:ascii="Arial" w:hAnsi="Arial" w:cs="Arial"/>
          <w:color w:val="auto"/>
          <w:sz w:val="21"/>
          <w:szCs w:val="21"/>
        </w:rPr>
        <w:t>, be approved; and</w:t>
      </w:r>
    </w:p>
    <w:p w14:paraId="7D5E9AF4" w14:textId="67B38E72" w:rsidR="007223FA" w:rsidRPr="008A7730" w:rsidRDefault="00BD1CA5" w:rsidP="008A7730">
      <w:pPr>
        <w:pStyle w:val="BodytextGeneric-Styles"/>
        <w:numPr>
          <w:ilvl w:val="0"/>
          <w:numId w:val="24"/>
        </w:numPr>
        <w:rPr>
          <w:rFonts w:ascii="Arial" w:hAnsi="Arial" w:cs="Arial"/>
          <w:color w:val="auto"/>
          <w:sz w:val="21"/>
          <w:szCs w:val="21"/>
        </w:rPr>
      </w:pPr>
      <w:r>
        <w:rPr>
          <w:rFonts w:ascii="Arial" w:hAnsi="Arial" w:cs="Arial"/>
          <w:color w:val="auto"/>
          <w:sz w:val="21"/>
          <w:szCs w:val="21"/>
        </w:rPr>
        <w:t>the Directors be authorised to do what they consider necessary or expedient to implement the 2024 SIP and to establish further plans based on the 20</w:t>
      </w:r>
      <w:r w:rsidR="008A7730">
        <w:rPr>
          <w:rFonts w:ascii="Arial" w:hAnsi="Arial" w:cs="Arial"/>
          <w:color w:val="auto"/>
          <w:sz w:val="21"/>
          <w:szCs w:val="21"/>
        </w:rPr>
        <w:t>2</w:t>
      </w:r>
      <w:r>
        <w:rPr>
          <w:rFonts w:ascii="Arial" w:hAnsi="Arial" w:cs="Arial"/>
          <w:color w:val="auto"/>
          <w:sz w:val="21"/>
          <w:szCs w:val="21"/>
        </w:rPr>
        <w:t xml:space="preserve">4 SIP to take account of local tax, exchange control or securities laws in overseas territories provided that any shares made available under any other such plans count against any limits on individual or overall participation under the 2024 SIP. </w:t>
      </w:r>
    </w:p>
    <w:p w14:paraId="586C9275" w14:textId="77777777" w:rsidR="00ED0434" w:rsidRPr="00A95920" w:rsidRDefault="00ED0434" w:rsidP="00ED0434">
      <w:pPr>
        <w:autoSpaceDE w:val="0"/>
        <w:autoSpaceDN w:val="0"/>
        <w:adjustRightInd w:val="0"/>
        <w:spacing w:after="0" w:line="240" w:lineRule="auto"/>
        <w:rPr>
          <w:rFonts w:ascii="Arial" w:hAnsi="Arial" w:cs="Arial"/>
          <w:sz w:val="21"/>
          <w:szCs w:val="21"/>
        </w:rPr>
      </w:pPr>
    </w:p>
    <w:p w14:paraId="60985844" w14:textId="2AD06753" w:rsidR="00ED0434" w:rsidRPr="00F75FEC" w:rsidRDefault="008C4012" w:rsidP="00F12C69">
      <w:pPr>
        <w:autoSpaceDE w:val="0"/>
        <w:autoSpaceDN w:val="0"/>
        <w:adjustRightInd w:val="0"/>
        <w:spacing w:after="0" w:line="240" w:lineRule="auto"/>
        <w:rPr>
          <w:rFonts w:ascii="Arial" w:hAnsi="Arial" w:cs="Arial"/>
          <w:b/>
          <w:bCs/>
          <w:sz w:val="21"/>
          <w:szCs w:val="21"/>
          <w:u w:val="single"/>
        </w:rPr>
      </w:pPr>
      <w:r w:rsidRPr="00F75FEC">
        <w:rPr>
          <w:rFonts w:ascii="Arial" w:hAnsi="Arial" w:cs="Arial"/>
          <w:b/>
          <w:bCs/>
          <w:sz w:val="21"/>
          <w:szCs w:val="21"/>
          <w:u w:val="single"/>
        </w:rPr>
        <w:t>SPECIAL RESOLUTIONS</w:t>
      </w:r>
    </w:p>
    <w:p w14:paraId="07837505" w14:textId="77777777" w:rsidR="00DD1A44" w:rsidRPr="00A95920" w:rsidRDefault="00DD1A44" w:rsidP="00ED0434">
      <w:pPr>
        <w:autoSpaceDE w:val="0"/>
        <w:autoSpaceDN w:val="0"/>
        <w:adjustRightInd w:val="0"/>
        <w:spacing w:after="0" w:line="240" w:lineRule="auto"/>
        <w:rPr>
          <w:rFonts w:ascii="Arial" w:hAnsi="Arial" w:cs="Arial"/>
          <w:sz w:val="21"/>
          <w:szCs w:val="21"/>
        </w:rPr>
      </w:pPr>
    </w:p>
    <w:p w14:paraId="5ABBD030" w14:textId="2B43E12A" w:rsidR="00ED0434" w:rsidRPr="00A95920" w:rsidRDefault="008C4012" w:rsidP="00ED0434">
      <w:pPr>
        <w:autoSpaceDE w:val="0"/>
        <w:autoSpaceDN w:val="0"/>
        <w:adjustRightInd w:val="0"/>
        <w:spacing w:after="0" w:line="240" w:lineRule="auto"/>
        <w:rPr>
          <w:rFonts w:ascii="Arial" w:hAnsi="Arial" w:cs="Arial"/>
          <w:b/>
          <w:bCs/>
          <w:sz w:val="21"/>
          <w:szCs w:val="21"/>
        </w:rPr>
      </w:pPr>
      <w:r w:rsidRPr="00A95920">
        <w:rPr>
          <w:rFonts w:ascii="Arial" w:hAnsi="Arial" w:cs="Arial"/>
          <w:b/>
          <w:bCs/>
          <w:sz w:val="21"/>
          <w:szCs w:val="21"/>
        </w:rPr>
        <w:t>Resolution 1</w:t>
      </w:r>
      <w:r w:rsidR="007223FA" w:rsidRPr="00A95920">
        <w:rPr>
          <w:rFonts w:ascii="Arial" w:hAnsi="Arial" w:cs="Arial"/>
          <w:b/>
          <w:bCs/>
          <w:sz w:val="21"/>
          <w:szCs w:val="21"/>
        </w:rPr>
        <w:t>9</w:t>
      </w:r>
      <w:r w:rsidRPr="00A95920">
        <w:rPr>
          <w:rFonts w:ascii="Arial" w:hAnsi="Arial" w:cs="Arial"/>
          <w:b/>
          <w:bCs/>
          <w:sz w:val="21"/>
          <w:szCs w:val="21"/>
        </w:rPr>
        <w:t xml:space="preserve"> - </w:t>
      </w:r>
      <w:r w:rsidR="00ED0434" w:rsidRPr="00A95920">
        <w:rPr>
          <w:rFonts w:ascii="Arial" w:hAnsi="Arial" w:cs="Arial"/>
          <w:b/>
          <w:bCs/>
          <w:sz w:val="21"/>
          <w:szCs w:val="21"/>
        </w:rPr>
        <w:t>General authority to disapply pre-emption rights</w:t>
      </w:r>
    </w:p>
    <w:p w14:paraId="52794D7F" w14:textId="77777777" w:rsidR="00DD1A44" w:rsidRPr="00A95920" w:rsidRDefault="00DD1A44" w:rsidP="00ED0434">
      <w:pPr>
        <w:autoSpaceDE w:val="0"/>
        <w:autoSpaceDN w:val="0"/>
        <w:adjustRightInd w:val="0"/>
        <w:spacing w:after="0" w:line="240" w:lineRule="auto"/>
        <w:rPr>
          <w:rFonts w:ascii="Arial" w:hAnsi="Arial" w:cs="Arial"/>
          <w:sz w:val="21"/>
          <w:szCs w:val="21"/>
        </w:rPr>
      </w:pPr>
    </w:p>
    <w:p w14:paraId="6A8DCBE6" w14:textId="77777777" w:rsidR="007223FA" w:rsidRPr="00A95920" w:rsidRDefault="007223FA" w:rsidP="007223FA">
      <w:pPr>
        <w:pStyle w:val="BodytextGeneric-Styles"/>
        <w:rPr>
          <w:rFonts w:ascii="Arial" w:hAnsi="Arial" w:cs="Arial"/>
          <w:color w:val="auto"/>
          <w:sz w:val="21"/>
          <w:szCs w:val="21"/>
        </w:rPr>
      </w:pPr>
      <w:r w:rsidRPr="00A95920">
        <w:rPr>
          <w:rFonts w:ascii="Arial" w:hAnsi="Arial" w:cs="Arial"/>
          <w:color w:val="auto"/>
          <w:sz w:val="21"/>
          <w:szCs w:val="21"/>
        </w:rPr>
        <w:t xml:space="preserve">That: </w:t>
      </w:r>
    </w:p>
    <w:p w14:paraId="5CD435EE" w14:textId="7C338247" w:rsidR="007223FA" w:rsidRPr="00A95920" w:rsidRDefault="007223FA" w:rsidP="007223FA">
      <w:pPr>
        <w:pStyle w:val="a-List-2Generic-StylesLists"/>
        <w:numPr>
          <w:ilvl w:val="0"/>
          <w:numId w:val="13"/>
        </w:numPr>
        <w:rPr>
          <w:rFonts w:ascii="Arial" w:hAnsi="Arial" w:cs="Arial"/>
          <w:sz w:val="21"/>
          <w:szCs w:val="21"/>
        </w:rPr>
      </w:pPr>
      <w:r w:rsidRPr="00A95920">
        <w:rPr>
          <w:rFonts w:ascii="Arial" w:hAnsi="Arial" w:cs="Arial"/>
          <w:sz w:val="21"/>
          <w:szCs w:val="21"/>
        </w:rPr>
        <w:t>the Directors be given power subject to the passing of Resolution 1</w:t>
      </w:r>
      <w:r w:rsidR="00BD1CA5">
        <w:rPr>
          <w:rFonts w:ascii="Arial" w:hAnsi="Arial" w:cs="Arial"/>
          <w:sz w:val="21"/>
          <w:szCs w:val="21"/>
        </w:rPr>
        <w:t>5</w:t>
      </w:r>
      <w:r w:rsidRPr="00A95920">
        <w:rPr>
          <w:rFonts w:ascii="Arial" w:hAnsi="Arial" w:cs="Arial"/>
          <w:sz w:val="21"/>
          <w:szCs w:val="21"/>
        </w:rPr>
        <w:t xml:space="preserve"> above, to allot equity securities (as defined in Section 560 of the Act) for cash pursuant to the authority conferred on them by that resolution under Section 551 of that Act and/or to allot equity securities as defined in Section 560(3) of that Act (sale of treasury shares) for cash in either case as if Section 561 of the Act did not apply to the allotment or sale, but so that this power shall be limited: </w:t>
      </w:r>
    </w:p>
    <w:p w14:paraId="5425E392" w14:textId="5A362564" w:rsidR="007223FA" w:rsidRPr="00A95920" w:rsidRDefault="007223FA" w:rsidP="007223FA">
      <w:pPr>
        <w:pStyle w:val="A-List-4Generic-StylesLists"/>
        <w:numPr>
          <w:ilvl w:val="0"/>
          <w:numId w:val="14"/>
        </w:numPr>
        <w:rPr>
          <w:rFonts w:ascii="Arial" w:hAnsi="Arial" w:cs="Arial"/>
          <w:sz w:val="21"/>
          <w:szCs w:val="21"/>
        </w:rPr>
      </w:pPr>
      <w:r w:rsidRPr="00A95920">
        <w:rPr>
          <w:rFonts w:ascii="Arial" w:hAnsi="Arial" w:cs="Arial"/>
          <w:sz w:val="21"/>
          <w:szCs w:val="21"/>
        </w:rPr>
        <w:t>to the allotment of equity securities in connection with an offer, invitation to apply for, or issue of equity securities (but in the case of the authority granted under Resolution 1</w:t>
      </w:r>
      <w:r w:rsidR="003C75EA">
        <w:rPr>
          <w:rFonts w:ascii="Arial" w:hAnsi="Arial" w:cs="Arial"/>
          <w:sz w:val="21"/>
          <w:szCs w:val="21"/>
        </w:rPr>
        <w:t>5</w:t>
      </w:r>
      <w:r w:rsidRPr="00A95920">
        <w:rPr>
          <w:rFonts w:ascii="Arial" w:hAnsi="Arial" w:cs="Arial"/>
          <w:sz w:val="21"/>
          <w:szCs w:val="21"/>
        </w:rPr>
        <w:t xml:space="preserve">(a) (ii), by way of a rights issue only) to or in favour of: </w:t>
      </w:r>
    </w:p>
    <w:p w14:paraId="4C983865" w14:textId="77777777" w:rsidR="007223FA" w:rsidRPr="00A95920" w:rsidRDefault="007223FA" w:rsidP="007223FA">
      <w:pPr>
        <w:pStyle w:val="iii-List-5Generic-StylesLists"/>
        <w:numPr>
          <w:ilvl w:val="0"/>
          <w:numId w:val="15"/>
        </w:numPr>
        <w:rPr>
          <w:rFonts w:ascii="Arial" w:hAnsi="Arial" w:cs="Arial"/>
          <w:sz w:val="21"/>
          <w:szCs w:val="21"/>
        </w:rPr>
      </w:pPr>
      <w:r w:rsidRPr="00A95920">
        <w:rPr>
          <w:rFonts w:ascii="Arial" w:hAnsi="Arial" w:cs="Arial"/>
          <w:sz w:val="21"/>
          <w:szCs w:val="21"/>
        </w:rPr>
        <w:t xml:space="preserve">holders of ordinary shares in proportion (as nearly as may be practicable) to their existing </w:t>
      </w:r>
      <w:proofErr w:type="gramStart"/>
      <w:r w:rsidRPr="00A95920">
        <w:rPr>
          <w:rFonts w:ascii="Arial" w:hAnsi="Arial" w:cs="Arial"/>
          <w:sz w:val="21"/>
          <w:szCs w:val="21"/>
        </w:rPr>
        <w:t>holdings;</w:t>
      </w:r>
      <w:proofErr w:type="gramEnd"/>
    </w:p>
    <w:p w14:paraId="06B86B2A" w14:textId="77777777" w:rsidR="007223FA" w:rsidRPr="00A95920" w:rsidRDefault="007223FA" w:rsidP="007223FA">
      <w:pPr>
        <w:pStyle w:val="Bodytext-Indent-18Generic-StylesLists"/>
        <w:ind w:left="1134"/>
        <w:rPr>
          <w:rFonts w:ascii="Arial" w:hAnsi="Arial" w:cs="Arial"/>
          <w:sz w:val="21"/>
          <w:szCs w:val="21"/>
        </w:rPr>
      </w:pPr>
      <w:r w:rsidRPr="00A95920">
        <w:rPr>
          <w:rFonts w:ascii="Arial" w:hAnsi="Arial" w:cs="Arial"/>
          <w:sz w:val="21"/>
          <w:szCs w:val="21"/>
        </w:rPr>
        <w:t>and</w:t>
      </w:r>
    </w:p>
    <w:p w14:paraId="6BF3D005" w14:textId="77777777" w:rsidR="007223FA" w:rsidRPr="00A95920" w:rsidRDefault="007223FA" w:rsidP="007223FA">
      <w:pPr>
        <w:pStyle w:val="iii-List-5Generic-StylesLists"/>
        <w:numPr>
          <w:ilvl w:val="0"/>
          <w:numId w:val="15"/>
        </w:numPr>
        <w:rPr>
          <w:rFonts w:ascii="Arial" w:hAnsi="Arial" w:cs="Arial"/>
          <w:sz w:val="21"/>
          <w:szCs w:val="21"/>
        </w:rPr>
      </w:pPr>
      <w:r w:rsidRPr="00A95920">
        <w:rPr>
          <w:rFonts w:ascii="Arial" w:hAnsi="Arial" w:cs="Arial"/>
          <w:sz w:val="21"/>
          <w:szCs w:val="21"/>
        </w:rPr>
        <w:lastRenderedPageBreak/>
        <w:t xml:space="preserve">holders of other equity securities if this is required by the rights of those securities or, if the Directors consider it necessary, as permitted by the rights of those </w:t>
      </w:r>
      <w:proofErr w:type="gramStart"/>
      <w:r w:rsidRPr="00A95920">
        <w:rPr>
          <w:rFonts w:ascii="Arial" w:hAnsi="Arial" w:cs="Arial"/>
          <w:sz w:val="21"/>
          <w:szCs w:val="21"/>
        </w:rPr>
        <w:t>securities;</w:t>
      </w:r>
      <w:proofErr w:type="gramEnd"/>
      <w:r w:rsidRPr="00A95920">
        <w:rPr>
          <w:rFonts w:ascii="Arial" w:hAnsi="Arial" w:cs="Arial"/>
          <w:sz w:val="21"/>
          <w:szCs w:val="21"/>
        </w:rPr>
        <w:t xml:space="preserve"> </w:t>
      </w:r>
    </w:p>
    <w:p w14:paraId="03803EA4" w14:textId="43E8977A" w:rsidR="007223FA" w:rsidRPr="00A95920" w:rsidRDefault="007223FA" w:rsidP="000F4890">
      <w:pPr>
        <w:pStyle w:val="Bodytext-Indent-18Generic-StylesLists"/>
        <w:ind w:left="1440"/>
        <w:rPr>
          <w:rFonts w:ascii="Arial" w:hAnsi="Arial" w:cs="Arial"/>
          <w:sz w:val="21"/>
          <w:szCs w:val="21"/>
        </w:rPr>
      </w:pPr>
      <w:r w:rsidRPr="00A95920">
        <w:rPr>
          <w:rFonts w:ascii="Arial" w:hAnsi="Arial" w:cs="Arial"/>
          <w:sz w:val="21"/>
          <w:szCs w:val="21"/>
        </w:rPr>
        <w:t xml:space="preserve">and so that the Directors may impose such exclusions, limits or restrictions and make any other arrangements as they consider expedient, necessary or appropriate in relation to treasury shares, fractional entitlements, record dates, shares represented by depositary receipts, any legal, regulatory or practical problems under the laws in any territory or the requirements of any relevant regulatory body or stock exchange or any other </w:t>
      </w:r>
      <w:proofErr w:type="gramStart"/>
      <w:r w:rsidRPr="00A95920">
        <w:rPr>
          <w:rFonts w:ascii="Arial" w:hAnsi="Arial" w:cs="Arial"/>
          <w:sz w:val="21"/>
          <w:szCs w:val="21"/>
        </w:rPr>
        <w:t>matter;</w:t>
      </w:r>
      <w:proofErr w:type="gramEnd"/>
      <w:r w:rsidRPr="00A95920">
        <w:rPr>
          <w:rFonts w:ascii="Arial" w:hAnsi="Arial" w:cs="Arial"/>
          <w:sz w:val="21"/>
          <w:szCs w:val="21"/>
        </w:rPr>
        <w:t xml:space="preserve"> </w:t>
      </w:r>
    </w:p>
    <w:p w14:paraId="69EFBF91" w14:textId="3F043F3C" w:rsidR="007223FA" w:rsidRPr="00A95920" w:rsidRDefault="007223FA" w:rsidP="007223FA">
      <w:pPr>
        <w:pStyle w:val="A-List-4Generic-StylesLists"/>
        <w:numPr>
          <w:ilvl w:val="0"/>
          <w:numId w:val="16"/>
        </w:numPr>
        <w:rPr>
          <w:rFonts w:ascii="Arial" w:hAnsi="Arial" w:cs="Arial"/>
          <w:sz w:val="21"/>
          <w:szCs w:val="21"/>
        </w:rPr>
      </w:pPr>
      <w:r w:rsidRPr="00A95920">
        <w:rPr>
          <w:rFonts w:ascii="Arial" w:hAnsi="Arial" w:cs="Arial"/>
          <w:sz w:val="21"/>
          <w:szCs w:val="21"/>
        </w:rPr>
        <w:t>to the allotment of equity securities pursuant to the authority granted under Resolution 1</w:t>
      </w:r>
      <w:r w:rsidR="00D504FB">
        <w:rPr>
          <w:rFonts w:ascii="Arial" w:hAnsi="Arial" w:cs="Arial"/>
          <w:sz w:val="21"/>
          <w:szCs w:val="21"/>
        </w:rPr>
        <w:t>5</w:t>
      </w:r>
      <w:r w:rsidRPr="00A95920">
        <w:rPr>
          <w:rFonts w:ascii="Arial" w:hAnsi="Arial" w:cs="Arial"/>
          <w:sz w:val="21"/>
          <w:szCs w:val="21"/>
        </w:rPr>
        <w:t>(a)(</w:t>
      </w:r>
      <w:proofErr w:type="spellStart"/>
      <w:r w:rsidRPr="00A95920">
        <w:rPr>
          <w:rFonts w:ascii="Arial" w:hAnsi="Arial" w:cs="Arial"/>
          <w:sz w:val="21"/>
          <w:szCs w:val="21"/>
        </w:rPr>
        <w:t>i</w:t>
      </w:r>
      <w:proofErr w:type="spellEnd"/>
      <w:r w:rsidRPr="00A95920">
        <w:rPr>
          <w:rFonts w:ascii="Arial" w:hAnsi="Arial" w:cs="Arial"/>
          <w:sz w:val="21"/>
          <w:szCs w:val="21"/>
        </w:rPr>
        <w:t>) and/or by virtue of Section 560(3) of the Act (in each case otherwise than under paragraph (A) above) up to a maximum nominal amount of £</w:t>
      </w:r>
      <w:r w:rsidR="00D504FB">
        <w:rPr>
          <w:rFonts w:ascii="Arial" w:hAnsi="Arial" w:cs="Arial"/>
          <w:sz w:val="21"/>
          <w:szCs w:val="21"/>
        </w:rPr>
        <w:t>17,462,723</w:t>
      </w:r>
      <w:r w:rsidRPr="00A95920">
        <w:rPr>
          <w:rFonts w:ascii="Arial" w:hAnsi="Arial" w:cs="Arial"/>
          <w:sz w:val="21"/>
          <w:szCs w:val="21"/>
        </w:rPr>
        <w:t>; and</w:t>
      </w:r>
    </w:p>
    <w:p w14:paraId="2D94FB0A" w14:textId="77777777" w:rsidR="007223FA" w:rsidRPr="00A95920" w:rsidRDefault="007223FA" w:rsidP="007223FA">
      <w:pPr>
        <w:pStyle w:val="A-List-4Generic-StylesLists"/>
        <w:numPr>
          <w:ilvl w:val="0"/>
          <w:numId w:val="16"/>
        </w:numPr>
        <w:rPr>
          <w:rFonts w:ascii="Arial" w:hAnsi="Arial" w:cs="Arial"/>
          <w:sz w:val="21"/>
          <w:szCs w:val="21"/>
        </w:rPr>
      </w:pPr>
      <w:r w:rsidRPr="00A95920">
        <w:rPr>
          <w:rFonts w:ascii="Arial" w:hAnsi="Arial" w:cs="Arial"/>
          <w:sz w:val="21"/>
          <w:szCs w:val="21"/>
        </w:rPr>
        <w:t>to the to the allotment of equity securities or sale of treasury shares (otherwise than under paragraph (A) or paragraph (B) above) up to a nominal amount equal to 20% of any allotment of equity securities or sale of treasury shares from time to time under paragraph (B) above,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476F6E8C" w14:textId="77777777" w:rsidR="007223FA" w:rsidRPr="00A95920" w:rsidRDefault="007223FA" w:rsidP="007223FA">
      <w:pPr>
        <w:pStyle w:val="a-List-2-indent-6Generic-StylesLists"/>
        <w:rPr>
          <w:rFonts w:ascii="Arial" w:hAnsi="Arial" w:cs="Arial"/>
          <w:sz w:val="21"/>
          <w:szCs w:val="21"/>
        </w:rPr>
      </w:pPr>
      <w:r w:rsidRPr="00A95920">
        <w:rPr>
          <w:rFonts w:ascii="Arial" w:hAnsi="Arial" w:cs="Arial"/>
          <w:sz w:val="21"/>
          <w:szCs w:val="21"/>
        </w:rPr>
        <w:t>provided that:</w:t>
      </w:r>
    </w:p>
    <w:p w14:paraId="18F0C861" w14:textId="40794DB0" w:rsidR="007223FA" w:rsidRPr="00A95920" w:rsidRDefault="007223FA" w:rsidP="007223FA">
      <w:pPr>
        <w:pStyle w:val="a-List-2Generic-StylesLists"/>
        <w:numPr>
          <w:ilvl w:val="0"/>
          <w:numId w:val="17"/>
        </w:numPr>
        <w:rPr>
          <w:rFonts w:ascii="Arial" w:hAnsi="Arial" w:cs="Arial"/>
          <w:sz w:val="21"/>
          <w:szCs w:val="21"/>
        </w:rPr>
      </w:pPr>
      <w:r w:rsidRPr="00A95920">
        <w:rPr>
          <w:rFonts w:ascii="Arial" w:hAnsi="Arial" w:cs="Arial"/>
          <w:sz w:val="21"/>
          <w:szCs w:val="21"/>
        </w:rPr>
        <w:t>this power shall apply until the conclusion of the next AGM of the Company after the passing of this resolution or, if earlier, until the close of business on 1</w:t>
      </w:r>
      <w:r w:rsidR="00DB4B81" w:rsidRPr="00DB4B81">
        <w:rPr>
          <w:rFonts w:ascii="Arial" w:hAnsi="Arial" w:cs="Arial"/>
          <w:sz w:val="21"/>
          <w:szCs w:val="21"/>
          <w:vertAlign w:val="superscript"/>
        </w:rPr>
        <w:t>st</w:t>
      </w:r>
      <w:r w:rsidR="00DB4B81">
        <w:rPr>
          <w:rFonts w:ascii="Arial" w:hAnsi="Arial" w:cs="Arial"/>
          <w:sz w:val="21"/>
          <w:szCs w:val="21"/>
        </w:rPr>
        <w:t xml:space="preserve"> </w:t>
      </w:r>
      <w:r w:rsidR="00DB4B81" w:rsidRPr="00A95920">
        <w:rPr>
          <w:rFonts w:ascii="Arial" w:hAnsi="Arial" w:cs="Arial"/>
          <w:sz w:val="21"/>
          <w:szCs w:val="21"/>
        </w:rPr>
        <w:t>October</w:t>
      </w:r>
      <w:r w:rsidRPr="00A95920">
        <w:rPr>
          <w:rFonts w:ascii="Arial" w:hAnsi="Arial" w:cs="Arial"/>
          <w:sz w:val="21"/>
          <w:szCs w:val="21"/>
        </w:rPr>
        <w:t xml:space="preserve"> 202</w:t>
      </w:r>
      <w:r w:rsidR="00D504FB">
        <w:rPr>
          <w:rFonts w:ascii="Arial" w:hAnsi="Arial" w:cs="Arial"/>
          <w:sz w:val="21"/>
          <w:szCs w:val="21"/>
        </w:rPr>
        <w:t>5</w:t>
      </w:r>
      <w:r w:rsidRPr="00A95920">
        <w:rPr>
          <w:rFonts w:ascii="Arial" w:hAnsi="Arial" w:cs="Arial"/>
          <w:sz w:val="21"/>
          <w:szCs w:val="21"/>
        </w:rPr>
        <w:t xml:space="preserve">; and </w:t>
      </w:r>
    </w:p>
    <w:p w14:paraId="44F0A7DB" w14:textId="77777777" w:rsidR="007223FA" w:rsidRPr="00A95920" w:rsidRDefault="007223FA" w:rsidP="007223FA">
      <w:pPr>
        <w:pStyle w:val="a-List-2Generic-StylesLists"/>
        <w:numPr>
          <w:ilvl w:val="0"/>
          <w:numId w:val="17"/>
        </w:numPr>
        <w:ind w:left="851" w:hanging="318"/>
        <w:rPr>
          <w:rFonts w:ascii="Arial" w:hAnsi="Arial" w:cs="Arial"/>
          <w:sz w:val="21"/>
          <w:szCs w:val="21"/>
        </w:rPr>
      </w:pPr>
      <w:r w:rsidRPr="00A95920">
        <w:rPr>
          <w:rFonts w:ascii="Arial" w:hAnsi="Arial" w:cs="Arial"/>
          <w:sz w:val="21"/>
          <w:szCs w:val="21"/>
        </w:rPr>
        <w:t xml:space="preserve">the Company may, before this power ends, make an offer or enter into an agreement, which would or might require equity securities to be allotted after the power ends, and the Directors may allot equity securities in pursuance of such offer or agreement as if this power had not ended. </w:t>
      </w:r>
    </w:p>
    <w:p w14:paraId="27DE44E7" w14:textId="77777777" w:rsidR="007223FA" w:rsidRPr="00A95920" w:rsidRDefault="007223FA" w:rsidP="008A7730">
      <w:pPr>
        <w:pStyle w:val="a-List-2Generic-StylesLists"/>
        <w:ind w:left="0" w:firstLine="0"/>
        <w:rPr>
          <w:rFonts w:ascii="Arial" w:hAnsi="Arial" w:cs="Arial"/>
          <w:sz w:val="21"/>
          <w:szCs w:val="21"/>
        </w:rPr>
      </w:pPr>
    </w:p>
    <w:p w14:paraId="492A06B4" w14:textId="47FCB65B" w:rsidR="00ED0434" w:rsidRPr="00A95920" w:rsidRDefault="008C4012" w:rsidP="007223FA">
      <w:pPr>
        <w:pStyle w:val="a-List-2Generic-StylesLists"/>
        <w:ind w:left="170" w:firstLine="0"/>
        <w:rPr>
          <w:rFonts w:ascii="Arial" w:hAnsi="Arial" w:cs="Arial"/>
          <w:sz w:val="21"/>
          <w:szCs w:val="21"/>
        </w:rPr>
      </w:pPr>
      <w:r w:rsidRPr="00A95920">
        <w:rPr>
          <w:rFonts w:ascii="Arial" w:hAnsi="Arial" w:cs="Arial"/>
          <w:b/>
          <w:bCs/>
          <w:sz w:val="21"/>
          <w:szCs w:val="21"/>
        </w:rPr>
        <w:t xml:space="preserve">Resolution </w:t>
      </w:r>
      <w:r w:rsidR="007223FA" w:rsidRPr="00A95920">
        <w:rPr>
          <w:rFonts w:ascii="Arial" w:hAnsi="Arial" w:cs="Arial"/>
          <w:b/>
          <w:bCs/>
          <w:sz w:val="21"/>
          <w:szCs w:val="21"/>
        </w:rPr>
        <w:t>20</w:t>
      </w:r>
      <w:r w:rsidRPr="00A95920">
        <w:rPr>
          <w:rFonts w:ascii="Arial" w:hAnsi="Arial" w:cs="Arial"/>
          <w:b/>
          <w:bCs/>
          <w:sz w:val="21"/>
          <w:szCs w:val="21"/>
        </w:rPr>
        <w:t xml:space="preserve"> - A</w:t>
      </w:r>
      <w:r w:rsidR="00ED0434" w:rsidRPr="00A95920">
        <w:rPr>
          <w:rFonts w:ascii="Arial" w:hAnsi="Arial" w:cs="Arial"/>
          <w:b/>
          <w:bCs/>
          <w:sz w:val="21"/>
          <w:szCs w:val="21"/>
        </w:rPr>
        <w:t xml:space="preserve">uthority to disapply pre-emption </w:t>
      </w:r>
      <w:r w:rsidR="00DB4B81" w:rsidRPr="00A95920">
        <w:rPr>
          <w:rFonts w:ascii="Arial" w:hAnsi="Arial" w:cs="Arial"/>
          <w:b/>
          <w:bCs/>
          <w:sz w:val="21"/>
          <w:szCs w:val="21"/>
        </w:rPr>
        <w:t>rights in</w:t>
      </w:r>
      <w:r w:rsidR="00ED0434" w:rsidRPr="00A95920">
        <w:rPr>
          <w:rFonts w:ascii="Arial" w:hAnsi="Arial" w:cs="Arial"/>
          <w:b/>
          <w:bCs/>
          <w:sz w:val="21"/>
          <w:szCs w:val="21"/>
        </w:rPr>
        <w:t xml:space="preserve"> connection with an acquisition or</w:t>
      </w:r>
      <w:r w:rsidR="0018797E" w:rsidRPr="00A95920">
        <w:rPr>
          <w:rFonts w:ascii="Arial" w:hAnsi="Arial" w:cs="Arial"/>
          <w:b/>
          <w:bCs/>
          <w:sz w:val="21"/>
          <w:szCs w:val="21"/>
        </w:rPr>
        <w:t xml:space="preserve"> </w:t>
      </w:r>
      <w:r w:rsidR="00ED0434" w:rsidRPr="00A95920">
        <w:rPr>
          <w:rFonts w:ascii="Arial" w:hAnsi="Arial" w:cs="Arial"/>
          <w:b/>
          <w:bCs/>
          <w:sz w:val="21"/>
          <w:szCs w:val="21"/>
        </w:rPr>
        <w:t>specified capital investment</w:t>
      </w:r>
    </w:p>
    <w:p w14:paraId="723FF34C" w14:textId="77777777" w:rsidR="0018797E" w:rsidRPr="00A95920" w:rsidRDefault="0018797E" w:rsidP="00ED0434">
      <w:pPr>
        <w:autoSpaceDE w:val="0"/>
        <w:autoSpaceDN w:val="0"/>
        <w:adjustRightInd w:val="0"/>
        <w:spacing w:after="0" w:line="240" w:lineRule="auto"/>
        <w:rPr>
          <w:rFonts w:ascii="Arial" w:hAnsi="Arial" w:cs="Arial"/>
          <w:sz w:val="21"/>
          <w:szCs w:val="21"/>
        </w:rPr>
      </w:pPr>
    </w:p>
    <w:p w14:paraId="7EBE0BEB" w14:textId="77777777" w:rsidR="007223FA" w:rsidRPr="00A95920" w:rsidRDefault="007223FA" w:rsidP="007223FA">
      <w:pPr>
        <w:pStyle w:val="BodytextGeneric-Styles"/>
        <w:ind w:left="170"/>
        <w:rPr>
          <w:rFonts w:ascii="Arial" w:hAnsi="Arial" w:cs="Arial"/>
          <w:sz w:val="21"/>
          <w:szCs w:val="21"/>
        </w:rPr>
      </w:pPr>
      <w:r w:rsidRPr="00A95920">
        <w:rPr>
          <w:rFonts w:ascii="Arial" w:hAnsi="Arial" w:cs="Arial"/>
          <w:sz w:val="21"/>
          <w:szCs w:val="21"/>
        </w:rPr>
        <w:t xml:space="preserve">That: </w:t>
      </w:r>
    </w:p>
    <w:p w14:paraId="5BDC3646" w14:textId="0247C7AD" w:rsidR="007223FA" w:rsidRPr="00A95920" w:rsidRDefault="007223FA" w:rsidP="007223FA">
      <w:pPr>
        <w:pStyle w:val="a-List-2Generic-StylesLists"/>
        <w:numPr>
          <w:ilvl w:val="0"/>
          <w:numId w:val="18"/>
        </w:numPr>
        <w:rPr>
          <w:rFonts w:ascii="Arial" w:hAnsi="Arial" w:cs="Arial"/>
          <w:sz w:val="21"/>
          <w:szCs w:val="21"/>
        </w:rPr>
      </w:pPr>
      <w:r w:rsidRPr="00A95920">
        <w:rPr>
          <w:rFonts w:ascii="Arial" w:hAnsi="Arial" w:cs="Arial"/>
          <w:sz w:val="21"/>
          <w:szCs w:val="21"/>
        </w:rPr>
        <w:t>the Directors, in addition to any power granted under Resolution 19 above, be given power, subject to the passing of Resolution 1</w:t>
      </w:r>
      <w:r w:rsidR="00D504FB">
        <w:rPr>
          <w:rFonts w:ascii="Arial" w:hAnsi="Arial" w:cs="Arial"/>
          <w:sz w:val="21"/>
          <w:szCs w:val="21"/>
        </w:rPr>
        <w:t>5</w:t>
      </w:r>
      <w:r w:rsidRPr="00A95920">
        <w:rPr>
          <w:rFonts w:ascii="Arial" w:hAnsi="Arial" w:cs="Arial"/>
          <w:sz w:val="21"/>
          <w:szCs w:val="21"/>
        </w:rPr>
        <w:t>, to allot equity securities (as defined in Section 560 of the Act) for cash pursuant to the authority conferred on them by Resolution 1</w:t>
      </w:r>
      <w:r w:rsidR="00DB4B81">
        <w:rPr>
          <w:rFonts w:ascii="Arial" w:hAnsi="Arial" w:cs="Arial"/>
          <w:sz w:val="21"/>
          <w:szCs w:val="21"/>
        </w:rPr>
        <w:t>5</w:t>
      </w:r>
      <w:r w:rsidRPr="00A95920">
        <w:rPr>
          <w:rFonts w:ascii="Arial" w:hAnsi="Arial" w:cs="Arial"/>
          <w:sz w:val="21"/>
          <w:szCs w:val="21"/>
        </w:rPr>
        <w:t>(a)(</w:t>
      </w:r>
      <w:proofErr w:type="spellStart"/>
      <w:r w:rsidRPr="00A95920">
        <w:rPr>
          <w:rFonts w:ascii="Arial" w:hAnsi="Arial" w:cs="Arial"/>
          <w:sz w:val="21"/>
          <w:szCs w:val="21"/>
        </w:rPr>
        <w:t>i</w:t>
      </w:r>
      <w:proofErr w:type="spellEnd"/>
      <w:r w:rsidRPr="00A95920">
        <w:rPr>
          <w:rFonts w:ascii="Arial" w:hAnsi="Arial" w:cs="Arial"/>
          <w:sz w:val="21"/>
          <w:szCs w:val="21"/>
        </w:rPr>
        <w:t xml:space="preserve">) under Section 551 of the Act; and/or to allot equity securities as defined in Section 560(3) of that Act (sale of treasury shares) for cash, in either case as if Section 561 of that Act did not apply to the allotment or sale, but so that this power shall be: </w:t>
      </w:r>
    </w:p>
    <w:p w14:paraId="2A1AF7AB" w14:textId="29892A45" w:rsidR="007223FA" w:rsidRPr="00A95920" w:rsidRDefault="007223FA" w:rsidP="007223FA">
      <w:pPr>
        <w:pStyle w:val="A-List-4Generic-StylesLists"/>
        <w:numPr>
          <w:ilvl w:val="0"/>
          <w:numId w:val="19"/>
        </w:numPr>
        <w:ind w:left="1568"/>
        <w:rPr>
          <w:rFonts w:ascii="Arial" w:hAnsi="Arial" w:cs="Arial"/>
          <w:sz w:val="21"/>
          <w:szCs w:val="21"/>
        </w:rPr>
      </w:pPr>
      <w:r w:rsidRPr="00A95920">
        <w:rPr>
          <w:rFonts w:ascii="Arial" w:hAnsi="Arial" w:cs="Arial"/>
          <w:sz w:val="21"/>
          <w:szCs w:val="21"/>
        </w:rPr>
        <w:t>limited to the allotment of equity securities up to a maximum nominal amount of £1</w:t>
      </w:r>
      <w:r w:rsidR="00D504FB">
        <w:rPr>
          <w:rFonts w:ascii="Arial" w:hAnsi="Arial" w:cs="Arial"/>
          <w:sz w:val="21"/>
          <w:szCs w:val="21"/>
        </w:rPr>
        <w:t>7,462,723</w:t>
      </w:r>
      <w:r w:rsidRPr="00A95920">
        <w:rPr>
          <w:rFonts w:ascii="Arial" w:hAnsi="Arial" w:cs="Arial"/>
          <w:sz w:val="21"/>
          <w:szCs w:val="21"/>
        </w:rPr>
        <w:t>; and used only for the purposes of financing a transaction which the Directors determine to be either an acquisition or a specified capital investment of a kind contemplated by the Statement of Principles on Disapplying Pre-Emption Rights most recently published by the Pre-Emption Group prior to the date of this notice or for the purposes of refinancing such a transaction within 12 months of its taking place; and</w:t>
      </w:r>
    </w:p>
    <w:p w14:paraId="679C2599" w14:textId="2F24A39F" w:rsidR="007223FA" w:rsidRPr="00A95920" w:rsidRDefault="007223FA" w:rsidP="007223FA">
      <w:pPr>
        <w:pStyle w:val="A-List-4Generic-StylesLists"/>
        <w:numPr>
          <w:ilvl w:val="0"/>
          <w:numId w:val="19"/>
        </w:numPr>
        <w:ind w:left="1568"/>
        <w:rPr>
          <w:rFonts w:ascii="Arial" w:hAnsi="Arial" w:cs="Arial"/>
          <w:sz w:val="21"/>
          <w:szCs w:val="21"/>
        </w:rPr>
      </w:pPr>
      <w:r w:rsidRPr="00A95920">
        <w:rPr>
          <w:rFonts w:ascii="Arial" w:hAnsi="Arial" w:cs="Arial"/>
          <w:sz w:val="21"/>
          <w:szCs w:val="21"/>
        </w:rPr>
        <w:t>limited to the allotment of equity securities or sale of treasury shares (otherwise than under paragraph (A) above) up to a nominal amount equal to 20</w:t>
      </w:r>
      <w:r w:rsidR="00D504FB">
        <w:rPr>
          <w:rFonts w:ascii="Arial" w:hAnsi="Arial" w:cs="Arial"/>
          <w:sz w:val="21"/>
          <w:szCs w:val="21"/>
        </w:rPr>
        <w:t>%</w:t>
      </w:r>
      <w:r w:rsidRPr="00A95920">
        <w:rPr>
          <w:rFonts w:ascii="Arial" w:hAnsi="Arial" w:cs="Arial"/>
          <w:sz w:val="21"/>
          <w:szCs w:val="21"/>
        </w:rPr>
        <w:t xml:space="preserve"> of any allotment of equity securities or sale of treasury shares from time to time under paragraph (A) above, such power to be used only for the purposes of making a follow-on offer which the Directors determine to be of a kind contemplated by </w:t>
      </w:r>
      <w:r w:rsidRPr="00A95920">
        <w:rPr>
          <w:rFonts w:ascii="Arial" w:hAnsi="Arial" w:cs="Arial"/>
          <w:sz w:val="21"/>
          <w:szCs w:val="21"/>
        </w:rPr>
        <w:lastRenderedPageBreak/>
        <w:t xml:space="preserve">paragraph 3 of Section 2B of the Statement of Principles on Disapplying Pre-Emption Rights most recently published by the Pre-Emption Group prior to the date of this notice, </w:t>
      </w:r>
    </w:p>
    <w:p w14:paraId="6C5B4D8C" w14:textId="77777777" w:rsidR="007223FA" w:rsidRPr="00A95920" w:rsidRDefault="007223FA" w:rsidP="007223FA">
      <w:pPr>
        <w:pStyle w:val="a-List-2-indent-6Generic-StylesLists"/>
        <w:ind w:left="170"/>
        <w:rPr>
          <w:rFonts w:ascii="Arial" w:hAnsi="Arial" w:cs="Arial"/>
          <w:sz w:val="21"/>
          <w:szCs w:val="21"/>
        </w:rPr>
      </w:pPr>
      <w:r w:rsidRPr="00A95920">
        <w:rPr>
          <w:rFonts w:ascii="Arial" w:hAnsi="Arial" w:cs="Arial"/>
          <w:sz w:val="21"/>
          <w:szCs w:val="21"/>
        </w:rPr>
        <w:t>provided that:</w:t>
      </w:r>
    </w:p>
    <w:p w14:paraId="05BAF471" w14:textId="4EA2A6F8" w:rsidR="007223FA" w:rsidRPr="00A95920" w:rsidRDefault="007223FA" w:rsidP="007223FA">
      <w:pPr>
        <w:pStyle w:val="a-List-2Generic-StylesLists"/>
        <w:numPr>
          <w:ilvl w:val="0"/>
          <w:numId w:val="20"/>
        </w:numPr>
        <w:rPr>
          <w:rFonts w:ascii="Arial" w:hAnsi="Arial" w:cs="Arial"/>
          <w:sz w:val="21"/>
          <w:szCs w:val="21"/>
        </w:rPr>
      </w:pPr>
      <w:r w:rsidRPr="00A95920">
        <w:rPr>
          <w:rFonts w:ascii="Arial" w:hAnsi="Arial" w:cs="Arial"/>
          <w:sz w:val="21"/>
          <w:szCs w:val="21"/>
        </w:rPr>
        <w:t>this power shall apply until the conclusion of the next AGM of the Company after the passing of this resolution or, if earlier, at the close of business on 1</w:t>
      </w:r>
      <w:r w:rsidR="00DB4B81" w:rsidRPr="00DB4B81">
        <w:rPr>
          <w:rFonts w:ascii="Arial" w:hAnsi="Arial" w:cs="Arial"/>
          <w:sz w:val="21"/>
          <w:szCs w:val="21"/>
          <w:vertAlign w:val="superscript"/>
        </w:rPr>
        <w:t>st</w:t>
      </w:r>
      <w:r w:rsidRPr="00A95920">
        <w:rPr>
          <w:rFonts w:ascii="Arial" w:hAnsi="Arial" w:cs="Arial"/>
          <w:sz w:val="21"/>
          <w:szCs w:val="21"/>
        </w:rPr>
        <w:t xml:space="preserve"> October 202</w:t>
      </w:r>
      <w:r w:rsidR="00D504FB">
        <w:rPr>
          <w:rFonts w:ascii="Arial" w:hAnsi="Arial" w:cs="Arial"/>
          <w:sz w:val="21"/>
          <w:szCs w:val="21"/>
        </w:rPr>
        <w:t>5</w:t>
      </w:r>
      <w:r w:rsidRPr="00A95920">
        <w:rPr>
          <w:rFonts w:ascii="Arial" w:hAnsi="Arial" w:cs="Arial"/>
          <w:sz w:val="21"/>
          <w:szCs w:val="21"/>
        </w:rPr>
        <w:t xml:space="preserve">; and </w:t>
      </w:r>
    </w:p>
    <w:p w14:paraId="70403AD6" w14:textId="77777777" w:rsidR="007223FA" w:rsidRPr="00A95920" w:rsidRDefault="007223FA" w:rsidP="007223FA">
      <w:pPr>
        <w:pStyle w:val="a-List-2Generic-StylesLists"/>
        <w:numPr>
          <w:ilvl w:val="0"/>
          <w:numId w:val="20"/>
        </w:numPr>
        <w:rPr>
          <w:rFonts w:ascii="Arial" w:hAnsi="Arial" w:cs="Arial"/>
          <w:sz w:val="21"/>
          <w:szCs w:val="21"/>
        </w:rPr>
      </w:pPr>
      <w:r w:rsidRPr="00A95920">
        <w:rPr>
          <w:rFonts w:ascii="Arial" w:hAnsi="Arial" w:cs="Arial"/>
          <w:sz w:val="21"/>
          <w:szCs w:val="21"/>
        </w:rPr>
        <w:t xml:space="preserve">the Company may, before this power ends, make an offer or enter into an agreement, which would or might require equity securities to be allotted after the power ends, and the Directors may allot equity securities in pursuance of such offer or agreement as if this power had not ended. </w:t>
      </w:r>
    </w:p>
    <w:p w14:paraId="0BDC3D0E" w14:textId="1B1F054D" w:rsidR="00ED0434" w:rsidRPr="00A95920" w:rsidRDefault="00ED0434" w:rsidP="00ED0434">
      <w:pPr>
        <w:rPr>
          <w:rFonts w:ascii="Arial" w:hAnsi="Arial" w:cs="Arial"/>
          <w:sz w:val="21"/>
          <w:szCs w:val="21"/>
        </w:rPr>
      </w:pPr>
    </w:p>
    <w:p w14:paraId="137BBE86" w14:textId="77777777" w:rsidR="007223FA" w:rsidRPr="00A95920" w:rsidRDefault="007223FA" w:rsidP="007223FA">
      <w:pPr>
        <w:pStyle w:val="Heading-1Generic-Styles"/>
        <w:ind w:left="170"/>
        <w:rPr>
          <w:rFonts w:ascii="Arial" w:hAnsi="Arial" w:cs="Arial"/>
          <w:color w:val="auto"/>
          <w:sz w:val="21"/>
          <w:szCs w:val="21"/>
        </w:rPr>
      </w:pPr>
      <w:r w:rsidRPr="00A95920">
        <w:rPr>
          <w:rFonts w:ascii="Arial" w:hAnsi="Arial" w:cs="Arial"/>
          <w:color w:val="auto"/>
          <w:sz w:val="21"/>
          <w:szCs w:val="21"/>
        </w:rPr>
        <w:t>Resolution 21 – Authority to purchase own shares</w:t>
      </w:r>
    </w:p>
    <w:p w14:paraId="0D48D9FF" w14:textId="77777777" w:rsidR="007223FA" w:rsidRPr="00A95920" w:rsidRDefault="007223FA" w:rsidP="007223FA">
      <w:pPr>
        <w:pStyle w:val="BodytextGeneric-Styles"/>
        <w:ind w:left="170"/>
        <w:rPr>
          <w:rFonts w:ascii="Arial" w:hAnsi="Arial" w:cs="Arial"/>
          <w:sz w:val="21"/>
          <w:szCs w:val="21"/>
        </w:rPr>
      </w:pPr>
      <w:r w:rsidRPr="00A95920">
        <w:rPr>
          <w:rFonts w:ascii="Arial" w:hAnsi="Arial" w:cs="Arial"/>
          <w:sz w:val="21"/>
          <w:szCs w:val="21"/>
        </w:rPr>
        <w:t>That in accordance with the Act, the Company is generally and unconditionally authorised for the purposes of Section 701 of the Act to make one or more market purchases (within the meaning of Section 693(4) of the Act) of any of its ordinary shares in the capital of the Company on such terms and in such manner as the Directors of the Company may from time to time determine, provided that:</w:t>
      </w:r>
    </w:p>
    <w:p w14:paraId="3EDFD1C5" w14:textId="44C8D9A5" w:rsidR="007223FA" w:rsidRPr="00A95920" w:rsidRDefault="007223FA" w:rsidP="007223FA">
      <w:pPr>
        <w:pStyle w:val="a-List-2-restartGeneric-StylesLists"/>
        <w:numPr>
          <w:ilvl w:val="0"/>
          <w:numId w:val="21"/>
        </w:numPr>
        <w:rPr>
          <w:rFonts w:ascii="Arial" w:hAnsi="Arial" w:cs="Arial"/>
          <w:sz w:val="21"/>
          <w:szCs w:val="21"/>
        </w:rPr>
      </w:pPr>
      <w:r w:rsidRPr="00A95920">
        <w:rPr>
          <w:rFonts w:ascii="Arial" w:hAnsi="Arial" w:cs="Arial"/>
          <w:sz w:val="21"/>
          <w:szCs w:val="21"/>
        </w:rPr>
        <w:t xml:space="preserve">the maximum number of ordinary shares that may be purchased under this authority is </w:t>
      </w:r>
      <w:proofErr w:type="gramStart"/>
      <w:r w:rsidRPr="00A95920">
        <w:rPr>
          <w:rFonts w:ascii="Arial" w:hAnsi="Arial" w:cs="Arial"/>
          <w:sz w:val="21"/>
          <w:szCs w:val="21"/>
        </w:rPr>
        <w:t>2</w:t>
      </w:r>
      <w:r w:rsidR="00B337CC">
        <w:rPr>
          <w:rFonts w:ascii="Arial" w:hAnsi="Arial" w:cs="Arial"/>
          <w:sz w:val="21"/>
          <w:szCs w:val="21"/>
        </w:rPr>
        <w:t>8,603,969</w:t>
      </w:r>
      <w:r w:rsidRPr="00A95920">
        <w:rPr>
          <w:rFonts w:ascii="Arial" w:hAnsi="Arial" w:cs="Arial"/>
          <w:sz w:val="21"/>
          <w:szCs w:val="21"/>
        </w:rPr>
        <w:t>;</w:t>
      </w:r>
      <w:proofErr w:type="gramEnd"/>
    </w:p>
    <w:p w14:paraId="2B7F4D02" w14:textId="77777777" w:rsidR="007223FA" w:rsidRPr="00A95920" w:rsidRDefault="007223FA" w:rsidP="007223FA">
      <w:pPr>
        <w:pStyle w:val="a-List-2Generic-StylesLists"/>
        <w:numPr>
          <w:ilvl w:val="0"/>
          <w:numId w:val="21"/>
        </w:numPr>
        <w:rPr>
          <w:rFonts w:ascii="Arial" w:hAnsi="Arial" w:cs="Arial"/>
          <w:sz w:val="21"/>
          <w:szCs w:val="21"/>
        </w:rPr>
      </w:pPr>
      <w:r w:rsidRPr="00A95920">
        <w:rPr>
          <w:rFonts w:ascii="Arial" w:hAnsi="Arial" w:cs="Arial"/>
          <w:sz w:val="21"/>
          <w:szCs w:val="21"/>
        </w:rPr>
        <w:t>the minimum price which may be paid for each ordinary share is the nominal value of the share (exclusive of expenses payable by the Company in connection with the purchase</w:t>
      </w:r>
      <w:proofErr w:type="gramStart"/>
      <w:r w:rsidRPr="00A95920">
        <w:rPr>
          <w:rFonts w:ascii="Arial" w:hAnsi="Arial" w:cs="Arial"/>
          <w:sz w:val="21"/>
          <w:szCs w:val="21"/>
        </w:rPr>
        <w:t>);</w:t>
      </w:r>
      <w:proofErr w:type="gramEnd"/>
    </w:p>
    <w:p w14:paraId="4DBA026B" w14:textId="77777777" w:rsidR="007223FA" w:rsidRPr="00A95920" w:rsidRDefault="007223FA" w:rsidP="007223FA">
      <w:pPr>
        <w:pStyle w:val="a-List-2Generic-StylesLists"/>
        <w:numPr>
          <w:ilvl w:val="0"/>
          <w:numId w:val="21"/>
        </w:numPr>
        <w:rPr>
          <w:rFonts w:ascii="Arial" w:hAnsi="Arial" w:cs="Arial"/>
          <w:sz w:val="21"/>
          <w:szCs w:val="21"/>
        </w:rPr>
      </w:pPr>
      <w:r w:rsidRPr="00A95920">
        <w:rPr>
          <w:rFonts w:ascii="Arial" w:hAnsi="Arial" w:cs="Arial"/>
          <w:sz w:val="21"/>
          <w:szCs w:val="21"/>
        </w:rPr>
        <w:t>the maximum price which may be paid for each ordinary share purchased under this authority (exclusive of expenses payable by the Company in connection with the purchase) shall not be more than the higher of:</w:t>
      </w:r>
    </w:p>
    <w:p w14:paraId="73FBA1A7" w14:textId="2849B097" w:rsidR="007223FA" w:rsidRPr="00A95920" w:rsidRDefault="007223FA" w:rsidP="007223FA">
      <w:pPr>
        <w:pStyle w:val="iii-List-3Generic-StylesLists"/>
        <w:numPr>
          <w:ilvl w:val="0"/>
          <w:numId w:val="22"/>
        </w:numPr>
        <w:ind w:left="1857"/>
        <w:rPr>
          <w:rFonts w:ascii="Arial" w:hAnsi="Arial" w:cs="Arial"/>
          <w:sz w:val="21"/>
          <w:szCs w:val="21"/>
        </w:rPr>
      </w:pPr>
      <w:r w:rsidRPr="00A95920">
        <w:rPr>
          <w:rFonts w:ascii="Arial" w:hAnsi="Arial" w:cs="Arial"/>
          <w:sz w:val="21"/>
          <w:szCs w:val="21"/>
        </w:rPr>
        <w:t>an amount equal to 5</w:t>
      </w:r>
      <w:r w:rsidR="00B337CC">
        <w:rPr>
          <w:rFonts w:ascii="Arial" w:hAnsi="Arial" w:cs="Arial"/>
          <w:sz w:val="21"/>
          <w:szCs w:val="21"/>
        </w:rPr>
        <w:t xml:space="preserve">% </w:t>
      </w:r>
      <w:r w:rsidRPr="00A95920">
        <w:rPr>
          <w:rFonts w:ascii="Arial" w:hAnsi="Arial" w:cs="Arial"/>
          <w:sz w:val="21"/>
          <w:szCs w:val="21"/>
        </w:rPr>
        <w:t>above the average market value of an ordinary share for the five business days immediately preceding the day on which that ordinary share is contracted to be purchased; and</w:t>
      </w:r>
    </w:p>
    <w:p w14:paraId="17757B42" w14:textId="77777777" w:rsidR="007223FA" w:rsidRPr="00A95920" w:rsidRDefault="007223FA" w:rsidP="007223FA">
      <w:pPr>
        <w:pStyle w:val="iii-List-3Generic-StylesLists"/>
        <w:numPr>
          <w:ilvl w:val="0"/>
          <w:numId w:val="22"/>
        </w:numPr>
        <w:ind w:left="1857"/>
        <w:rPr>
          <w:rFonts w:ascii="Arial" w:hAnsi="Arial" w:cs="Arial"/>
          <w:sz w:val="21"/>
          <w:szCs w:val="21"/>
        </w:rPr>
      </w:pPr>
      <w:r w:rsidRPr="00A95920">
        <w:rPr>
          <w:rFonts w:ascii="Arial" w:hAnsi="Arial" w:cs="Arial"/>
          <w:sz w:val="21"/>
          <w:szCs w:val="21"/>
        </w:rPr>
        <w:t>the higher of the price of the last independent trade of an ordinary share and the highest current independent bid for an ordinary share on the trading venue where the purchase is to be carried out, including when the shares are traded on different trading venues; and</w:t>
      </w:r>
    </w:p>
    <w:p w14:paraId="1106428F" w14:textId="585016BD" w:rsidR="007223FA" w:rsidRPr="00A95920" w:rsidRDefault="007223FA" w:rsidP="007223FA">
      <w:pPr>
        <w:pStyle w:val="a-List-2Generic-StylesLists"/>
        <w:numPr>
          <w:ilvl w:val="0"/>
          <w:numId w:val="17"/>
        </w:numPr>
        <w:rPr>
          <w:rFonts w:ascii="Arial" w:hAnsi="Arial" w:cs="Arial"/>
          <w:color w:val="auto"/>
          <w:sz w:val="21"/>
          <w:szCs w:val="21"/>
        </w:rPr>
      </w:pPr>
      <w:r w:rsidRPr="00A95920">
        <w:rPr>
          <w:rFonts w:ascii="Arial" w:hAnsi="Arial" w:cs="Arial"/>
          <w:sz w:val="21"/>
          <w:szCs w:val="21"/>
        </w:rPr>
        <w:t>this authority will, unless previously varied, revoked or renewed, expire at the conclusion of the next AGM of the Company or, if earlier, on 1</w:t>
      </w:r>
      <w:r w:rsidR="00DB4B81" w:rsidRPr="00DB4B81">
        <w:rPr>
          <w:rFonts w:ascii="Arial" w:hAnsi="Arial" w:cs="Arial"/>
          <w:sz w:val="21"/>
          <w:szCs w:val="21"/>
          <w:vertAlign w:val="superscript"/>
        </w:rPr>
        <w:t>st</w:t>
      </w:r>
      <w:r w:rsidRPr="00A95920">
        <w:rPr>
          <w:rFonts w:ascii="Arial" w:hAnsi="Arial" w:cs="Arial"/>
          <w:sz w:val="21"/>
          <w:szCs w:val="21"/>
        </w:rPr>
        <w:t xml:space="preserve"> October 202</w:t>
      </w:r>
      <w:r w:rsidR="00B337CC">
        <w:rPr>
          <w:rFonts w:ascii="Arial" w:hAnsi="Arial" w:cs="Arial"/>
          <w:sz w:val="21"/>
          <w:szCs w:val="21"/>
        </w:rPr>
        <w:t>5</w:t>
      </w:r>
      <w:r w:rsidRPr="00A95920">
        <w:rPr>
          <w:rFonts w:ascii="Arial" w:hAnsi="Arial" w:cs="Arial"/>
          <w:sz w:val="21"/>
          <w:szCs w:val="21"/>
        </w:rPr>
        <w:t xml:space="preserve">, but the Company may enter into a contract or contracts to purchase ordinary shares under this authority before its expiry which will or may be executed wholly or partly after the expiry of this authority, and the Company may make purchases of ordinary shares pursuant to any such contract </w:t>
      </w:r>
      <w:r w:rsidRPr="00A95920">
        <w:rPr>
          <w:rFonts w:ascii="Arial" w:hAnsi="Arial" w:cs="Arial"/>
          <w:color w:val="auto"/>
          <w:sz w:val="21"/>
          <w:szCs w:val="21"/>
        </w:rPr>
        <w:t>as if this authority had not expired.</w:t>
      </w:r>
    </w:p>
    <w:p w14:paraId="224C9EDA" w14:textId="7076C2CC" w:rsidR="007223FA" w:rsidRPr="00A95920" w:rsidRDefault="007223FA" w:rsidP="007223FA">
      <w:pPr>
        <w:pStyle w:val="a-List-2Generic-StylesLists"/>
        <w:rPr>
          <w:rFonts w:ascii="Arial" w:hAnsi="Arial" w:cs="Arial"/>
          <w:color w:val="auto"/>
          <w:sz w:val="21"/>
          <w:szCs w:val="21"/>
        </w:rPr>
      </w:pPr>
    </w:p>
    <w:p w14:paraId="25BB9CBB" w14:textId="77777777" w:rsidR="007223FA" w:rsidRPr="00A95920" w:rsidRDefault="007223FA" w:rsidP="007223FA">
      <w:pPr>
        <w:pStyle w:val="Heading-1Generic-Styles"/>
        <w:ind w:left="170"/>
        <w:rPr>
          <w:rFonts w:ascii="Arial" w:hAnsi="Arial" w:cs="Arial"/>
          <w:color w:val="auto"/>
          <w:sz w:val="21"/>
          <w:szCs w:val="21"/>
        </w:rPr>
      </w:pPr>
      <w:r w:rsidRPr="00A95920">
        <w:rPr>
          <w:rFonts w:ascii="Arial" w:hAnsi="Arial" w:cs="Arial"/>
          <w:color w:val="auto"/>
          <w:sz w:val="21"/>
          <w:szCs w:val="21"/>
        </w:rPr>
        <w:t>Resolution 22 – Notice of General Meetings</w:t>
      </w:r>
    </w:p>
    <w:p w14:paraId="29787DC3" w14:textId="77777777" w:rsidR="007223FA" w:rsidRPr="00A95920" w:rsidRDefault="007223FA" w:rsidP="007223FA">
      <w:pPr>
        <w:pStyle w:val="BodytextGeneric-Styles"/>
        <w:ind w:left="170"/>
        <w:rPr>
          <w:rFonts w:ascii="Arial" w:hAnsi="Arial" w:cs="Arial"/>
          <w:color w:val="auto"/>
          <w:sz w:val="21"/>
          <w:szCs w:val="21"/>
        </w:rPr>
      </w:pPr>
      <w:r w:rsidRPr="00A95920">
        <w:rPr>
          <w:rFonts w:ascii="Arial" w:hAnsi="Arial" w:cs="Arial"/>
          <w:color w:val="auto"/>
          <w:sz w:val="21"/>
          <w:szCs w:val="21"/>
        </w:rPr>
        <w:t xml:space="preserve">That a general meeting, other than an AGM, may be called on not less than 14 clear days’ notice. </w:t>
      </w:r>
    </w:p>
    <w:p w14:paraId="171BEF64" w14:textId="77777777" w:rsidR="007223FA" w:rsidRDefault="007223FA" w:rsidP="007223FA">
      <w:pPr>
        <w:pStyle w:val="a-List-2Generic-StylesLists"/>
        <w:rPr>
          <w:rFonts w:ascii="Arial" w:hAnsi="Arial" w:cs="Arial"/>
          <w:color w:val="auto"/>
          <w:sz w:val="21"/>
          <w:szCs w:val="21"/>
        </w:rPr>
      </w:pPr>
    </w:p>
    <w:p w14:paraId="523BCE54" w14:textId="7F48A9FF" w:rsidR="00B337CC" w:rsidRDefault="00B337CC" w:rsidP="007223FA">
      <w:pPr>
        <w:pStyle w:val="a-List-2Generic-StylesLists"/>
        <w:rPr>
          <w:rFonts w:ascii="Arial" w:hAnsi="Arial" w:cs="Arial"/>
          <w:b/>
          <w:bCs/>
          <w:color w:val="auto"/>
          <w:sz w:val="21"/>
          <w:szCs w:val="21"/>
        </w:rPr>
      </w:pPr>
      <w:r>
        <w:rPr>
          <w:rFonts w:ascii="Arial" w:hAnsi="Arial" w:cs="Arial"/>
          <w:b/>
          <w:bCs/>
          <w:color w:val="auto"/>
          <w:sz w:val="21"/>
          <w:szCs w:val="21"/>
        </w:rPr>
        <w:t xml:space="preserve">Resolution 23 – Amendment to Articles of Association </w:t>
      </w:r>
    </w:p>
    <w:p w14:paraId="43D3CAE3" w14:textId="77777777" w:rsidR="00B337CC" w:rsidRDefault="00B337CC" w:rsidP="007223FA">
      <w:pPr>
        <w:pStyle w:val="a-List-2Generic-StylesLists"/>
        <w:rPr>
          <w:rFonts w:ascii="Arial" w:hAnsi="Arial" w:cs="Arial"/>
          <w:b/>
          <w:bCs/>
          <w:color w:val="auto"/>
          <w:sz w:val="21"/>
          <w:szCs w:val="21"/>
        </w:rPr>
      </w:pPr>
    </w:p>
    <w:p w14:paraId="0D12A1B4" w14:textId="03D795D1" w:rsidR="00B337CC" w:rsidRPr="00B337CC" w:rsidRDefault="00B337CC" w:rsidP="008A7730">
      <w:pPr>
        <w:pStyle w:val="a-List-2Generic-StylesLists"/>
        <w:ind w:left="284"/>
        <w:rPr>
          <w:rFonts w:ascii="Arial" w:hAnsi="Arial" w:cs="Arial"/>
          <w:color w:val="auto"/>
          <w:sz w:val="21"/>
          <w:szCs w:val="21"/>
        </w:rPr>
      </w:pPr>
      <w:r>
        <w:rPr>
          <w:rFonts w:ascii="Arial" w:hAnsi="Arial" w:cs="Arial"/>
          <w:color w:val="auto"/>
          <w:sz w:val="21"/>
          <w:szCs w:val="21"/>
        </w:rPr>
        <w:t xml:space="preserve">That, with effect from the conclusion of this AGM, the new articles of association for the Company produced to this meeting (and initialled by the Chair for the purposes of identification) be approved and adopted by the Company in substitution for, and to the exclusion of, the existing articles of association of the Company. </w:t>
      </w:r>
    </w:p>
    <w:p w14:paraId="0CDE00C3" w14:textId="0C980E56" w:rsidR="00885CA0" w:rsidRPr="00885CA0" w:rsidRDefault="00885CA0" w:rsidP="0018797E">
      <w:pPr>
        <w:autoSpaceDE w:val="0"/>
        <w:autoSpaceDN w:val="0"/>
        <w:adjustRightInd w:val="0"/>
        <w:spacing w:after="0" w:line="240" w:lineRule="auto"/>
        <w:rPr>
          <w:rFonts w:ascii="Arial" w:hAnsi="Arial" w:cs="Arial"/>
          <w:sz w:val="21"/>
          <w:szCs w:val="21"/>
        </w:rPr>
      </w:pPr>
    </w:p>
    <w:p w14:paraId="328FD243" w14:textId="4A3B33C4" w:rsidR="00885CA0" w:rsidRDefault="007223FA" w:rsidP="0018797E">
      <w:pPr>
        <w:autoSpaceDE w:val="0"/>
        <w:autoSpaceDN w:val="0"/>
        <w:adjustRightInd w:val="0"/>
        <w:spacing w:after="0" w:line="240" w:lineRule="auto"/>
        <w:rPr>
          <w:rFonts w:ascii="Arial" w:hAnsi="Arial" w:cs="Arial"/>
          <w:sz w:val="21"/>
          <w:szCs w:val="21"/>
        </w:rPr>
      </w:pPr>
      <w:r>
        <w:rPr>
          <w:rFonts w:ascii="Arial" w:hAnsi="Arial" w:cs="Arial"/>
          <w:noProof/>
          <w:sz w:val="21"/>
          <w:szCs w:val="21"/>
        </w:rPr>
        <w:lastRenderedPageBreak/>
        <w:drawing>
          <wp:anchor distT="0" distB="0" distL="114300" distR="114300" simplePos="0" relativeHeight="251658240" behindDoc="1" locked="0" layoutInCell="1" allowOverlap="1" wp14:anchorId="43F37397" wp14:editId="72461B5F">
            <wp:simplePos x="0" y="0"/>
            <wp:positionH relativeFrom="column">
              <wp:posOffset>-114300</wp:posOffset>
            </wp:positionH>
            <wp:positionV relativeFrom="paragraph">
              <wp:posOffset>177800</wp:posOffset>
            </wp:positionV>
            <wp:extent cx="761160" cy="742950"/>
            <wp:effectExtent l="0" t="0" r="1270" b="0"/>
            <wp:wrapNone/>
            <wp:docPr id="2" name="Picture 2"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of paper with black text&#10;&#10;Description automatically generated"/>
                    <pic:cNvPicPr/>
                  </pic:nvPicPr>
                  <pic:blipFill rotWithShape="1">
                    <a:blip r:embed="rId5" cstate="print">
                      <a:extLst>
                        <a:ext uri="{28A0092B-C50C-407E-A947-70E740481C1C}">
                          <a14:useLocalDpi xmlns:a14="http://schemas.microsoft.com/office/drawing/2010/main" val="0"/>
                        </a:ext>
                      </a:extLst>
                    </a:blip>
                    <a:srcRect l="19721" t="3917" r="57124" b="80104"/>
                    <a:stretch/>
                  </pic:blipFill>
                  <pic:spPr bwMode="auto">
                    <a:xfrm>
                      <a:off x="0" y="0"/>
                      <a:ext cx="761160" cy="742950"/>
                    </a:xfrm>
                    <a:prstGeom prst="rect">
                      <a:avLst/>
                    </a:prstGeom>
                    <a:ln>
                      <a:noFill/>
                    </a:ln>
                    <a:extLst>
                      <a:ext uri="{53640926-AAD7-44D8-BBD7-CCE9431645EC}">
                        <a14:shadowObscured xmlns:a14="http://schemas.microsoft.com/office/drawing/2010/main"/>
                      </a:ext>
                    </a:extLst>
                  </pic:spPr>
                </pic:pic>
              </a:graphicData>
            </a:graphic>
          </wp:anchor>
        </w:drawing>
      </w:r>
      <w:r w:rsidR="00B337CC">
        <w:rPr>
          <w:rFonts w:ascii="Arial" w:hAnsi="Arial" w:cs="Arial"/>
          <w:sz w:val="21"/>
          <w:szCs w:val="21"/>
        </w:rPr>
        <w:t xml:space="preserve">By order of the Board </w:t>
      </w:r>
    </w:p>
    <w:p w14:paraId="6A212267" w14:textId="21C5B051" w:rsidR="00885CA0" w:rsidRDefault="00885CA0" w:rsidP="0018797E">
      <w:pPr>
        <w:autoSpaceDE w:val="0"/>
        <w:autoSpaceDN w:val="0"/>
        <w:adjustRightInd w:val="0"/>
        <w:spacing w:after="0" w:line="240" w:lineRule="auto"/>
        <w:rPr>
          <w:rFonts w:ascii="Arial" w:hAnsi="Arial" w:cs="Arial"/>
          <w:sz w:val="21"/>
          <w:szCs w:val="21"/>
        </w:rPr>
      </w:pPr>
    </w:p>
    <w:p w14:paraId="55097ACB" w14:textId="72184651" w:rsidR="00885CA0" w:rsidRPr="00885CA0" w:rsidRDefault="00885CA0" w:rsidP="0018797E">
      <w:pPr>
        <w:autoSpaceDE w:val="0"/>
        <w:autoSpaceDN w:val="0"/>
        <w:adjustRightInd w:val="0"/>
        <w:spacing w:after="0" w:line="240" w:lineRule="auto"/>
        <w:rPr>
          <w:rFonts w:ascii="Arial" w:hAnsi="Arial" w:cs="Arial"/>
          <w:sz w:val="21"/>
          <w:szCs w:val="21"/>
        </w:rPr>
      </w:pPr>
    </w:p>
    <w:p w14:paraId="69DE7ABD" w14:textId="5CBCF496" w:rsidR="00885CA0" w:rsidRPr="00885CA0" w:rsidRDefault="00885CA0" w:rsidP="0018797E">
      <w:pPr>
        <w:autoSpaceDE w:val="0"/>
        <w:autoSpaceDN w:val="0"/>
        <w:adjustRightInd w:val="0"/>
        <w:spacing w:after="0" w:line="240" w:lineRule="auto"/>
        <w:rPr>
          <w:rFonts w:ascii="Arial" w:hAnsi="Arial" w:cs="Arial"/>
          <w:sz w:val="21"/>
          <w:szCs w:val="21"/>
        </w:rPr>
      </w:pPr>
    </w:p>
    <w:p w14:paraId="01787FD3" w14:textId="77777777" w:rsidR="00885CA0" w:rsidRPr="00885CA0" w:rsidRDefault="00885CA0" w:rsidP="0018797E">
      <w:pPr>
        <w:autoSpaceDE w:val="0"/>
        <w:autoSpaceDN w:val="0"/>
        <w:adjustRightInd w:val="0"/>
        <w:spacing w:after="0" w:line="240" w:lineRule="auto"/>
        <w:rPr>
          <w:rFonts w:ascii="Arial" w:hAnsi="Arial" w:cs="Arial"/>
          <w:sz w:val="21"/>
          <w:szCs w:val="21"/>
        </w:rPr>
      </w:pPr>
    </w:p>
    <w:p w14:paraId="2C214182" w14:textId="35B47D36" w:rsidR="00885CA0" w:rsidRPr="007223FA" w:rsidRDefault="007223FA" w:rsidP="00885CA0">
      <w:pPr>
        <w:pStyle w:val="AODocTxt"/>
        <w:spacing w:before="0"/>
        <w:rPr>
          <w:rFonts w:ascii="Arial" w:hAnsi="Arial" w:cs="Arial"/>
          <w:sz w:val="21"/>
          <w:szCs w:val="21"/>
        </w:rPr>
      </w:pPr>
      <w:r w:rsidRPr="007223FA">
        <w:rPr>
          <w:rFonts w:ascii="Arial" w:hAnsi="Arial" w:cs="Arial"/>
          <w:sz w:val="21"/>
          <w:szCs w:val="21"/>
        </w:rPr>
        <w:t xml:space="preserve">Andrew Garard </w:t>
      </w:r>
    </w:p>
    <w:p w14:paraId="66F04F5B" w14:textId="009B15B2" w:rsidR="00885CA0" w:rsidRPr="007223FA" w:rsidRDefault="00885CA0" w:rsidP="008A7730">
      <w:pPr>
        <w:pStyle w:val="AODocTxt"/>
        <w:spacing w:before="0"/>
        <w:rPr>
          <w:rFonts w:ascii="Arial" w:hAnsi="Arial" w:cs="Arial"/>
          <w:sz w:val="21"/>
          <w:szCs w:val="21"/>
        </w:rPr>
      </w:pPr>
      <w:r w:rsidRPr="007223FA">
        <w:rPr>
          <w:rFonts w:ascii="Arial" w:hAnsi="Arial" w:cs="Arial"/>
          <w:sz w:val="21"/>
          <w:szCs w:val="21"/>
        </w:rPr>
        <w:t xml:space="preserve">Group General Counsel &amp; Company Secretary </w:t>
      </w:r>
    </w:p>
    <w:sectPr w:rsidR="00885CA0" w:rsidRPr="00722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e Light">
    <w:altName w:val="Calibri"/>
    <w:panose1 w:val="00000000000000000000"/>
    <w:charset w:val="4D"/>
    <w:family w:val="swiss"/>
    <w:notTrueType/>
    <w:pitch w:val="variable"/>
    <w:sig w:usb0="00000007" w:usb1="00000000" w:usb2="00000000" w:usb3="00000000" w:csb0="00000093" w:csb1="00000000"/>
  </w:font>
  <w:font w:name="Calibre">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234"/>
    <w:multiLevelType w:val="hybridMultilevel"/>
    <w:tmpl w:val="39D4D388"/>
    <w:lvl w:ilvl="0" w:tplc="4198DB38">
      <w:start w:val="2"/>
      <w:numFmt w:val="lowerLetter"/>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 w15:restartNumberingAfterBreak="0">
    <w:nsid w:val="090B240C"/>
    <w:multiLevelType w:val="hybridMultilevel"/>
    <w:tmpl w:val="37201FA0"/>
    <w:lvl w:ilvl="0" w:tplc="08090013">
      <w:start w:val="1"/>
      <w:numFmt w:val="upperRoman"/>
      <w:lvlText w:val="%1."/>
      <w:lvlJc w:val="right"/>
      <w:pPr>
        <w:ind w:left="1674" w:hanging="18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D825FDB"/>
    <w:multiLevelType w:val="hybridMultilevel"/>
    <w:tmpl w:val="3E386690"/>
    <w:lvl w:ilvl="0" w:tplc="F994364A">
      <w:start w:val="1"/>
      <w:numFmt w:val="upperLetter"/>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707176D"/>
    <w:multiLevelType w:val="hybridMultilevel"/>
    <w:tmpl w:val="C71AC6BC"/>
    <w:lvl w:ilvl="0" w:tplc="5184A3B6">
      <w:start w:val="2"/>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2BC55A61"/>
    <w:multiLevelType w:val="hybridMultilevel"/>
    <w:tmpl w:val="25CA19EA"/>
    <w:lvl w:ilvl="0" w:tplc="08090015">
      <w:start w:val="1"/>
      <w:numFmt w:val="upp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5" w15:restartNumberingAfterBreak="0">
    <w:nsid w:val="351362F5"/>
    <w:multiLevelType w:val="hybridMultilevel"/>
    <w:tmpl w:val="2F6CC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14478"/>
    <w:multiLevelType w:val="hybridMultilevel"/>
    <w:tmpl w:val="68A86224"/>
    <w:lvl w:ilvl="0" w:tplc="BD3C4F5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9BD587B"/>
    <w:multiLevelType w:val="hybridMultilevel"/>
    <w:tmpl w:val="0EEE08DE"/>
    <w:lvl w:ilvl="0" w:tplc="14485734">
      <w:start w:val="2"/>
      <w:numFmt w:val="upperLett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8" w15:restartNumberingAfterBreak="0">
    <w:nsid w:val="3DB345B1"/>
    <w:multiLevelType w:val="hybridMultilevel"/>
    <w:tmpl w:val="BBF426BE"/>
    <w:lvl w:ilvl="0" w:tplc="08090015">
      <w:start w:val="1"/>
      <w:numFmt w:val="upp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9" w15:restartNumberingAfterBreak="0">
    <w:nsid w:val="444C5513"/>
    <w:multiLevelType w:val="hybridMultilevel"/>
    <w:tmpl w:val="F000B424"/>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 w15:restartNumberingAfterBreak="0">
    <w:nsid w:val="47F304A2"/>
    <w:multiLevelType w:val="hybridMultilevel"/>
    <w:tmpl w:val="6A40981C"/>
    <w:lvl w:ilvl="0" w:tplc="08090019">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1" w15:restartNumberingAfterBreak="0">
    <w:nsid w:val="4D1309C4"/>
    <w:multiLevelType w:val="hybridMultilevel"/>
    <w:tmpl w:val="C19066FC"/>
    <w:lvl w:ilvl="0" w:tplc="08090013">
      <w:start w:val="1"/>
      <w:numFmt w:val="upp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4D1C74A7"/>
    <w:multiLevelType w:val="hybridMultilevel"/>
    <w:tmpl w:val="06346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C27EF6"/>
    <w:multiLevelType w:val="hybridMultilevel"/>
    <w:tmpl w:val="2B2A6A4A"/>
    <w:lvl w:ilvl="0" w:tplc="08090015">
      <w:start w:val="1"/>
      <w:numFmt w:val="upp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4" w15:restartNumberingAfterBreak="0">
    <w:nsid w:val="60AB3A6C"/>
    <w:multiLevelType w:val="hybridMultilevel"/>
    <w:tmpl w:val="E97A779E"/>
    <w:lvl w:ilvl="0" w:tplc="8CECCBDE">
      <w:start w:val="1"/>
      <w:numFmt w:val="lowerLetter"/>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5" w15:restartNumberingAfterBreak="0">
    <w:nsid w:val="63E92F48"/>
    <w:multiLevelType w:val="hybridMultilevel"/>
    <w:tmpl w:val="3DEE67E6"/>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6" w15:restartNumberingAfterBreak="0">
    <w:nsid w:val="676611C4"/>
    <w:multiLevelType w:val="hybridMultilevel"/>
    <w:tmpl w:val="79B0CC06"/>
    <w:lvl w:ilvl="0" w:tplc="90FEF5DA">
      <w:start w:val="2"/>
      <w:numFmt w:val="lowerLetter"/>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 w15:restartNumberingAfterBreak="0">
    <w:nsid w:val="6C802DF0"/>
    <w:multiLevelType w:val="hybridMultilevel"/>
    <w:tmpl w:val="FD38E5F6"/>
    <w:lvl w:ilvl="0" w:tplc="58FA0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95E96"/>
    <w:multiLevelType w:val="hybridMultilevel"/>
    <w:tmpl w:val="AA3A0BEE"/>
    <w:lvl w:ilvl="0" w:tplc="08090013">
      <w:start w:val="1"/>
      <w:numFmt w:val="upperRoman"/>
      <w:lvlText w:val="%1."/>
      <w:lvlJc w:val="righ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9" w15:restartNumberingAfterBreak="0">
    <w:nsid w:val="70344EC2"/>
    <w:multiLevelType w:val="hybridMultilevel"/>
    <w:tmpl w:val="767E6544"/>
    <w:lvl w:ilvl="0" w:tplc="B71C48AC">
      <w:start w:val="1"/>
      <w:numFmt w:val="upp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0" w15:restartNumberingAfterBreak="0">
    <w:nsid w:val="76BA0583"/>
    <w:multiLevelType w:val="hybridMultilevel"/>
    <w:tmpl w:val="2E0625FC"/>
    <w:lvl w:ilvl="0" w:tplc="F1303EE4">
      <w:start w:val="1"/>
      <w:numFmt w:val="upp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78022C9E"/>
    <w:multiLevelType w:val="hybridMultilevel"/>
    <w:tmpl w:val="5C1C2CB0"/>
    <w:lvl w:ilvl="0" w:tplc="0B261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A05EA5"/>
    <w:multiLevelType w:val="hybridMultilevel"/>
    <w:tmpl w:val="EC647436"/>
    <w:lvl w:ilvl="0" w:tplc="1B38936A">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793C489D"/>
    <w:multiLevelType w:val="hybridMultilevel"/>
    <w:tmpl w:val="335EE71E"/>
    <w:lvl w:ilvl="0" w:tplc="08DADF90">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num w:numId="1" w16cid:durableId="1561558539">
    <w:abstractNumId w:val="17"/>
  </w:num>
  <w:num w:numId="2" w16cid:durableId="22753200">
    <w:abstractNumId w:val="21"/>
  </w:num>
  <w:num w:numId="3" w16cid:durableId="1342010887">
    <w:abstractNumId w:val="19"/>
  </w:num>
  <w:num w:numId="4" w16cid:durableId="568855420">
    <w:abstractNumId w:val="2"/>
  </w:num>
  <w:num w:numId="5" w16cid:durableId="2078745668">
    <w:abstractNumId w:val="20"/>
  </w:num>
  <w:num w:numId="6" w16cid:durableId="848912438">
    <w:abstractNumId w:val="6"/>
  </w:num>
  <w:num w:numId="7" w16cid:durableId="1245650003">
    <w:abstractNumId w:val="22"/>
  </w:num>
  <w:num w:numId="8" w16cid:durableId="1686008880">
    <w:abstractNumId w:val="9"/>
  </w:num>
  <w:num w:numId="9" w16cid:durableId="256251897">
    <w:abstractNumId w:val="15"/>
  </w:num>
  <w:num w:numId="10" w16cid:durableId="1846700283">
    <w:abstractNumId w:val="11"/>
  </w:num>
  <w:num w:numId="11" w16cid:durableId="679627847">
    <w:abstractNumId w:val="8"/>
  </w:num>
  <w:num w:numId="12" w16cid:durableId="40446367">
    <w:abstractNumId w:val="0"/>
  </w:num>
  <w:num w:numId="13" w16cid:durableId="657004251">
    <w:abstractNumId w:val="14"/>
  </w:num>
  <w:num w:numId="14" w16cid:durableId="294482136">
    <w:abstractNumId w:val="4"/>
  </w:num>
  <w:num w:numId="15" w16cid:durableId="1790472478">
    <w:abstractNumId w:val="1"/>
  </w:num>
  <w:num w:numId="16" w16cid:durableId="1757822284">
    <w:abstractNumId w:val="7"/>
  </w:num>
  <w:num w:numId="17" w16cid:durableId="1249385458">
    <w:abstractNumId w:val="16"/>
  </w:num>
  <w:num w:numId="18" w16cid:durableId="339046625">
    <w:abstractNumId w:val="23"/>
  </w:num>
  <w:num w:numId="19" w16cid:durableId="793595021">
    <w:abstractNumId w:val="13"/>
  </w:num>
  <w:num w:numId="20" w16cid:durableId="362050400">
    <w:abstractNumId w:val="3"/>
  </w:num>
  <w:num w:numId="21" w16cid:durableId="181283855">
    <w:abstractNumId w:val="10"/>
  </w:num>
  <w:num w:numId="22" w16cid:durableId="2006005570">
    <w:abstractNumId w:val="18"/>
  </w:num>
  <w:num w:numId="23" w16cid:durableId="720977982">
    <w:abstractNumId w:val="12"/>
  </w:num>
  <w:num w:numId="24" w16cid:durableId="668170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34"/>
    <w:rsid w:val="00015113"/>
    <w:rsid w:val="00036EA5"/>
    <w:rsid w:val="000F4890"/>
    <w:rsid w:val="0018797E"/>
    <w:rsid w:val="001A0550"/>
    <w:rsid w:val="001D1044"/>
    <w:rsid w:val="003C75EA"/>
    <w:rsid w:val="003D646E"/>
    <w:rsid w:val="00432D5A"/>
    <w:rsid w:val="00434997"/>
    <w:rsid w:val="004921C5"/>
    <w:rsid w:val="005A30D6"/>
    <w:rsid w:val="00680D1B"/>
    <w:rsid w:val="007223FA"/>
    <w:rsid w:val="007B1F59"/>
    <w:rsid w:val="007B655A"/>
    <w:rsid w:val="007E5A95"/>
    <w:rsid w:val="00885CA0"/>
    <w:rsid w:val="008A7730"/>
    <w:rsid w:val="008C4012"/>
    <w:rsid w:val="00921878"/>
    <w:rsid w:val="0095785D"/>
    <w:rsid w:val="009D7A17"/>
    <w:rsid w:val="00A24D9E"/>
    <w:rsid w:val="00A95920"/>
    <w:rsid w:val="00AD011A"/>
    <w:rsid w:val="00B337CC"/>
    <w:rsid w:val="00BA6855"/>
    <w:rsid w:val="00BD1CA5"/>
    <w:rsid w:val="00C66524"/>
    <w:rsid w:val="00C763AD"/>
    <w:rsid w:val="00D504FB"/>
    <w:rsid w:val="00DA523A"/>
    <w:rsid w:val="00DB4B81"/>
    <w:rsid w:val="00DD1A44"/>
    <w:rsid w:val="00E373E1"/>
    <w:rsid w:val="00ED0434"/>
    <w:rsid w:val="00F12C69"/>
    <w:rsid w:val="00F7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A720"/>
  <w15:chartTrackingRefBased/>
  <w15:docId w15:val="{092438D1-CC4D-4E32-88B9-49AC12C7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qFormat/>
    <w:rsid w:val="00885CA0"/>
    <w:pPr>
      <w:spacing w:before="240" w:after="0" w:line="260" w:lineRule="atLeast"/>
      <w:jc w:val="both"/>
    </w:pPr>
    <w:rPr>
      <w:rFonts w:ascii="Times New Roman" w:hAnsi="Times New Roman" w:cs="Times New Roman"/>
    </w:rPr>
  </w:style>
  <w:style w:type="paragraph" w:styleId="ListParagraph">
    <w:name w:val="List Paragraph"/>
    <w:basedOn w:val="Normal"/>
    <w:uiPriority w:val="34"/>
    <w:qFormat/>
    <w:rsid w:val="00036EA5"/>
    <w:pPr>
      <w:ind w:left="720"/>
      <w:contextualSpacing/>
    </w:pPr>
  </w:style>
  <w:style w:type="paragraph" w:customStyle="1" w:styleId="BodytextGeneric-Styles">
    <w:name w:val="Bodytext (Generic-Styles)"/>
    <w:basedOn w:val="Normal"/>
    <w:uiPriority w:val="99"/>
    <w:rsid w:val="00434997"/>
    <w:pPr>
      <w:suppressAutoHyphens/>
      <w:autoSpaceDE w:val="0"/>
      <w:autoSpaceDN w:val="0"/>
      <w:adjustRightInd w:val="0"/>
      <w:spacing w:after="85" w:line="200" w:lineRule="atLeast"/>
      <w:textAlignment w:val="center"/>
    </w:pPr>
    <w:rPr>
      <w:rFonts w:ascii="Calibre Light" w:hAnsi="Calibre Light" w:cs="Calibre Light"/>
      <w:color w:val="000000"/>
      <w:sz w:val="17"/>
      <w:szCs w:val="17"/>
      <w14:ligatures w14:val="standardContextual"/>
    </w:rPr>
  </w:style>
  <w:style w:type="paragraph" w:customStyle="1" w:styleId="Heading-1Generic-Styles">
    <w:name w:val="Heading-1 (Generic-Styles)"/>
    <w:basedOn w:val="Normal"/>
    <w:next w:val="BodytextGeneric-Styles"/>
    <w:uiPriority w:val="99"/>
    <w:rsid w:val="00434997"/>
    <w:pPr>
      <w:keepNext/>
      <w:keepLines/>
      <w:suppressAutoHyphens/>
      <w:autoSpaceDE w:val="0"/>
      <w:autoSpaceDN w:val="0"/>
      <w:adjustRightInd w:val="0"/>
      <w:spacing w:before="57" w:after="57" w:line="240" w:lineRule="atLeast"/>
      <w:textAlignment w:val="center"/>
    </w:pPr>
    <w:rPr>
      <w:rFonts w:ascii="Calibre" w:hAnsi="Calibre" w:cs="Calibre"/>
      <w:b/>
      <w:bCs/>
      <w:color w:val="2C416B"/>
      <w:sz w:val="20"/>
      <w:szCs w:val="20"/>
      <w14:ligatures w14:val="standardContextual"/>
    </w:rPr>
  </w:style>
  <w:style w:type="paragraph" w:customStyle="1" w:styleId="a-List-2Generic-StylesLists">
    <w:name w:val="a-List-2 (Generic-Styles:Lists)"/>
    <w:basedOn w:val="Normal"/>
    <w:uiPriority w:val="99"/>
    <w:rsid w:val="00434997"/>
    <w:pPr>
      <w:tabs>
        <w:tab w:val="left" w:pos="170"/>
      </w:tabs>
      <w:suppressAutoHyphens/>
      <w:autoSpaceDE w:val="0"/>
      <w:autoSpaceDN w:val="0"/>
      <w:adjustRightInd w:val="0"/>
      <w:spacing w:after="85" w:line="200" w:lineRule="atLeast"/>
      <w:ind w:left="340" w:hanging="170"/>
      <w:textAlignment w:val="center"/>
    </w:pPr>
    <w:rPr>
      <w:rFonts w:ascii="Calibre Light" w:hAnsi="Calibre Light" w:cs="Calibre Light"/>
      <w:color w:val="000000"/>
      <w:sz w:val="17"/>
      <w:szCs w:val="17"/>
      <w14:ligatures w14:val="standardContextual"/>
    </w:rPr>
  </w:style>
  <w:style w:type="paragraph" w:customStyle="1" w:styleId="a-List-2-restartGeneric-StylesLists">
    <w:name w:val="a-List-2-restart (Generic-Styles:Lists)"/>
    <w:basedOn w:val="Normal"/>
    <w:uiPriority w:val="99"/>
    <w:rsid w:val="00434997"/>
    <w:pPr>
      <w:tabs>
        <w:tab w:val="left" w:pos="170"/>
      </w:tabs>
      <w:suppressAutoHyphens/>
      <w:autoSpaceDE w:val="0"/>
      <w:autoSpaceDN w:val="0"/>
      <w:adjustRightInd w:val="0"/>
      <w:spacing w:after="85" w:line="200" w:lineRule="atLeast"/>
      <w:ind w:left="340" w:hanging="170"/>
      <w:textAlignment w:val="center"/>
    </w:pPr>
    <w:rPr>
      <w:rFonts w:ascii="Calibre Light" w:hAnsi="Calibre Light" w:cs="Calibre Light"/>
      <w:color w:val="000000"/>
      <w:sz w:val="17"/>
      <w:szCs w:val="17"/>
      <w14:ligatures w14:val="standardContextual"/>
    </w:rPr>
  </w:style>
  <w:style w:type="paragraph" w:customStyle="1" w:styleId="iii-List-3Generic-StylesLists">
    <w:name w:val="iii-List-3 (Generic-Styles:Lists)"/>
    <w:basedOn w:val="a-List-2Generic-StylesLists"/>
    <w:uiPriority w:val="99"/>
    <w:rsid w:val="00434997"/>
    <w:pPr>
      <w:tabs>
        <w:tab w:val="clear" w:pos="170"/>
        <w:tab w:val="left" w:pos="510"/>
      </w:tabs>
      <w:ind w:left="510"/>
    </w:pPr>
  </w:style>
  <w:style w:type="paragraph" w:customStyle="1" w:styleId="A-List-4Generic-StylesLists">
    <w:name w:val="A-List-4 (Generic-Styles:Lists)"/>
    <w:basedOn w:val="a-List-2Generic-StylesLists"/>
    <w:uiPriority w:val="99"/>
    <w:rsid w:val="00434997"/>
    <w:pPr>
      <w:ind w:left="1020"/>
    </w:pPr>
  </w:style>
  <w:style w:type="paragraph" w:customStyle="1" w:styleId="a-List-2-indent-6Generic-StylesLists">
    <w:name w:val="a-List-2-indent-6 (Generic-Styles:Lists)"/>
    <w:basedOn w:val="BodytextGeneric-Styles"/>
    <w:uiPriority w:val="99"/>
    <w:rsid w:val="00434997"/>
    <w:pPr>
      <w:ind w:left="340"/>
    </w:pPr>
  </w:style>
  <w:style w:type="paragraph" w:customStyle="1" w:styleId="iii-List-5Generic-StylesLists">
    <w:name w:val="iii-List-5 (Generic-Styles:Lists)"/>
    <w:basedOn w:val="a-List-2Generic-StylesLists"/>
    <w:uiPriority w:val="99"/>
    <w:rsid w:val="007223FA"/>
    <w:pPr>
      <w:ind w:left="1361" w:hanging="227"/>
    </w:pPr>
  </w:style>
  <w:style w:type="paragraph" w:customStyle="1" w:styleId="Bodytext-Indent-18Generic-StylesLists">
    <w:name w:val="Bodytext-Indent-18 (Generic-Styles:Lists)"/>
    <w:basedOn w:val="a-List-2Generic-StylesLists"/>
    <w:uiPriority w:val="99"/>
    <w:rsid w:val="007223FA"/>
    <w:pPr>
      <w:ind w:left="10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Kathy S</dc:creator>
  <cp:keywords/>
  <dc:description/>
  <cp:lastModifiedBy>Olaniyi, Adesola</cp:lastModifiedBy>
  <cp:revision>4</cp:revision>
  <dcterms:created xsi:type="dcterms:W3CDTF">2024-07-24T12:00:00Z</dcterms:created>
  <dcterms:modified xsi:type="dcterms:W3CDTF">2024-07-24T12:07:00Z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79d32b-3adc-4fda-b0f3-2e95fcf9eed7_Enabled">
    <vt:lpwstr>true</vt:lpwstr>
  </property>
  <property fmtid="{D5CDD505-2E9C-101B-9397-08002B2CF9AE}" pid="3" name="MSIP_Label_f579d32b-3adc-4fda-b0f3-2e95fcf9eed7_SetDate">
    <vt:lpwstr>2023-07-12T10:51:16Z</vt:lpwstr>
  </property>
  <property fmtid="{D5CDD505-2E9C-101B-9397-08002B2CF9AE}" pid="4" name="MSIP_Label_f579d32b-3adc-4fda-b0f3-2e95fcf9eed7_Method">
    <vt:lpwstr>Privileged</vt:lpwstr>
  </property>
  <property fmtid="{D5CDD505-2E9C-101B-9397-08002B2CF9AE}" pid="5" name="MSIP_Label_f579d32b-3adc-4fda-b0f3-2e95fcf9eed7_Name">
    <vt:lpwstr>Public</vt:lpwstr>
  </property>
  <property fmtid="{D5CDD505-2E9C-101B-9397-08002B2CF9AE}" pid="6" name="MSIP_Label_f579d32b-3adc-4fda-b0f3-2e95fcf9eed7_SiteId">
    <vt:lpwstr>25d26f64-e150-4587-8705-aefeb42a308c</vt:lpwstr>
  </property>
  <property fmtid="{D5CDD505-2E9C-101B-9397-08002B2CF9AE}" pid="7" name="MSIP_Label_f579d32b-3adc-4fda-b0f3-2e95fcf9eed7_ActionId">
    <vt:lpwstr>2578937b-f538-4d65-8061-66b92fde6005</vt:lpwstr>
  </property>
  <property fmtid="{D5CDD505-2E9C-101B-9397-08002B2CF9AE}" pid="8" name="MSIP_Label_f579d32b-3adc-4fda-b0f3-2e95fcf9eed7_ContentBits">
    <vt:lpwstr>0</vt:lpwstr>
  </property>
</Properties>
</file>