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F65C9" w14:textId="038C65F1" w:rsidR="00A40BBE" w:rsidRPr="0051533D" w:rsidRDefault="007D4AE1">
      <w:pPr>
        <w:pStyle w:val="Heading1"/>
        <w:numPr>
          <w:ilvl w:val="0"/>
          <w:numId w:val="0"/>
        </w:numPr>
        <w:spacing w:after="29"/>
        <w:ind w:left="-5"/>
        <w:rPr>
          <w:szCs w:val="20"/>
        </w:rPr>
      </w:pPr>
      <w:bookmarkStart w:id="0" w:name="_GoBack"/>
      <w:bookmarkEnd w:id="0"/>
      <w:r w:rsidRPr="0051533D">
        <w:rPr>
          <w:szCs w:val="20"/>
        </w:rPr>
        <w:t>SUPPLEMENT</w:t>
      </w:r>
      <w:r w:rsidR="00F3363C">
        <w:rPr>
          <w:szCs w:val="20"/>
        </w:rPr>
        <w:t>ARY PROSPECTUS DATED 23</w:t>
      </w:r>
      <w:r>
        <w:rPr>
          <w:szCs w:val="20"/>
        </w:rPr>
        <w:t xml:space="preserve"> SEPTEMBER 2021</w:t>
      </w:r>
      <w:r w:rsidRPr="0061719B">
        <w:t xml:space="preserve"> </w:t>
      </w:r>
      <w:r w:rsidRPr="00D46E72">
        <w:t xml:space="preserve">TO THE PROSPECTUS DATED </w:t>
      </w:r>
      <w:r>
        <w:t>9 JUNE 2021</w:t>
      </w:r>
    </w:p>
    <w:p w14:paraId="4BB0BDDD" w14:textId="77777777" w:rsidR="00A40BBE" w:rsidRPr="0051533D" w:rsidRDefault="007D4AE1">
      <w:pPr>
        <w:spacing w:after="371" w:line="259" w:lineRule="auto"/>
        <w:ind w:left="2326" w:right="0" w:firstLine="0"/>
        <w:jc w:val="left"/>
        <w:rPr>
          <w:szCs w:val="20"/>
        </w:rPr>
      </w:pPr>
      <w:r w:rsidRPr="0051533D">
        <w:rPr>
          <w:noProof/>
          <w:szCs w:val="20"/>
        </w:rPr>
        <w:drawing>
          <wp:inline distT="0" distB="0" distL="0" distR="0" wp14:anchorId="747FFEB9" wp14:editId="6D5C039A">
            <wp:extent cx="2627376" cy="1591056"/>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642876893" name="Picture 10"/>
                    <pic:cNvPicPr/>
                  </pic:nvPicPr>
                  <pic:blipFill>
                    <a:blip r:embed="rId7"/>
                    <a:stretch>
                      <a:fillRect/>
                    </a:stretch>
                  </pic:blipFill>
                  <pic:spPr>
                    <a:xfrm>
                      <a:off x="0" y="0"/>
                      <a:ext cx="2627376" cy="1591056"/>
                    </a:xfrm>
                    <a:prstGeom prst="rect">
                      <a:avLst/>
                    </a:prstGeom>
                  </pic:spPr>
                </pic:pic>
              </a:graphicData>
            </a:graphic>
          </wp:inline>
        </w:drawing>
      </w:r>
    </w:p>
    <w:p w14:paraId="5670AC10" w14:textId="77777777" w:rsidR="00A40BBE" w:rsidRPr="0051533D" w:rsidRDefault="007D4AE1">
      <w:pPr>
        <w:spacing w:after="300" w:line="275" w:lineRule="auto"/>
        <w:ind w:left="10" w:right="2" w:hanging="10"/>
        <w:jc w:val="center"/>
        <w:rPr>
          <w:szCs w:val="20"/>
        </w:rPr>
      </w:pPr>
      <w:r w:rsidRPr="0051533D">
        <w:rPr>
          <w:b/>
          <w:szCs w:val="20"/>
        </w:rPr>
        <w:t>Aviva plc</w:t>
      </w:r>
    </w:p>
    <w:p w14:paraId="3B85C76A" w14:textId="77777777" w:rsidR="00A40BBE" w:rsidRPr="0051533D" w:rsidRDefault="007D4AE1">
      <w:pPr>
        <w:spacing w:after="300" w:line="275" w:lineRule="auto"/>
        <w:ind w:left="10" w:right="3" w:hanging="10"/>
        <w:jc w:val="center"/>
        <w:rPr>
          <w:szCs w:val="20"/>
        </w:rPr>
      </w:pPr>
      <w:r w:rsidRPr="0051533D">
        <w:rPr>
          <w:b/>
          <w:szCs w:val="20"/>
        </w:rPr>
        <w:t xml:space="preserve">Incorporated in England with limited liability (Registered number </w:t>
      </w:r>
      <w:r>
        <w:rPr>
          <w:b/>
          <w:szCs w:val="20"/>
        </w:rPr>
        <w:t>0</w:t>
      </w:r>
      <w:r w:rsidRPr="0051533D">
        <w:rPr>
          <w:b/>
          <w:szCs w:val="20"/>
        </w:rPr>
        <w:t>2468686)</w:t>
      </w:r>
    </w:p>
    <w:p w14:paraId="1640130A" w14:textId="77777777" w:rsidR="00A40BBE" w:rsidRPr="0051533D" w:rsidRDefault="007D4AE1">
      <w:pPr>
        <w:spacing w:after="300" w:line="275" w:lineRule="auto"/>
        <w:ind w:left="10" w:right="3" w:hanging="10"/>
        <w:jc w:val="center"/>
        <w:rPr>
          <w:szCs w:val="20"/>
        </w:rPr>
      </w:pPr>
      <w:r>
        <w:rPr>
          <w:b/>
          <w:szCs w:val="20"/>
        </w:rPr>
        <w:t>£7,000,000,000</w:t>
      </w:r>
    </w:p>
    <w:p w14:paraId="33271ED5" w14:textId="77777777" w:rsidR="00A40BBE" w:rsidRPr="0051533D" w:rsidRDefault="007D4AE1">
      <w:pPr>
        <w:spacing w:after="300" w:line="275" w:lineRule="auto"/>
        <w:ind w:left="10" w:right="3" w:hanging="10"/>
        <w:jc w:val="center"/>
        <w:rPr>
          <w:szCs w:val="20"/>
        </w:rPr>
      </w:pPr>
      <w:r w:rsidRPr="0051533D">
        <w:rPr>
          <w:b/>
          <w:szCs w:val="20"/>
        </w:rPr>
        <w:t>Euro Note Programme</w:t>
      </w:r>
    </w:p>
    <w:p w14:paraId="7ED68DB1" w14:textId="77777777" w:rsidR="00A40BBE" w:rsidRPr="0051533D" w:rsidRDefault="007D4AE1">
      <w:pPr>
        <w:spacing w:after="297" w:line="274" w:lineRule="auto"/>
        <w:ind w:left="10" w:hanging="10"/>
        <w:jc w:val="center"/>
        <w:rPr>
          <w:szCs w:val="20"/>
        </w:rPr>
      </w:pPr>
      <w:r w:rsidRPr="0051533D">
        <w:rPr>
          <w:szCs w:val="20"/>
        </w:rPr>
        <w:t>________________________________</w:t>
      </w:r>
    </w:p>
    <w:p w14:paraId="0806C7F9" w14:textId="4F0D9138" w:rsidR="00A40BBE" w:rsidRDefault="007D4AE1" w:rsidP="00A40BBE">
      <w:pPr>
        <w:ind w:left="-15" w:right="0" w:firstLine="0"/>
        <w:rPr>
          <w:szCs w:val="20"/>
        </w:rPr>
      </w:pPr>
      <w:r w:rsidRPr="0051533D">
        <w:rPr>
          <w:szCs w:val="20"/>
        </w:rPr>
        <w:t>This Supplement</w:t>
      </w:r>
      <w:r>
        <w:rPr>
          <w:szCs w:val="20"/>
        </w:rPr>
        <w:t>ary Prospectus</w:t>
      </w:r>
      <w:r w:rsidRPr="0051533D">
        <w:rPr>
          <w:szCs w:val="20"/>
        </w:rPr>
        <w:t xml:space="preserve"> (the “</w:t>
      </w:r>
      <w:r w:rsidRPr="00AC31A6">
        <w:rPr>
          <w:b/>
          <w:szCs w:val="20"/>
        </w:rPr>
        <w:t>Supplementary Prospectus</w:t>
      </w:r>
      <w:r w:rsidRPr="0051533D">
        <w:rPr>
          <w:szCs w:val="20"/>
        </w:rPr>
        <w:t xml:space="preserve">”, which definition shall also include all information incorporated by reference herein) to the base prospectus dated </w:t>
      </w:r>
      <w:r>
        <w:rPr>
          <w:szCs w:val="20"/>
        </w:rPr>
        <w:t>9 June 2021</w:t>
      </w:r>
      <w:r w:rsidRPr="0051533D">
        <w:rPr>
          <w:szCs w:val="20"/>
        </w:rPr>
        <w:t xml:space="preserve"> (the “</w:t>
      </w:r>
      <w:r w:rsidRPr="00AC31A6">
        <w:rPr>
          <w:b/>
          <w:szCs w:val="20"/>
        </w:rPr>
        <w:t>Prospectus</w:t>
      </w:r>
      <w:r>
        <w:rPr>
          <w:szCs w:val="20"/>
        </w:rPr>
        <w:t xml:space="preserve">”, </w:t>
      </w:r>
      <w:r w:rsidRPr="005A608F">
        <w:rPr>
          <w:szCs w:val="20"/>
        </w:rPr>
        <w:t xml:space="preserve">which </w:t>
      </w:r>
      <w:r>
        <w:rPr>
          <w:szCs w:val="20"/>
        </w:rPr>
        <w:t xml:space="preserve">definition includes the Prospectus as supplemented, </w:t>
      </w:r>
      <w:r w:rsidRPr="005A608F">
        <w:rPr>
          <w:szCs w:val="20"/>
        </w:rPr>
        <w:t>amended</w:t>
      </w:r>
      <w:r>
        <w:rPr>
          <w:szCs w:val="20"/>
        </w:rPr>
        <w:t xml:space="preserve"> or updated from time to time and includes all information incorporated by reference therein),</w:t>
      </w:r>
      <w:r w:rsidRPr="005A608F">
        <w:rPr>
          <w:szCs w:val="20"/>
        </w:rPr>
        <w:t xml:space="preserve"> </w:t>
      </w:r>
      <w:r w:rsidRPr="0051533D">
        <w:rPr>
          <w:szCs w:val="20"/>
        </w:rPr>
        <w:t xml:space="preserve">constitutes a supplementary prospectus for the purposes of </w:t>
      </w:r>
      <w:r>
        <w:rPr>
          <w:szCs w:val="20"/>
        </w:rPr>
        <w:t>Article 23 of Regulation (EU) 2017/1129 as it forms part of the domestic law of the United Kingdom by virtue of the European Union (Withdrawal) Act 2018 (the “</w:t>
      </w:r>
      <w:r w:rsidRPr="00AC31A6">
        <w:rPr>
          <w:b/>
          <w:szCs w:val="20"/>
        </w:rPr>
        <w:t>UK Prospectus Regulation</w:t>
      </w:r>
      <w:r>
        <w:rPr>
          <w:szCs w:val="20"/>
        </w:rPr>
        <w:t xml:space="preserve">”) and is prepared in accordance with the £7,000,000,000 Euro Note Programme </w:t>
      </w:r>
      <w:r w:rsidRPr="0051533D">
        <w:rPr>
          <w:szCs w:val="20"/>
        </w:rPr>
        <w:t>(the “</w:t>
      </w:r>
      <w:r w:rsidRPr="00AC31A6">
        <w:rPr>
          <w:b/>
          <w:szCs w:val="20"/>
        </w:rPr>
        <w:t>Programme</w:t>
      </w:r>
      <w:r w:rsidRPr="0051533D">
        <w:rPr>
          <w:szCs w:val="20"/>
        </w:rPr>
        <w:t>”) established by Aviva plc (the “</w:t>
      </w:r>
      <w:r w:rsidRPr="00AC31A6">
        <w:rPr>
          <w:b/>
          <w:szCs w:val="20"/>
        </w:rPr>
        <w:t>Issuer</w:t>
      </w:r>
      <w:r w:rsidRPr="0051533D">
        <w:rPr>
          <w:szCs w:val="20"/>
        </w:rPr>
        <w:t xml:space="preserve">”).  </w:t>
      </w:r>
    </w:p>
    <w:p w14:paraId="07325AED" w14:textId="77777777" w:rsidR="00A40BBE" w:rsidRPr="0051533D" w:rsidRDefault="007D4AE1" w:rsidP="00A40BBE">
      <w:pPr>
        <w:ind w:left="-15" w:right="0" w:firstLine="0"/>
        <w:rPr>
          <w:szCs w:val="20"/>
        </w:rPr>
      </w:pPr>
      <w:r w:rsidRPr="0051533D">
        <w:rPr>
          <w:szCs w:val="20"/>
        </w:rPr>
        <w:t>Terms defined in the Prospectus have the same meaning when used in this Supplement</w:t>
      </w:r>
      <w:r>
        <w:rPr>
          <w:szCs w:val="20"/>
        </w:rPr>
        <w:t>ary Prospectus</w:t>
      </w:r>
      <w:r w:rsidRPr="0051533D">
        <w:rPr>
          <w:szCs w:val="20"/>
        </w:rPr>
        <w:t>.</w:t>
      </w:r>
    </w:p>
    <w:p w14:paraId="31D6E3CE" w14:textId="77777777" w:rsidR="00A40BBE" w:rsidRPr="0051533D" w:rsidRDefault="007D4AE1">
      <w:pPr>
        <w:ind w:left="-15" w:right="0" w:firstLine="0"/>
        <w:rPr>
          <w:szCs w:val="20"/>
        </w:rPr>
      </w:pPr>
      <w:r w:rsidRPr="0051533D">
        <w:rPr>
          <w:szCs w:val="20"/>
        </w:rPr>
        <w:t>This Supplement</w:t>
      </w:r>
      <w:r>
        <w:rPr>
          <w:szCs w:val="20"/>
        </w:rPr>
        <w:t>ary Prospectus</w:t>
      </w:r>
      <w:r w:rsidRPr="0051533D">
        <w:rPr>
          <w:szCs w:val="20"/>
        </w:rPr>
        <w:t xml:space="preserve"> is supplemental to, and should be read in conjunction with, the Prospectus issued by the Issuer and all documents which are incorporated herein or therein by reference.</w:t>
      </w:r>
    </w:p>
    <w:p w14:paraId="1BEE2809" w14:textId="77777777" w:rsidR="00A40BBE" w:rsidRDefault="007D4AE1">
      <w:pPr>
        <w:ind w:left="-15" w:right="0" w:firstLine="0"/>
        <w:rPr>
          <w:szCs w:val="20"/>
        </w:rPr>
      </w:pPr>
      <w:r w:rsidRPr="0051533D">
        <w:rPr>
          <w:szCs w:val="20"/>
        </w:rPr>
        <w:t>This Supplement</w:t>
      </w:r>
      <w:r>
        <w:rPr>
          <w:szCs w:val="20"/>
        </w:rPr>
        <w:t>ary Prospectus</w:t>
      </w:r>
      <w:r w:rsidRPr="0051533D">
        <w:rPr>
          <w:szCs w:val="20"/>
        </w:rPr>
        <w:t xml:space="preserve"> has been approved by the United Kingdom Financial Conduct Authority (the “</w:t>
      </w:r>
      <w:r w:rsidRPr="0051533D">
        <w:rPr>
          <w:b/>
          <w:szCs w:val="20"/>
        </w:rPr>
        <w:t>FCA</w:t>
      </w:r>
      <w:r w:rsidRPr="0051533D">
        <w:rPr>
          <w:szCs w:val="20"/>
        </w:rPr>
        <w:t xml:space="preserve">”), which is the competent authority for the purposes of the </w:t>
      </w:r>
      <w:r>
        <w:rPr>
          <w:szCs w:val="20"/>
        </w:rPr>
        <w:t xml:space="preserve">UK Prospectus Regulation, as a supplementary prospectus to the Prospectus. The Prospectus constitutes a base prospectus in compliance with the UK Prospectus Regulation for the purpose of giving information with regard to the issue of Notes under the Programme. </w:t>
      </w:r>
    </w:p>
    <w:p w14:paraId="1A829EB7" w14:textId="77777777" w:rsidR="00A40BBE" w:rsidRPr="0051533D" w:rsidRDefault="007D4AE1">
      <w:pPr>
        <w:ind w:left="-15" w:right="0" w:firstLine="0"/>
        <w:rPr>
          <w:szCs w:val="20"/>
        </w:rPr>
      </w:pPr>
      <w:r w:rsidRPr="0051533D">
        <w:rPr>
          <w:szCs w:val="20"/>
        </w:rPr>
        <w:t>The Issuer accepts responsibility for the information contained in this Supplement</w:t>
      </w:r>
      <w:r>
        <w:rPr>
          <w:szCs w:val="20"/>
        </w:rPr>
        <w:t>ary Prospectus</w:t>
      </w:r>
      <w:r w:rsidRPr="0051533D">
        <w:rPr>
          <w:szCs w:val="20"/>
        </w:rPr>
        <w:t>.  To the best of the knowledge of the Issuer (having taken all reasonable care to ensure that such is the case), the information contained in this Supplement</w:t>
      </w:r>
      <w:r>
        <w:rPr>
          <w:szCs w:val="20"/>
        </w:rPr>
        <w:t>ary Prospectus</w:t>
      </w:r>
      <w:r w:rsidRPr="0051533D">
        <w:rPr>
          <w:szCs w:val="20"/>
        </w:rPr>
        <w:t xml:space="preserve"> is in accordance with the facts and does not omit anything likely to affect the import of such information.</w:t>
      </w:r>
    </w:p>
    <w:p w14:paraId="200F83DC" w14:textId="77777777" w:rsidR="00A40BBE" w:rsidRPr="0051533D" w:rsidRDefault="007D4AE1">
      <w:pPr>
        <w:ind w:left="-15" w:right="0" w:firstLine="0"/>
        <w:rPr>
          <w:szCs w:val="20"/>
        </w:rPr>
      </w:pPr>
      <w:r w:rsidRPr="0051533D">
        <w:rPr>
          <w:szCs w:val="20"/>
        </w:rPr>
        <w:lastRenderedPageBreak/>
        <w:t>The purpose of this Supplement</w:t>
      </w:r>
      <w:r>
        <w:rPr>
          <w:szCs w:val="20"/>
        </w:rPr>
        <w:t>ary Prospectus</w:t>
      </w:r>
      <w:r w:rsidRPr="0051533D">
        <w:rPr>
          <w:szCs w:val="20"/>
        </w:rPr>
        <w:t xml:space="preserve"> is to:</w:t>
      </w:r>
    </w:p>
    <w:p w14:paraId="0E425D4D" w14:textId="0697995B" w:rsidR="00A40BBE" w:rsidRPr="0051533D" w:rsidRDefault="007D4AE1">
      <w:pPr>
        <w:numPr>
          <w:ilvl w:val="0"/>
          <w:numId w:val="1"/>
        </w:numPr>
        <w:ind w:right="41" w:hanging="710"/>
        <w:rPr>
          <w:szCs w:val="20"/>
        </w:rPr>
      </w:pPr>
      <w:r>
        <w:rPr>
          <w:szCs w:val="20"/>
        </w:rPr>
        <w:t>incorporate by reference</w:t>
      </w:r>
      <w:r w:rsidRPr="0051533D">
        <w:rPr>
          <w:szCs w:val="20"/>
        </w:rPr>
        <w:t xml:space="preserve"> the Half Year Report </w:t>
      </w:r>
      <w:r>
        <w:rPr>
          <w:szCs w:val="20"/>
        </w:rPr>
        <w:t>2021</w:t>
      </w:r>
      <w:r w:rsidRPr="0051533D">
        <w:rPr>
          <w:szCs w:val="20"/>
        </w:rPr>
        <w:t xml:space="preserve"> (as defined below)</w:t>
      </w:r>
      <w:r>
        <w:rPr>
          <w:szCs w:val="20"/>
        </w:rPr>
        <w:t xml:space="preserve"> save for the “New</w:t>
      </w:r>
      <w:r w:rsidR="00094566">
        <w:rPr>
          <w:szCs w:val="20"/>
        </w:rPr>
        <w:t>s</w:t>
      </w:r>
      <w:r>
        <w:rPr>
          <w:szCs w:val="20"/>
        </w:rPr>
        <w:t xml:space="preserve"> Release” section as outlined in paragraph 1 of this Supplement</w:t>
      </w:r>
      <w:r w:rsidRPr="0051533D">
        <w:rPr>
          <w:szCs w:val="20"/>
        </w:rPr>
        <w:t xml:space="preserve">; </w:t>
      </w:r>
    </w:p>
    <w:p w14:paraId="2302064D" w14:textId="52309B1D" w:rsidR="00A40BBE" w:rsidRDefault="007D4AE1">
      <w:pPr>
        <w:numPr>
          <w:ilvl w:val="0"/>
          <w:numId w:val="1"/>
        </w:numPr>
        <w:spacing w:after="297" w:line="274" w:lineRule="auto"/>
        <w:ind w:right="41" w:hanging="710"/>
        <w:rPr>
          <w:szCs w:val="20"/>
        </w:rPr>
      </w:pPr>
      <w:r w:rsidRPr="0051533D">
        <w:rPr>
          <w:szCs w:val="20"/>
        </w:rPr>
        <w:t xml:space="preserve">update the no significant change statement </w:t>
      </w:r>
      <w:r>
        <w:rPr>
          <w:szCs w:val="20"/>
        </w:rPr>
        <w:t xml:space="preserve">of the Issuer in the Prospectus; </w:t>
      </w:r>
    </w:p>
    <w:p w14:paraId="1FB87BB6" w14:textId="076EC7DB" w:rsidR="00A40BBE" w:rsidRDefault="007D4AE1">
      <w:pPr>
        <w:numPr>
          <w:ilvl w:val="0"/>
          <w:numId w:val="1"/>
        </w:numPr>
        <w:spacing w:after="297" w:line="274" w:lineRule="auto"/>
        <w:ind w:right="41" w:hanging="710"/>
        <w:rPr>
          <w:szCs w:val="20"/>
        </w:rPr>
      </w:pPr>
      <w:r>
        <w:rPr>
          <w:szCs w:val="20"/>
        </w:rPr>
        <w:t>update the sub-section entitled “</w:t>
      </w:r>
      <w:r w:rsidR="00875EF2">
        <w:rPr>
          <w:szCs w:val="20"/>
        </w:rPr>
        <w:t>Recent business developments</w:t>
      </w:r>
      <w:r>
        <w:rPr>
          <w:szCs w:val="20"/>
        </w:rPr>
        <w:t>” under the section entit</w:t>
      </w:r>
      <w:r w:rsidR="00875EF2">
        <w:rPr>
          <w:szCs w:val="20"/>
        </w:rPr>
        <w:t>led “Description of the Group”; and</w:t>
      </w:r>
    </w:p>
    <w:p w14:paraId="59F05E7B" w14:textId="1D385BDA" w:rsidR="00875EF2" w:rsidRDefault="00875EF2">
      <w:pPr>
        <w:numPr>
          <w:ilvl w:val="0"/>
          <w:numId w:val="1"/>
        </w:numPr>
        <w:spacing w:after="297" w:line="274" w:lineRule="auto"/>
        <w:ind w:right="41" w:hanging="710"/>
        <w:rPr>
          <w:szCs w:val="20"/>
        </w:rPr>
      </w:pPr>
      <w:r>
        <w:rPr>
          <w:szCs w:val="20"/>
        </w:rPr>
        <w:t>update the sub-section entitled “Directors of the Issuer” under the section entitled “Description of the Group”.</w:t>
      </w:r>
    </w:p>
    <w:p w14:paraId="036EB064" w14:textId="77777777" w:rsidR="00A40BBE" w:rsidRPr="0051533D" w:rsidRDefault="007D4AE1" w:rsidP="00A40BBE">
      <w:pPr>
        <w:ind w:left="0" w:firstLine="0"/>
        <w:rPr>
          <w:szCs w:val="20"/>
        </w:rPr>
      </w:pPr>
      <w:r w:rsidRPr="00AC31A6">
        <w:rPr>
          <w:szCs w:val="20"/>
        </w:rPr>
        <w:t>Any non-incorporated parts of a document referred to herein are either deemed not relevant for an investor or are otherwise covered elsewhere in the Prospectus to which this Supplementary Prospectus relates.</w:t>
      </w:r>
    </w:p>
    <w:p w14:paraId="48719371" w14:textId="77777777" w:rsidR="00A40BBE" w:rsidRPr="0051533D" w:rsidRDefault="007D4AE1">
      <w:pPr>
        <w:tabs>
          <w:tab w:val="center" w:pos="2992"/>
        </w:tabs>
        <w:spacing w:after="312" w:line="265" w:lineRule="auto"/>
        <w:ind w:left="-15" w:right="0" w:firstLine="0"/>
        <w:jc w:val="left"/>
        <w:rPr>
          <w:szCs w:val="20"/>
        </w:rPr>
      </w:pPr>
      <w:r w:rsidRPr="0051533D">
        <w:rPr>
          <w:b/>
          <w:szCs w:val="20"/>
        </w:rPr>
        <w:t>1.</w:t>
      </w:r>
      <w:r w:rsidRPr="0051533D">
        <w:rPr>
          <w:b/>
          <w:szCs w:val="20"/>
        </w:rPr>
        <w:tab/>
        <w:t>DOCUMENTS INCORPORATED BY REFERENCE</w:t>
      </w:r>
    </w:p>
    <w:p w14:paraId="483228D9" w14:textId="77777777" w:rsidR="00A40BBE" w:rsidRPr="0051533D" w:rsidRDefault="007D4AE1">
      <w:pPr>
        <w:pStyle w:val="Heading1"/>
        <w:numPr>
          <w:ilvl w:val="0"/>
          <w:numId w:val="0"/>
        </w:numPr>
        <w:ind w:left="-5"/>
        <w:rPr>
          <w:szCs w:val="20"/>
        </w:rPr>
      </w:pPr>
      <w:r w:rsidRPr="0051533D">
        <w:rPr>
          <w:szCs w:val="20"/>
        </w:rPr>
        <w:t xml:space="preserve">Half Year Report </w:t>
      </w:r>
      <w:r>
        <w:rPr>
          <w:szCs w:val="20"/>
        </w:rPr>
        <w:t>2021</w:t>
      </w:r>
    </w:p>
    <w:p w14:paraId="4755DBA8" w14:textId="77777777" w:rsidR="00A40BBE" w:rsidRPr="00AC31A6" w:rsidRDefault="007D4AE1" w:rsidP="00A40BBE">
      <w:pPr>
        <w:ind w:left="0" w:firstLine="0"/>
        <w:rPr>
          <w:szCs w:val="20"/>
        </w:rPr>
      </w:pPr>
      <w:r w:rsidRPr="008C7CB9">
        <w:rPr>
          <w:szCs w:val="20"/>
        </w:rPr>
        <w:t>On 12 August 2021, the Issuer published its unaudited interim half year report for the six months to 30 June 2021 (the “</w:t>
      </w:r>
      <w:r w:rsidRPr="00AC31A6">
        <w:rPr>
          <w:b/>
          <w:szCs w:val="20"/>
        </w:rPr>
        <w:t>Half Year Report 2021</w:t>
      </w:r>
      <w:r w:rsidRPr="008C7CB9">
        <w:rPr>
          <w:szCs w:val="20"/>
        </w:rPr>
        <w:t>”).  By virtue of this Supplementary Prospectus, the Half Year Report 2021 is hereby incorporated in and forms part of this Supplementary Prospectus (and is thereby incorporated in and forms part of the Prospectus)</w:t>
      </w:r>
      <w:r w:rsidRPr="007536D8">
        <w:rPr>
          <w:szCs w:val="20"/>
        </w:rPr>
        <w:t xml:space="preserve"> except that the </w:t>
      </w:r>
      <w:r w:rsidRPr="007536D8">
        <w:rPr>
          <w:rFonts w:eastAsia="Times New Roman"/>
          <w:kern w:val="16"/>
          <w:szCs w:val="20"/>
        </w:rPr>
        <w:t>first eleven pages of the Half Year Report 2021 titled “News Release</w:t>
      </w:r>
      <w:r>
        <w:rPr>
          <w:rFonts w:eastAsia="Times New Roman"/>
          <w:kern w:val="16"/>
          <w:szCs w:val="20"/>
        </w:rPr>
        <w:t xml:space="preserve">” </w:t>
      </w:r>
      <w:r w:rsidRPr="007536D8">
        <w:rPr>
          <w:szCs w:val="20"/>
        </w:rPr>
        <w:t>shall not be deemed to be incorporated in, and shall not be deemed to form part of, the Supp</w:t>
      </w:r>
      <w:r>
        <w:rPr>
          <w:szCs w:val="20"/>
        </w:rPr>
        <w:t>lem</w:t>
      </w:r>
      <w:r w:rsidRPr="007536D8">
        <w:rPr>
          <w:szCs w:val="20"/>
        </w:rPr>
        <w:t>ent</w:t>
      </w:r>
      <w:r>
        <w:rPr>
          <w:szCs w:val="20"/>
        </w:rPr>
        <w:t>ary Prospectus</w:t>
      </w:r>
      <w:r w:rsidRPr="007536D8">
        <w:rPr>
          <w:szCs w:val="20"/>
        </w:rPr>
        <w:t xml:space="preserve"> or the Prospectus</w:t>
      </w:r>
      <w:r>
        <w:rPr>
          <w:szCs w:val="20"/>
        </w:rPr>
        <w:t>.</w:t>
      </w:r>
    </w:p>
    <w:p w14:paraId="43D8992B" w14:textId="77777777" w:rsidR="00A40BBE" w:rsidRDefault="007D4AE1" w:rsidP="00A40BBE">
      <w:pPr>
        <w:rPr>
          <w:b/>
          <w:szCs w:val="20"/>
        </w:rPr>
      </w:pPr>
      <w:r>
        <w:rPr>
          <w:b/>
          <w:szCs w:val="20"/>
        </w:rPr>
        <w:t>Alternative performance measures</w:t>
      </w:r>
    </w:p>
    <w:p w14:paraId="6778D7FE" w14:textId="77777777" w:rsidR="00A40BBE" w:rsidRPr="00633EEA" w:rsidRDefault="007D4AE1" w:rsidP="00A40BBE">
      <w:pPr>
        <w:ind w:left="0" w:firstLine="0"/>
        <w:rPr>
          <w:szCs w:val="20"/>
        </w:rPr>
      </w:pPr>
      <w:r w:rsidRPr="005A608F">
        <w:rPr>
          <w:szCs w:val="20"/>
        </w:rPr>
        <w:t>Certain alternative performance measures (“</w:t>
      </w:r>
      <w:r w:rsidRPr="00AC31A6">
        <w:rPr>
          <w:b/>
          <w:szCs w:val="20"/>
        </w:rPr>
        <w:t>APMs</w:t>
      </w:r>
      <w:r w:rsidRPr="005A608F">
        <w:rPr>
          <w:szCs w:val="20"/>
        </w:rPr>
        <w:t xml:space="preserve">”) are included or referred to in the Half Year Report </w:t>
      </w:r>
      <w:r>
        <w:rPr>
          <w:szCs w:val="20"/>
        </w:rPr>
        <w:t>2021</w:t>
      </w:r>
      <w:r w:rsidRPr="005A608F">
        <w:rPr>
          <w:szCs w:val="20"/>
        </w:rPr>
        <w:t>. APMs are non-GAAP measures, used by the Group within its financial publications to supplement disclosures prepared in accordance with other regulations such as IFRS and Solvency II. The Issuer considers that these measures provide useful information to enhance the understanding of financial performance. The APMs should be viewed as complementary to, rather than a substitute for, the figures determined according to other regulatory measures. APMs have been referenced using the “‡” in the Half Year Report 202</w:t>
      </w:r>
      <w:r>
        <w:rPr>
          <w:szCs w:val="20"/>
        </w:rPr>
        <w:t>1</w:t>
      </w:r>
      <w:r w:rsidRPr="005A608F">
        <w:rPr>
          <w:szCs w:val="20"/>
        </w:rPr>
        <w:t xml:space="preserve">. An explanation of each such metric's components and calculation method can be found at </w:t>
      </w:r>
      <w:r w:rsidRPr="000E2922">
        <w:rPr>
          <w:szCs w:val="20"/>
        </w:rPr>
        <w:t>pages 9</w:t>
      </w:r>
      <w:r w:rsidRPr="007536D8">
        <w:rPr>
          <w:szCs w:val="20"/>
        </w:rPr>
        <w:t>3</w:t>
      </w:r>
      <w:r w:rsidRPr="000E2922">
        <w:rPr>
          <w:szCs w:val="20"/>
        </w:rPr>
        <w:t xml:space="preserve"> to 107</w:t>
      </w:r>
      <w:r w:rsidRPr="005A608F">
        <w:rPr>
          <w:szCs w:val="20"/>
        </w:rPr>
        <w:t xml:space="preserve"> (incorporated by reference herein) of the Half Year Report </w:t>
      </w:r>
      <w:r>
        <w:rPr>
          <w:szCs w:val="20"/>
        </w:rPr>
        <w:t>2021</w:t>
      </w:r>
      <w:r w:rsidRPr="005A608F">
        <w:rPr>
          <w:szCs w:val="20"/>
        </w:rPr>
        <w:t xml:space="preserve"> for the half year ended 30 June </w:t>
      </w:r>
      <w:r>
        <w:rPr>
          <w:szCs w:val="20"/>
        </w:rPr>
        <w:t>2021</w:t>
      </w:r>
      <w:r w:rsidRPr="005A608F">
        <w:rPr>
          <w:szCs w:val="20"/>
        </w:rPr>
        <w:t>.</w:t>
      </w:r>
    </w:p>
    <w:p w14:paraId="22030F28" w14:textId="77777777" w:rsidR="00A40BBE" w:rsidRPr="0051533D" w:rsidRDefault="007D4AE1">
      <w:pPr>
        <w:pStyle w:val="Heading1"/>
        <w:ind w:left="693" w:hanging="708"/>
        <w:rPr>
          <w:szCs w:val="20"/>
        </w:rPr>
      </w:pPr>
      <w:r>
        <w:rPr>
          <w:szCs w:val="20"/>
        </w:rPr>
        <w:t>NO SIGNIFICANT CHANGE</w:t>
      </w:r>
    </w:p>
    <w:p w14:paraId="6A6929E0" w14:textId="77777777" w:rsidR="00A40BBE" w:rsidRPr="0051533D" w:rsidRDefault="007D4AE1">
      <w:pPr>
        <w:ind w:left="-15" w:right="0" w:firstLine="0"/>
        <w:rPr>
          <w:szCs w:val="20"/>
        </w:rPr>
      </w:pPr>
      <w:r w:rsidRPr="0051533D">
        <w:rPr>
          <w:szCs w:val="20"/>
        </w:rPr>
        <w:t xml:space="preserve">The no significant change statement of the Issuer </w:t>
      </w:r>
      <w:r w:rsidRPr="00431762">
        <w:rPr>
          <w:szCs w:val="20"/>
        </w:rPr>
        <w:t>at page 231</w:t>
      </w:r>
      <w:r>
        <w:rPr>
          <w:szCs w:val="20"/>
        </w:rPr>
        <w:t xml:space="preserve"> </w:t>
      </w:r>
      <w:r w:rsidRPr="0051533D">
        <w:rPr>
          <w:szCs w:val="20"/>
        </w:rPr>
        <w:t>of the Prospectus is updated as set out below:</w:t>
      </w:r>
    </w:p>
    <w:p w14:paraId="5F7866FE" w14:textId="77777777" w:rsidR="00A40BBE" w:rsidRDefault="007D4AE1" w:rsidP="00A40BBE">
      <w:pPr>
        <w:ind w:left="-15" w:right="0" w:firstLine="0"/>
        <w:rPr>
          <w:szCs w:val="20"/>
        </w:rPr>
      </w:pPr>
      <w:r w:rsidRPr="0051533D">
        <w:rPr>
          <w:szCs w:val="20"/>
        </w:rPr>
        <w:t xml:space="preserve">There has been no significant change in the financial </w:t>
      </w:r>
      <w:r>
        <w:rPr>
          <w:szCs w:val="20"/>
        </w:rPr>
        <w:t xml:space="preserve">performance </w:t>
      </w:r>
      <w:r w:rsidRPr="0051533D">
        <w:rPr>
          <w:szCs w:val="20"/>
        </w:rPr>
        <w:t xml:space="preserve">or </w:t>
      </w:r>
      <w:r>
        <w:rPr>
          <w:szCs w:val="20"/>
        </w:rPr>
        <w:t>financial</w:t>
      </w:r>
      <w:r w:rsidRPr="0051533D">
        <w:rPr>
          <w:szCs w:val="20"/>
        </w:rPr>
        <w:t xml:space="preserve"> position of the Group since </w:t>
      </w:r>
      <w:r>
        <w:rPr>
          <w:szCs w:val="20"/>
        </w:rPr>
        <w:t>30 June 2021</w:t>
      </w:r>
      <w:r w:rsidRPr="0051533D">
        <w:rPr>
          <w:szCs w:val="20"/>
        </w:rPr>
        <w:t xml:space="preserve">, being the date to which the Issuer’s last published interim financial information (as set out in the </w:t>
      </w:r>
      <w:r>
        <w:rPr>
          <w:szCs w:val="20"/>
        </w:rPr>
        <w:t>Half Year Report 2021</w:t>
      </w:r>
      <w:r w:rsidRPr="0051533D">
        <w:rPr>
          <w:szCs w:val="20"/>
        </w:rPr>
        <w:t>) was prepared.</w:t>
      </w:r>
    </w:p>
    <w:p w14:paraId="132E55A7" w14:textId="5C13BAC5" w:rsidR="00611F4C" w:rsidRDefault="00611F4C" w:rsidP="00A40BBE">
      <w:pPr>
        <w:pStyle w:val="Heading1"/>
      </w:pPr>
      <w:r>
        <w:t xml:space="preserve">RECENT BUSINESS DEVELOPMENTS </w:t>
      </w:r>
    </w:p>
    <w:p w14:paraId="7398A435" w14:textId="6C815FCF" w:rsidR="00611F4C" w:rsidRDefault="00611F4C" w:rsidP="00611F4C">
      <w:pPr>
        <w:ind w:left="-15" w:right="0" w:firstLine="0"/>
        <w:rPr>
          <w:szCs w:val="20"/>
        </w:rPr>
      </w:pPr>
      <w:r w:rsidRPr="00611F4C">
        <w:rPr>
          <w:szCs w:val="20"/>
        </w:rPr>
        <w:t xml:space="preserve">The </w:t>
      </w:r>
      <w:r w:rsidRPr="00C96BAA">
        <w:rPr>
          <w:szCs w:val="20"/>
        </w:rPr>
        <w:t>sub-section of the Prospectus headed</w:t>
      </w:r>
      <w:r>
        <w:rPr>
          <w:szCs w:val="20"/>
        </w:rPr>
        <w:t xml:space="preserve"> “Recent business developments” in “Description of the Group” on page 169</w:t>
      </w:r>
      <w:r w:rsidRPr="00611F4C">
        <w:rPr>
          <w:szCs w:val="20"/>
        </w:rPr>
        <w:t xml:space="preserve"> </w:t>
      </w:r>
      <w:r>
        <w:rPr>
          <w:szCs w:val="20"/>
        </w:rPr>
        <w:t xml:space="preserve">of the Prospectus shall be supplemented by the following updated information: </w:t>
      </w:r>
    </w:p>
    <w:p w14:paraId="3A456CAE" w14:textId="5D6F2A49" w:rsidR="00611F4C" w:rsidRPr="00611F4C" w:rsidRDefault="00611F4C" w:rsidP="00611F4C">
      <w:pPr>
        <w:ind w:left="-15" w:right="0" w:firstLine="0"/>
        <w:rPr>
          <w:szCs w:val="20"/>
        </w:rPr>
      </w:pPr>
      <w:r w:rsidRPr="00611F4C">
        <w:rPr>
          <w:szCs w:val="20"/>
        </w:rPr>
        <w:t>On 12 August 2021, the Issuer announced that, subject to regulatory and shareholder approvals, completion of the disposals referred to in the Half Year Report 2021 and market conditions, the Issuer intends to return at least £4 billion to shareholders by the end of the first half of 2022, further details of which will be provided in the Issuer’s full year results in March 2022.</w:t>
      </w:r>
    </w:p>
    <w:p w14:paraId="2913F857" w14:textId="77777777" w:rsidR="00A40BBE" w:rsidRDefault="007D4AE1" w:rsidP="00A40BBE">
      <w:pPr>
        <w:pStyle w:val="Heading1"/>
      </w:pPr>
      <w:r>
        <w:t>DIRECTORS</w:t>
      </w:r>
    </w:p>
    <w:p w14:paraId="7E2AE1D1" w14:textId="1809BF9E" w:rsidR="00A40BBE" w:rsidRDefault="007D4AE1" w:rsidP="00A40BBE">
      <w:pPr>
        <w:ind w:left="-15" w:right="0" w:firstLine="0"/>
        <w:rPr>
          <w:szCs w:val="20"/>
        </w:rPr>
      </w:pPr>
      <w:r w:rsidRPr="00C96BAA">
        <w:rPr>
          <w:szCs w:val="20"/>
        </w:rPr>
        <w:t xml:space="preserve">The sub-section of the Prospectus headed “Directors of the Issuer” under “Management of the Issuer” </w:t>
      </w:r>
      <w:r>
        <w:rPr>
          <w:szCs w:val="20"/>
        </w:rPr>
        <w:t xml:space="preserve">in “Description of the Group” on pages 169 and 170 of the Prospectus shall be supplemented by the following updated information: </w:t>
      </w:r>
    </w:p>
    <w:p w14:paraId="4E260251" w14:textId="77777777" w:rsidR="00A40BBE" w:rsidRPr="00C96BAA" w:rsidRDefault="007D4AE1" w:rsidP="00A40BBE">
      <w:pPr>
        <w:ind w:left="-15" w:right="0" w:firstLine="0"/>
        <w:rPr>
          <w:szCs w:val="20"/>
        </w:rPr>
      </w:pPr>
      <w:r w:rsidRPr="00C96BAA">
        <w:rPr>
          <w:szCs w:val="20"/>
        </w:rPr>
        <w:t>Pippa Lambert, Non-Executive Director of Aviva plc, has been appointed as Chair of the Board Remuneration Committee eff</w:t>
      </w:r>
      <w:r>
        <w:rPr>
          <w:szCs w:val="20"/>
        </w:rPr>
        <w:t xml:space="preserve">ective from 14 September 2021. </w:t>
      </w:r>
    </w:p>
    <w:p w14:paraId="2333ACC7" w14:textId="77777777" w:rsidR="00A40BBE" w:rsidRPr="00C96BAA" w:rsidRDefault="007D4AE1" w:rsidP="00A40BBE">
      <w:pPr>
        <w:ind w:left="-15" w:right="0" w:firstLine="0"/>
        <w:rPr>
          <w:szCs w:val="20"/>
        </w:rPr>
      </w:pPr>
      <w:r w:rsidRPr="00C96BAA">
        <w:rPr>
          <w:szCs w:val="20"/>
        </w:rPr>
        <w:t xml:space="preserve">Patricia Cross, Non-Executive Director of Aviva plc, has stepped down as Chair of the Remuneration Committee with effect from </w:t>
      </w:r>
      <w:r>
        <w:rPr>
          <w:szCs w:val="20"/>
        </w:rPr>
        <w:t xml:space="preserve">14 September 2021 </w:t>
      </w:r>
      <w:r w:rsidRPr="00C96BAA">
        <w:rPr>
          <w:szCs w:val="20"/>
        </w:rPr>
        <w:t xml:space="preserve">but will remain a member of the Committee.  </w:t>
      </w:r>
    </w:p>
    <w:p w14:paraId="10780F7C" w14:textId="77777777" w:rsidR="00A40BBE" w:rsidRPr="0051533D" w:rsidRDefault="007D4AE1">
      <w:pPr>
        <w:pStyle w:val="Heading1"/>
        <w:ind w:left="693" w:hanging="708"/>
        <w:rPr>
          <w:szCs w:val="20"/>
        </w:rPr>
      </w:pPr>
      <w:r w:rsidRPr="0051533D">
        <w:rPr>
          <w:szCs w:val="20"/>
        </w:rPr>
        <w:t>GENERAL</w:t>
      </w:r>
    </w:p>
    <w:p w14:paraId="68F6BC92" w14:textId="77777777" w:rsidR="00A40BBE" w:rsidRPr="0051533D" w:rsidRDefault="007D4AE1">
      <w:pPr>
        <w:ind w:left="-15" w:right="0" w:firstLine="0"/>
        <w:rPr>
          <w:szCs w:val="20"/>
        </w:rPr>
      </w:pPr>
      <w:r w:rsidRPr="0051533D">
        <w:rPr>
          <w:szCs w:val="20"/>
        </w:rPr>
        <w:t>Copies of all documents or information incorporated by reference in this Supplement</w:t>
      </w:r>
      <w:r>
        <w:rPr>
          <w:szCs w:val="20"/>
        </w:rPr>
        <w:t>ary Prospectus</w:t>
      </w:r>
      <w:r w:rsidRPr="0051533D">
        <w:rPr>
          <w:szCs w:val="20"/>
        </w:rPr>
        <w:t xml:space="preserve"> and the Prospectus can be obtained from the Issuer as described in the Prospectus or are otherwise available for viewing free of charge on the website of the Regulatory News Service operated by the London Stock Exchange at </w:t>
      </w:r>
      <w:r w:rsidRPr="0051533D">
        <w:rPr>
          <w:szCs w:val="20"/>
          <w:u w:val="single" w:color="000000"/>
        </w:rPr>
        <w:t>www.londonstockexchange.com/exchange/news/market- news/marketnews-homes.html</w:t>
      </w:r>
      <w:r w:rsidRPr="0051533D">
        <w:rPr>
          <w:szCs w:val="20"/>
        </w:rPr>
        <w:t>.</w:t>
      </w:r>
    </w:p>
    <w:p w14:paraId="5CAD138A" w14:textId="77777777" w:rsidR="00A40BBE" w:rsidRPr="0051533D" w:rsidRDefault="007D4AE1">
      <w:pPr>
        <w:ind w:left="-15" w:right="0" w:firstLine="0"/>
        <w:rPr>
          <w:szCs w:val="20"/>
        </w:rPr>
      </w:pPr>
      <w:r w:rsidRPr="0051533D">
        <w:rPr>
          <w:szCs w:val="20"/>
        </w:rPr>
        <w:t>To the extent that there is any inconsistency between (a) any statement in this Supplement</w:t>
      </w:r>
      <w:r>
        <w:rPr>
          <w:szCs w:val="20"/>
        </w:rPr>
        <w:t>ary Prospectus</w:t>
      </w:r>
      <w:r w:rsidRPr="0051533D">
        <w:rPr>
          <w:szCs w:val="20"/>
        </w:rPr>
        <w:t xml:space="preserve"> or any statement incorporated by reference into the Prospectus by this Supplement</w:t>
      </w:r>
      <w:r>
        <w:rPr>
          <w:szCs w:val="20"/>
        </w:rPr>
        <w:t>ary Prospectus</w:t>
      </w:r>
      <w:r w:rsidRPr="0051533D">
        <w:rPr>
          <w:szCs w:val="20"/>
        </w:rPr>
        <w:t>, and (b) any other statement in or incorporated by reference in the Prospectus prior to the date of this Supplement</w:t>
      </w:r>
      <w:r>
        <w:rPr>
          <w:szCs w:val="20"/>
        </w:rPr>
        <w:t>ary Prospectus</w:t>
      </w:r>
      <w:r w:rsidRPr="0051533D">
        <w:rPr>
          <w:szCs w:val="20"/>
        </w:rPr>
        <w:t>, the statements in (a) above will prevail.</w:t>
      </w:r>
    </w:p>
    <w:p w14:paraId="76D3818D" w14:textId="77777777" w:rsidR="00A40BBE" w:rsidRPr="0051533D" w:rsidRDefault="007D4AE1">
      <w:pPr>
        <w:ind w:left="-15" w:right="0" w:firstLine="0"/>
        <w:rPr>
          <w:szCs w:val="20"/>
        </w:rPr>
      </w:pPr>
      <w:r w:rsidRPr="0051533D">
        <w:rPr>
          <w:szCs w:val="20"/>
        </w:rPr>
        <w:t>If documents which are incorporated by reference themselves incorporate any information or other documents therein, either expressly or implicitly, such information or other documents will not form part of this Supplement</w:t>
      </w:r>
      <w:r>
        <w:rPr>
          <w:szCs w:val="20"/>
        </w:rPr>
        <w:t>ary Prospectus</w:t>
      </w:r>
      <w:r w:rsidRPr="0051533D">
        <w:rPr>
          <w:szCs w:val="20"/>
        </w:rPr>
        <w:t xml:space="preserve"> for the purposes of the </w:t>
      </w:r>
      <w:r>
        <w:rPr>
          <w:szCs w:val="20"/>
        </w:rPr>
        <w:t xml:space="preserve">UK </w:t>
      </w:r>
      <w:r w:rsidRPr="0051533D">
        <w:rPr>
          <w:szCs w:val="20"/>
        </w:rPr>
        <w:t xml:space="preserve">Prospectus </w:t>
      </w:r>
      <w:r>
        <w:rPr>
          <w:szCs w:val="20"/>
        </w:rPr>
        <w:t>Regulation</w:t>
      </w:r>
      <w:r w:rsidRPr="0051533D">
        <w:rPr>
          <w:szCs w:val="20"/>
        </w:rPr>
        <w:t xml:space="preserve"> except where such information or other documents are specifically incorporated by reference to this Supplement</w:t>
      </w:r>
      <w:r>
        <w:rPr>
          <w:szCs w:val="20"/>
        </w:rPr>
        <w:t>ary Prospectus</w:t>
      </w:r>
      <w:r w:rsidRPr="0051533D">
        <w:rPr>
          <w:szCs w:val="20"/>
        </w:rPr>
        <w:t xml:space="preserve"> or where this Supplement</w:t>
      </w:r>
      <w:r>
        <w:rPr>
          <w:szCs w:val="20"/>
        </w:rPr>
        <w:t>ary Prospectus</w:t>
      </w:r>
      <w:r w:rsidRPr="0051533D">
        <w:rPr>
          <w:szCs w:val="20"/>
        </w:rPr>
        <w:t xml:space="preserve"> is specifically defined as including such information.</w:t>
      </w:r>
    </w:p>
    <w:p w14:paraId="2B1DF80F" w14:textId="77777777" w:rsidR="00A40BBE" w:rsidRPr="0051533D" w:rsidRDefault="007D4AE1">
      <w:pPr>
        <w:ind w:left="-15" w:right="0" w:firstLine="0"/>
        <w:rPr>
          <w:szCs w:val="20"/>
        </w:rPr>
      </w:pPr>
      <w:r w:rsidRPr="0051533D">
        <w:rPr>
          <w:szCs w:val="20"/>
        </w:rPr>
        <w:t>Save as disclosed in this Supplement</w:t>
      </w:r>
      <w:r>
        <w:rPr>
          <w:szCs w:val="20"/>
        </w:rPr>
        <w:t>ary Prospectus</w:t>
      </w:r>
      <w:r w:rsidRPr="0051533D">
        <w:rPr>
          <w:szCs w:val="20"/>
        </w:rPr>
        <w:t xml:space="preserve"> and any supplement previously issued by the Issuer, there has been no other significant new factor, material mistake or inaccuracy relating to information included in the Prospectus since publication of the Prospectus.</w:t>
      </w:r>
    </w:p>
    <w:p w14:paraId="37C2186A" w14:textId="77777777" w:rsidR="00A40BBE" w:rsidRDefault="007D4AE1">
      <w:pPr>
        <w:ind w:left="-15" w:right="0" w:firstLine="0"/>
        <w:rPr>
          <w:szCs w:val="20"/>
        </w:rPr>
      </w:pPr>
      <w:r w:rsidRPr="0051533D">
        <w:rPr>
          <w:szCs w:val="20"/>
        </w:rPr>
        <w:t>No person is authorised to give any information or to make any representation not contained in the Prospectus or this Supplement</w:t>
      </w:r>
      <w:r>
        <w:rPr>
          <w:szCs w:val="20"/>
        </w:rPr>
        <w:t>ary Prospectus</w:t>
      </w:r>
      <w:r w:rsidRPr="0051533D">
        <w:rPr>
          <w:szCs w:val="20"/>
        </w:rPr>
        <w:t>, and any information or representation not so contained must not be relied upon as having been authorised by or on behalf of the Issuer or the Dealers.  The delivery of the Prospectus and/or this Supplement</w:t>
      </w:r>
      <w:r>
        <w:rPr>
          <w:szCs w:val="20"/>
        </w:rPr>
        <w:t>ary Prospectus</w:t>
      </w:r>
      <w:r w:rsidRPr="0051533D">
        <w:rPr>
          <w:szCs w:val="20"/>
        </w:rPr>
        <w:t xml:space="preserve"> at any time does not imply that there has been no change in the affairs of the Issuer since the date hereof, or that the information contained in either of them is correct as at any time subsequent to each of their respective dates.</w:t>
      </w:r>
    </w:p>
    <w:p w14:paraId="2C2F607E" w14:textId="77777777" w:rsidR="00A40BBE" w:rsidRPr="0051533D" w:rsidRDefault="00A40BBE">
      <w:pPr>
        <w:ind w:left="-15" w:right="0" w:firstLine="0"/>
        <w:rPr>
          <w:szCs w:val="20"/>
        </w:rPr>
      </w:pPr>
    </w:p>
    <w:p w14:paraId="30958E47" w14:textId="03CA6D2B" w:rsidR="00A40BBE" w:rsidRPr="0051533D" w:rsidRDefault="007D4AE1">
      <w:pPr>
        <w:pStyle w:val="Heading1"/>
        <w:numPr>
          <w:ilvl w:val="0"/>
          <w:numId w:val="0"/>
        </w:numPr>
        <w:ind w:left="-5"/>
        <w:rPr>
          <w:szCs w:val="20"/>
        </w:rPr>
      </w:pPr>
      <w:r w:rsidRPr="0051533D">
        <w:rPr>
          <w:szCs w:val="20"/>
        </w:rPr>
        <w:t>THIS SUPPLEMENT</w:t>
      </w:r>
      <w:r>
        <w:rPr>
          <w:szCs w:val="20"/>
        </w:rPr>
        <w:t>ARY PROSPECTUS</w:t>
      </w:r>
      <w:r w:rsidRPr="0051533D">
        <w:rPr>
          <w:szCs w:val="20"/>
        </w:rPr>
        <w:t xml:space="preserve"> IS </w:t>
      </w:r>
      <w:r w:rsidR="00F3363C">
        <w:rPr>
          <w:szCs w:val="20"/>
        </w:rPr>
        <w:t>DATED 23</w:t>
      </w:r>
      <w:r>
        <w:rPr>
          <w:szCs w:val="20"/>
        </w:rPr>
        <w:t xml:space="preserve"> SEPTEMBER 2021</w:t>
      </w:r>
    </w:p>
    <w:sectPr w:rsidR="00A40BBE" w:rsidRPr="0051533D">
      <w:headerReference w:type="even" r:id="rId8"/>
      <w:headerReference w:type="default" r:id="rId9"/>
      <w:footerReference w:type="even" r:id="rId10"/>
      <w:footerReference w:type="default" r:id="rId11"/>
      <w:headerReference w:type="first" r:id="rId12"/>
      <w:footerReference w:type="first" r:id="rId13"/>
      <w:pgSz w:w="11905" w:h="16838"/>
      <w:pgMar w:top="1510" w:right="1554" w:bottom="1556"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1861B" w14:textId="77777777" w:rsidR="00A40BBE" w:rsidRDefault="00A40BBE">
      <w:pPr>
        <w:spacing w:after="0" w:line="240" w:lineRule="auto"/>
      </w:pPr>
      <w:r>
        <w:separator/>
      </w:r>
    </w:p>
  </w:endnote>
  <w:endnote w:type="continuationSeparator" w:id="0">
    <w:p w14:paraId="43260FAA" w14:textId="77777777" w:rsidR="00A40BBE" w:rsidRDefault="00A40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937FD" w14:textId="77777777" w:rsidR="00A40BBE" w:rsidRDefault="00A40B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06707" w14:textId="77777777" w:rsidR="00A40BBE" w:rsidRDefault="00A40BBE">
    <w:pPr>
      <w:pStyle w:val="Footer"/>
    </w:pPr>
    <w:r>
      <w:rPr>
        <w:noProof/>
      </w:rPr>
      <mc:AlternateContent>
        <mc:Choice Requires="wps">
          <w:drawing>
            <wp:anchor distT="0" distB="0" distL="114300" distR="114300" simplePos="0" relativeHeight="251658240" behindDoc="0" locked="0" layoutInCell="0" allowOverlap="1" wp14:anchorId="760FD655" wp14:editId="589E81AC">
              <wp:simplePos x="0" y="0"/>
              <wp:positionH relativeFrom="page">
                <wp:posOffset>0</wp:posOffset>
              </wp:positionH>
              <wp:positionV relativeFrom="page">
                <wp:posOffset>10227945</wp:posOffset>
              </wp:positionV>
              <wp:extent cx="7559675" cy="273050"/>
              <wp:effectExtent l="0" t="0" r="0" b="12700"/>
              <wp:wrapNone/>
              <wp:docPr id="1" name="MSIPCMf6234284ae488074f90bf0d5" descr="{&quot;HashCode&quot;:-10959385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3F06BE" w14:textId="77777777" w:rsidR="00A40BBE" w:rsidRPr="00431762" w:rsidRDefault="00A40BBE" w:rsidP="00A40BBE">
                          <w:pPr>
                            <w:spacing w:after="0"/>
                            <w:ind w:left="0" w:right="0"/>
                            <w:jc w:val="left"/>
                            <w:rPr>
                              <w:rFonts w:ascii="Calibri" w:hAnsi="Calibri" w:cs="Calibri"/>
                              <w:color w:val="FF0000"/>
                              <w:sz w:val="16"/>
                            </w:rPr>
                          </w:pPr>
                          <w:r w:rsidRPr="00431762">
                            <w:rPr>
                              <w:rFonts w:ascii="Calibri" w:hAnsi="Calibri" w:cs="Calibri"/>
                              <w:color w:val="FF0000"/>
                              <w:sz w:val="16"/>
                            </w:rPr>
                            <w:t>Aviva: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0FD655" id="_x0000_t202" coordsize="21600,21600" o:spt="202" path="m,l,21600r21600,l21600,xe">
              <v:stroke joinstyle="miter"/>
              <v:path gradientshapeok="t" o:connecttype="rect"/>
            </v:shapetype>
            <v:shape id="MSIPCMf6234284ae488074f90bf0d5" o:spid="_x0000_s1026" type="#_x0000_t202" alt="{&quot;HashCode&quot;:-1095938599,&quot;Height&quot;:841.0,&quot;Width&quot;:595.0,&quot;Placement&quot;:&quot;Footer&quot;,&quot;Index&quot;:&quot;Primary&quot;,&quot;Section&quot;:1,&quot;Top&quot;:0.0,&quot;Left&quot;:0.0}" style="position:absolute;left:0;text-align:left;margin-left:0;margin-top:805.35pt;width:595.2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DQcqgIAADoFAAAOAAAAZHJzL2Uyb0RvYy54bWysVM1v0zAUvyPxP1g+cGJL2iZtE5ZOo1Nh&#10;UrdV6tDOrmM3kRLbs90lBfG/85w4HRucEBf7ffl9/N57vrhs6wo9M21KKTI8Og8xYoLKvBT7DH97&#10;WJ3NMTKWiJxUUrAMH5nBl4v37y4albKxLGSVM43AiTBpozJcWKvSIDC0YDUx51IxAUoudU0ssHof&#10;5Jo04L2ugnEYToNG6lxpSZkxIL3ulXjR+eecUXvPuWEWVRmG3Gx36u7cuTNYXJB0r4kqSurTIP+Q&#10;RU1KAUFPrq6JJeigyz9c1SXV0khuz6msA8l5SVlXA1QzCt9Usy2IYl0tAI5RJ5jM/3NL7543GpU5&#10;9A4jQWpo0e32ZrO85dPxJBrPI8Ki+TycRTwJdzzMY4xyZigg+OPD00HaT1+JKZYyZz2Xno3CJE4m&#10;8zhJPnoDVu4L69XzCEbEKx7L3BZeHifxSb6pCGU1E8Ob3mQlpWW6p72DG5Gz1jvor40ua6KPr6y2&#10;MAMwnN5u5N8+SOUl4SnwmvEhJgh/utlolEkBoq0CkGz7WbYOJy83IHQtb7mu3Q3NRKCHKTueJou1&#10;FlEQzuI4mc4APAq68WwSxt3oBS+vlTb2C5M1ckSGNWTdDRR5XhsLEcF0MHHBhFyVVdVNbyVQk+Hp&#10;BFy+0sCLSsBDV0Ofq6Nsu2t9ATuZH6EuLfutMIquSgi+JsZuiIY1gFJgte09HLySEER6CqNC6u9/&#10;kzt7mE7QYtTAWmXYPB2IZhhVNwLmdhxHYegWseOA0B2RjKIImN0gFYd6KWFlYSghrY50trYaSK5l&#10;/Qirf+XCgYoICkEzvBvIpQUOFPB1UHZ11dGwcorYtdgq6lw7tBymD+0j0coDb6Fld3LYPJK+wb+3&#10;9aj2AHoGFrTrkv9M3A/wO99ZvXx5i18AAAD//wMAUEsDBBQABgAIAAAAIQAQHQBE3wAAAAsBAAAP&#10;AAAAZHJzL2Rvd25yZXYueG1sTI/BTsMwEETvSPyDtUjcqB1QWxriVFWlItFDBaEf4MZLkmKvI9tp&#10;w9/jnOC4M6PZN8V6tIZd0IfOkYRsJoAh1U531Eg4fu4enoGFqEgr4wgl/GCAdXl7U6hcuyt94KWK&#10;DUslFHIloY2xzzkPdYtWhZnrkZL35bxVMZ2+4dqrayq3hj8KseBWdZQ+tKrHbYv1dzVYCRscsvBm&#10;dufX7li978+H6PV2JeX93bh5ARZxjH9hmPATOpSJ6eQG0oEZCWlITOoiE0tgk5+txBzYadLmT0vg&#10;ZcH/byh/AQAA//8DAFBLAQItABQABgAIAAAAIQC2gziS/gAAAOEBAAATAAAAAAAAAAAAAAAAAAAA&#10;AABbQ29udGVudF9UeXBlc10ueG1sUEsBAi0AFAAGAAgAAAAhADj9If/WAAAAlAEAAAsAAAAAAAAA&#10;AAAAAAAALwEAAF9yZWxzLy5yZWxzUEsBAi0AFAAGAAgAAAAhAIHgNByqAgAAOgUAAA4AAAAAAAAA&#10;AAAAAAAALgIAAGRycy9lMm9Eb2MueG1sUEsBAi0AFAAGAAgAAAAhABAdAETfAAAACwEAAA8AAAAA&#10;AAAAAAAAAAAABAUAAGRycy9kb3ducmV2LnhtbFBLBQYAAAAABAAEAPMAAAAQBgAAAAA=&#10;" o:allowincell="f" filled="f" stroked="f" strokeweight=".5pt">
              <v:textbox inset="20pt,0,,0">
                <w:txbxContent>
                  <w:p w14:paraId="603F06BE" w14:textId="77777777" w:rsidR="00431762" w:rsidRPr="00431762" w:rsidRDefault="007D4AE1" w:rsidP="00431762">
                    <w:pPr>
                      <w:spacing w:after="0"/>
                      <w:ind w:left="0" w:right="0"/>
                      <w:jc w:val="left"/>
                      <w:rPr>
                        <w:rFonts w:ascii="Calibri" w:hAnsi="Calibri" w:cs="Calibri"/>
                        <w:color w:val="FF0000"/>
                        <w:sz w:val="16"/>
                      </w:rPr>
                    </w:pPr>
                    <w:r w:rsidRPr="00431762">
                      <w:rPr>
                        <w:rFonts w:ascii="Calibri" w:hAnsi="Calibri" w:cs="Calibri"/>
                        <w:color w:val="FF0000"/>
                        <w:sz w:val="16"/>
                      </w:rPr>
                      <w:t>Aviva: Confidential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54CA3" w14:textId="77777777" w:rsidR="00A40BBE" w:rsidRDefault="00A40BBE">
    <w:pPr>
      <w:pStyle w:val="Footer"/>
    </w:pPr>
    <w:r>
      <w:rPr>
        <w:noProof/>
      </w:rPr>
      <mc:AlternateContent>
        <mc:Choice Requires="wps">
          <w:drawing>
            <wp:anchor distT="0" distB="0" distL="114300" distR="114300" simplePos="0" relativeHeight="251660288" behindDoc="0" locked="0" layoutInCell="0" allowOverlap="1" wp14:anchorId="53E19AFE" wp14:editId="1103F79D">
              <wp:simplePos x="0" y="0"/>
              <wp:positionH relativeFrom="page">
                <wp:posOffset>0</wp:posOffset>
              </wp:positionH>
              <wp:positionV relativeFrom="page">
                <wp:posOffset>10227945</wp:posOffset>
              </wp:positionV>
              <wp:extent cx="7559675" cy="273050"/>
              <wp:effectExtent l="0" t="0" r="0" b="12700"/>
              <wp:wrapNone/>
              <wp:docPr id="2" name="MSIPCMae494f59a9979585f4be85ab" descr="{&quot;HashCode&quot;:-10959385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96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52A95" w14:textId="77777777" w:rsidR="00A40BBE" w:rsidRPr="00431762" w:rsidRDefault="00A40BBE" w:rsidP="00A40BBE">
                          <w:pPr>
                            <w:spacing w:after="0"/>
                            <w:ind w:left="0" w:right="0"/>
                            <w:jc w:val="left"/>
                            <w:rPr>
                              <w:rFonts w:ascii="Calibri" w:hAnsi="Calibri" w:cs="Calibri"/>
                              <w:color w:val="FF0000"/>
                              <w:sz w:val="16"/>
                            </w:rPr>
                          </w:pPr>
                          <w:r w:rsidRPr="00431762">
                            <w:rPr>
                              <w:rFonts w:ascii="Calibri" w:hAnsi="Calibri" w:cs="Calibri"/>
                              <w:color w:val="FF0000"/>
                              <w:sz w:val="16"/>
                            </w:rPr>
                            <w:t>Aviva: Confidential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E19AFE" id="_x0000_t202" coordsize="21600,21600" o:spt="202" path="m,l,21600r21600,l21600,xe">
              <v:stroke joinstyle="miter"/>
              <v:path gradientshapeok="t" o:connecttype="rect"/>
            </v:shapetype>
            <v:shape id="MSIPCMae494f59a9979585f4be85ab" o:spid="_x0000_s1027" type="#_x0000_t202" alt="{&quot;HashCode&quot;:-1095938599,&quot;Height&quot;:841.0,&quot;Width&quot;:595.0,&quot;Placement&quot;:&quot;Footer&quot;,&quot;Index&quot;:&quot;FirstPage&quot;,&quot;Section&quot;:1,&quot;Top&quot;:0.0,&quot;Left&quot;:0.0}" style="position:absolute;left:0;text-align:left;margin-left:0;margin-top:805.35pt;width:595.2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FqPrAIAAEMFAAAOAAAAZHJzL2Uyb0RvYy54bWysVM1v0zAUvyPxP1g+cIIl7Zq1CUun0akw&#10;qdsqdWhn13GaSImfZ7trBuJ/59lxOhicEJfkffl9/t47v+jahjwJbWqQOR2dxJQIyaGo5S6nX++X&#10;H2aUGMtkwRqQIqfPwtCL+ds35weViTFU0BRCE3QiTXZQOa2sVVkUGV6JlpkTUEKisgTdMous3kWF&#10;Zgf03jbROI7PogPoQmngwhiUXvVKOvf+y1Jwe1eWRljS5BRzs/6r/XfrvtH8nGU7zVRV85AG+4cs&#10;WlZLDHp0dcUsI3td/+GqrbkGA6U94dBGUJY1F74GrGYUv6pmUzElfC3YHKOObTL/zy2/fVprUhc5&#10;HVMiWYsjutlcrxc3TEzSSZmkLE2naTJLyslWzBK2paQQhmMHv7973IP9+IWZagGF6LnswyhOk/R0&#10;lqTp+2Ag6l1lg3o2QYgExUNd2CrIkzQ5ytcN46IVcnjTmywBrNA9HRxcy0J0wUEwqrWxa7YL2QS7&#10;DaIA4RksR0F6DypI4mPolSiHqCj84dBxUCbDJm0Utsl2n6BDlA9yg0I39K7UrfvjOAnqEWfPR2yJ&#10;zhKOwmmSpGfThBKOuvH0NE48+KKX1wpz/yygJY7IqcasPaTY08pYzARNBxMXTMKybhqP30aSQ07P&#10;TtHlbxp80Uh86Groc3WU7badn/ixji0Uz1iehn49jOJL18gVc83UuA9YEe64vcNP2QDGgkBRUoH+&#10;9je5s0eYopaSA+5XTs3jnmlBSXMtEcDjZBLHbiM9h4T2RDqaTJDZDlK5bxeAuzvCM6K4J52tbQay&#10;1NA+4A24dOFQxSTHoDlFoPbkwiKHCrwhXFxeehp3TzG7khvFnWvXNNfa++6BaRX6b3FytzCsIMte&#10;jaG3Dc3tGxgY3FQ/rHBV3Cn4lfdWL7dv/hMAAP//AwBQSwMEFAAGAAgAAAAhABAdAETfAAAACwEA&#10;AA8AAABkcnMvZG93bnJldi54bWxMj8FOwzAQRO9I/IO1SNyoHVBbGuJUVaUi0UMFoR/gxkuSYq8j&#10;22nD3+Oc4Lgzo9k3xXq0hl3Qh86RhGwmgCHVTnfUSDh+7h6egYWoSCvjCCX8YIB1eXtTqFy7K33g&#10;pYoNSyUUciWhjbHPOQ91i1aFmeuRkvflvFUxnb7h2qtrKreGPwqx4FZ1lD60qsdti/V3NVgJGxyy&#10;8GZ259fuWL3vz4fo9XYl5f3duHkBFnGMf2GY8BM6lInp5AbSgRkJaUhM6iITS2CTn63EHNhp0uZP&#10;S+Blwf9vKH8BAAD//wMAUEsBAi0AFAAGAAgAAAAhALaDOJL+AAAA4QEAABMAAAAAAAAAAAAAAAAA&#10;AAAAAFtDb250ZW50X1R5cGVzXS54bWxQSwECLQAUAAYACAAAACEAOP0h/9YAAACUAQAACwAAAAAA&#10;AAAAAAAAAAAvAQAAX3JlbHMvLnJlbHNQSwECLQAUAAYACAAAACEAOQBaj6wCAABDBQAADgAAAAAA&#10;AAAAAAAAAAAuAgAAZHJzL2Uyb0RvYy54bWxQSwECLQAUAAYACAAAACEAEB0ARN8AAAALAQAADwAA&#10;AAAAAAAAAAAAAAAGBQAAZHJzL2Rvd25yZXYueG1sUEsFBgAAAAAEAAQA8wAAABIGAAAAAA==&#10;" o:allowincell="f" filled="f" stroked="f" strokeweight=".5pt">
              <v:textbox inset="20pt,0,,0">
                <w:txbxContent>
                  <w:p w14:paraId="31852A95" w14:textId="77777777" w:rsidR="00431762" w:rsidRPr="00431762" w:rsidRDefault="007D4AE1" w:rsidP="00431762">
                    <w:pPr>
                      <w:spacing w:after="0"/>
                      <w:ind w:left="0" w:right="0"/>
                      <w:jc w:val="left"/>
                      <w:rPr>
                        <w:rFonts w:ascii="Calibri" w:hAnsi="Calibri" w:cs="Calibri"/>
                        <w:color w:val="FF0000"/>
                        <w:sz w:val="16"/>
                      </w:rPr>
                    </w:pPr>
                    <w:r w:rsidRPr="00431762">
                      <w:rPr>
                        <w:rFonts w:ascii="Calibri" w:hAnsi="Calibri" w:cs="Calibri"/>
                        <w:color w:val="FF0000"/>
                        <w:sz w:val="16"/>
                      </w:rPr>
                      <w:t>Aviva: Confidential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9AD29" w14:textId="77777777" w:rsidR="00A40BBE" w:rsidRDefault="00A40BBE">
      <w:pPr>
        <w:spacing w:after="0" w:line="240" w:lineRule="auto"/>
      </w:pPr>
      <w:r>
        <w:separator/>
      </w:r>
    </w:p>
  </w:footnote>
  <w:footnote w:type="continuationSeparator" w:id="0">
    <w:p w14:paraId="4438A0BA" w14:textId="77777777" w:rsidR="00A40BBE" w:rsidRDefault="00A40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B1F2E" w14:textId="77777777" w:rsidR="00A40BBE" w:rsidRDefault="00A40BBE">
    <w:pPr>
      <w:spacing w:after="0" w:line="259" w:lineRule="auto"/>
      <w:ind w:left="0" w:right="2"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44DE1" w14:textId="77777777" w:rsidR="00A40BBE" w:rsidRDefault="00A40BBE">
    <w:pPr>
      <w:spacing w:after="0" w:line="259" w:lineRule="auto"/>
      <w:ind w:left="0" w:right="2" w:firstLine="0"/>
      <w:jc w:val="center"/>
    </w:pPr>
    <w:r>
      <w:fldChar w:fldCharType="begin"/>
    </w:r>
    <w:r>
      <w:instrText xml:space="preserve"> PAGE   \* MERGEFORMAT </w:instrText>
    </w:r>
    <w:r>
      <w:fldChar w:fldCharType="separate"/>
    </w:r>
    <w:r w:rsidR="00635B22">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49205" w14:textId="2CD1AA38" w:rsidR="00A40BBE" w:rsidRDefault="00A40BBE" w:rsidP="00A40BBE">
    <w:pPr>
      <w:spacing w:after="160" w:line="259" w:lineRule="auto"/>
      <w:ind w:left="0" w:right="0"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91355"/>
    <w:multiLevelType w:val="hybridMultilevel"/>
    <w:tmpl w:val="B77E1678"/>
    <w:lvl w:ilvl="0" w:tplc="36F4A870">
      <w:start w:val="1"/>
      <w:numFmt w:val="upp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D2CC8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4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6E2152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84738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9E3A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52C2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C8E3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A826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E0A2EFE"/>
    <w:multiLevelType w:val="hybridMultilevel"/>
    <w:tmpl w:val="D746592C"/>
    <w:lvl w:ilvl="0" w:tplc="B9848D00">
      <w:start w:val="1"/>
      <w:numFmt w:val="upperLetter"/>
      <w:lvlText w:val="%1."/>
      <w:lvlJc w:val="left"/>
      <w:pPr>
        <w:ind w:left="345" w:hanging="360"/>
      </w:pPr>
      <w:rPr>
        <w:rFonts w:eastAsia="Times New Roman" w:cs="Times New Roman" w:hint="default"/>
        <w:color w:val="auto"/>
      </w:rPr>
    </w:lvl>
    <w:lvl w:ilvl="1" w:tplc="A9C47994" w:tentative="1">
      <w:start w:val="1"/>
      <w:numFmt w:val="lowerLetter"/>
      <w:lvlText w:val="%2."/>
      <w:lvlJc w:val="left"/>
      <w:pPr>
        <w:ind w:left="1065" w:hanging="360"/>
      </w:pPr>
    </w:lvl>
    <w:lvl w:ilvl="2" w:tplc="88E2BCDE" w:tentative="1">
      <w:start w:val="1"/>
      <w:numFmt w:val="lowerRoman"/>
      <w:lvlText w:val="%3."/>
      <w:lvlJc w:val="right"/>
      <w:pPr>
        <w:ind w:left="1785" w:hanging="180"/>
      </w:pPr>
    </w:lvl>
    <w:lvl w:ilvl="3" w:tplc="2BB4F70A" w:tentative="1">
      <w:start w:val="1"/>
      <w:numFmt w:val="decimal"/>
      <w:lvlText w:val="%4."/>
      <w:lvlJc w:val="left"/>
      <w:pPr>
        <w:ind w:left="2505" w:hanging="360"/>
      </w:pPr>
    </w:lvl>
    <w:lvl w:ilvl="4" w:tplc="D1B6DD7A" w:tentative="1">
      <w:start w:val="1"/>
      <w:numFmt w:val="lowerLetter"/>
      <w:lvlText w:val="%5."/>
      <w:lvlJc w:val="left"/>
      <w:pPr>
        <w:ind w:left="3225" w:hanging="360"/>
      </w:pPr>
    </w:lvl>
    <w:lvl w:ilvl="5" w:tplc="54D49D74" w:tentative="1">
      <w:start w:val="1"/>
      <w:numFmt w:val="lowerRoman"/>
      <w:lvlText w:val="%6."/>
      <w:lvlJc w:val="right"/>
      <w:pPr>
        <w:ind w:left="3945" w:hanging="180"/>
      </w:pPr>
    </w:lvl>
    <w:lvl w:ilvl="6" w:tplc="17709FEA" w:tentative="1">
      <w:start w:val="1"/>
      <w:numFmt w:val="decimal"/>
      <w:lvlText w:val="%7."/>
      <w:lvlJc w:val="left"/>
      <w:pPr>
        <w:ind w:left="4665" w:hanging="360"/>
      </w:pPr>
    </w:lvl>
    <w:lvl w:ilvl="7" w:tplc="5CBE658A" w:tentative="1">
      <w:start w:val="1"/>
      <w:numFmt w:val="lowerLetter"/>
      <w:lvlText w:val="%8."/>
      <w:lvlJc w:val="left"/>
      <w:pPr>
        <w:ind w:left="5385" w:hanging="360"/>
      </w:pPr>
    </w:lvl>
    <w:lvl w:ilvl="8" w:tplc="B8A06526" w:tentative="1">
      <w:start w:val="1"/>
      <w:numFmt w:val="lowerRoman"/>
      <w:lvlText w:val="%9."/>
      <w:lvlJc w:val="right"/>
      <w:pPr>
        <w:ind w:left="6105" w:hanging="180"/>
      </w:pPr>
    </w:lvl>
  </w:abstractNum>
  <w:abstractNum w:abstractNumId="2" w15:restartNumberingAfterBreak="0">
    <w:nsid w:val="2B8E1018"/>
    <w:multiLevelType w:val="hybridMultilevel"/>
    <w:tmpl w:val="DD5231D6"/>
    <w:lvl w:ilvl="0" w:tplc="BC3E3D3C">
      <w:start w:val="1"/>
      <w:numFmt w:val="upperLetter"/>
      <w:lvlText w:val="%1."/>
      <w:lvlJc w:val="left"/>
      <w:pPr>
        <w:ind w:left="720" w:hanging="360"/>
      </w:pPr>
    </w:lvl>
    <w:lvl w:ilvl="1" w:tplc="A5F2DC04" w:tentative="1">
      <w:start w:val="1"/>
      <w:numFmt w:val="lowerLetter"/>
      <w:lvlText w:val="%2."/>
      <w:lvlJc w:val="left"/>
      <w:pPr>
        <w:ind w:left="1440" w:hanging="360"/>
      </w:pPr>
    </w:lvl>
    <w:lvl w:ilvl="2" w:tplc="395606E4" w:tentative="1">
      <w:start w:val="1"/>
      <w:numFmt w:val="lowerRoman"/>
      <w:lvlText w:val="%3."/>
      <w:lvlJc w:val="right"/>
      <w:pPr>
        <w:ind w:left="2160" w:hanging="180"/>
      </w:pPr>
    </w:lvl>
    <w:lvl w:ilvl="3" w:tplc="9D98553E" w:tentative="1">
      <w:start w:val="1"/>
      <w:numFmt w:val="decimal"/>
      <w:lvlText w:val="%4."/>
      <w:lvlJc w:val="left"/>
      <w:pPr>
        <w:ind w:left="2880" w:hanging="360"/>
      </w:pPr>
    </w:lvl>
    <w:lvl w:ilvl="4" w:tplc="C2FCF39A" w:tentative="1">
      <w:start w:val="1"/>
      <w:numFmt w:val="lowerLetter"/>
      <w:lvlText w:val="%5."/>
      <w:lvlJc w:val="left"/>
      <w:pPr>
        <w:ind w:left="3600" w:hanging="360"/>
      </w:pPr>
    </w:lvl>
    <w:lvl w:ilvl="5" w:tplc="F162C6A8" w:tentative="1">
      <w:start w:val="1"/>
      <w:numFmt w:val="lowerRoman"/>
      <w:lvlText w:val="%6."/>
      <w:lvlJc w:val="right"/>
      <w:pPr>
        <w:ind w:left="4320" w:hanging="180"/>
      </w:pPr>
    </w:lvl>
    <w:lvl w:ilvl="6" w:tplc="A5A4EDCC" w:tentative="1">
      <w:start w:val="1"/>
      <w:numFmt w:val="decimal"/>
      <w:lvlText w:val="%7."/>
      <w:lvlJc w:val="left"/>
      <w:pPr>
        <w:ind w:left="5040" w:hanging="360"/>
      </w:pPr>
    </w:lvl>
    <w:lvl w:ilvl="7" w:tplc="4A6EC87E" w:tentative="1">
      <w:start w:val="1"/>
      <w:numFmt w:val="lowerLetter"/>
      <w:lvlText w:val="%8."/>
      <w:lvlJc w:val="left"/>
      <w:pPr>
        <w:ind w:left="5760" w:hanging="360"/>
      </w:pPr>
    </w:lvl>
    <w:lvl w:ilvl="8" w:tplc="315058E0" w:tentative="1">
      <w:start w:val="1"/>
      <w:numFmt w:val="lowerRoman"/>
      <w:lvlText w:val="%9."/>
      <w:lvlJc w:val="right"/>
      <w:pPr>
        <w:ind w:left="6480" w:hanging="180"/>
      </w:pPr>
    </w:lvl>
  </w:abstractNum>
  <w:abstractNum w:abstractNumId="3" w15:restartNumberingAfterBreak="0">
    <w:nsid w:val="33F32B13"/>
    <w:multiLevelType w:val="hybridMultilevel"/>
    <w:tmpl w:val="54B2AEC4"/>
    <w:lvl w:ilvl="0" w:tplc="5E484468">
      <w:start w:val="1"/>
      <w:numFmt w:val="upperLetter"/>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4BA92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FE5F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35A8E4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FEF09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E496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D23D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0EBE4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E024FB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E39638C"/>
    <w:multiLevelType w:val="hybridMultilevel"/>
    <w:tmpl w:val="7DEC6892"/>
    <w:lvl w:ilvl="0" w:tplc="0A92FA56">
      <w:start w:val="1"/>
      <w:numFmt w:val="upperLetter"/>
      <w:lvlText w:val="%1."/>
      <w:lvlJc w:val="left"/>
      <w:pPr>
        <w:ind w:left="720" w:hanging="360"/>
      </w:pPr>
      <w:rPr>
        <w:rFonts w:hint="default"/>
      </w:rPr>
    </w:lvl>
    <w:lvl w:ilvl="1" w:tplc="38ACA676" w:tentative="1">
      <w:start w:val="1"/>
      <w:numFmt w:val="lowerLetter"/>
      <w:lvlText w:val="%2."/>
      <w:lvlJc w:val="left"/>
      <w:pPr>
        <w:ind w:left="1440" w:hanging="360"/>
      </w:pPr>
    </w:lvl>
    <w:lvl w:ilvl="2" w:tplc="AF365E4C" w:tentative="1">
      <w:start w:val="1"/>
      <w:numFmt w:val="lowerRoman"/>
      <w:lvlText w:val="%3."/>
      <w:lvlJc w:val="right"/>
      <w:pPr>
        <w:ind w:left="2160" w:hanging="180"/>
      </w:pPr>
    </w:lvl>
    <w:lvl w:ilvl="3" w:tplc="18A61850" w:tentative="1">
      <w:start w:val="1"/>
      <w:numFmt w:val="decimal"/>
      <w:lvlText w:val="%4."/>
      <w:lvlJc w:val="left"/>
      <w:pPr>
        <w:ind w:left="2880" w:hanging="360"/>
      </w:pPr>
    </w:lvl>
    <w:lvl w:ilvl="4" w:tplc="2BF4B1A8" w:tentative="1">
      <w:start w:val="1"/>
      <w:numFmt w:val="lowerLetter"/>
      <w:lvlText w:val="%5."/>
      <w:lvlJc w:val="left"/>
      <w:pPr>
        <w:ind w:left="3600" w:hanging="360"/>
      </w:pPr>
    </w:lvl>
    <w:lvl w:ilvl="5" w:tplc="2AF2FD7E" w:tentative="1">
      <w:start w:val="1"/>
      <w:numFmt w:val="lowerRoman"/>
      <w:lvlText w:val="%6."/>
      <w:lvlJc w:val="right"/>
      <w:pPr>
        <w:ind w:left="4320" w:hanging="180"/>
      </w:pPr>
    </w:lvl>
    <w:lvl w:ilvl="6" w:tplc="7D0A4552" w:tentative="1">
      <w:start w:val="1"/>
      <w:numFmt w:val="decimal"/>
      <w:lvlText w:val="%7."/>
      <w:lvlJc w:val="left"/>
      <w:pPr>
        <w:ind w:left="5040" w:hanging="360"/>
      </w:pPr>
    </w:lvl>
    <w:lvl w:ilvl="7" w:tplc="ADC0367E" w:tentative="1">
      <w:start w:val="1"/>
      <w:numFmt w:val="lowerLetter"/>
      <w:lvlText w:val="%8."/>
      <w:lvlJc w:val="left"/>
      <w:pPr>
        <w:ind w:left="5760" w:hanging="360"/>
      </w:pPr>
    </w:lvl>
    <w:lvl w:ilvl="8" w:tplc="C6567AA6" w:tentative="1">
      <w:start w:val="1"/>
      <w:numFmt w:val="lowerRoman"/>
      <w:lvlText w:val="%9."/>
      <w:lvlJc w:val="right"/>
      <w:pPr>
        <w:ind w:left="6480" w:hanging="180"/>
      </w:pPr>
    </w:lvl>
  </w:abstractNum>
  <w:abstractNum w:abstractNumId="5" w15:restartNumberingAfterBreak="0">
    <w:nsid w:val="52A3112F"/>
    <w:multiLevelType w:val="hybridMultilevel"/>
    <w:tmpl w:val="DC508BB8"/>
    <w:lvl w:ilvl="0" w:tplc="63ECD628">
      <w:start w:val="2"/>
      <w:numFmt w:val="decimal"/>
      <w:pStyle w:val="Heading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E0639E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432138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E980DB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EAA28E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FA0E54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A2A071E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328F84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E0CFA5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6E13BA"/>
    <w:multiLevelType w:val="hybridMultilevel"/>
    <w:tmpl w:val="E8B86406"/>
    <w:lvl w:ilvl="0" w:tplc="8BEA1416">
      <w:start w:val="1"/>
      <w:numFmt w:val="decimal"/>
      <w:lvlText w:val="%1."/>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EAC0AA">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B203520">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0AE882">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CEF884">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AC0EE2">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D86388">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B02828">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674073A">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9CE349C"/>
    <w:multiLevelType w:val="hybridMultilevel"/>
    <w:tmpl w:val="7DEC6892"/>
    <w:lvl w:ilvl="0" w:tplc="214A5F8A">
      <w:start w:val="1"/>
      <w:numFmt w:val="upperLetter"/>
      <w:lvlText w:val="%1."/>
      <w:lvlJc w:val="left"/>
      <w:pPr>
        <w:ind w:left="720" w:hanging="360"/>
      </w:pPr>
      <w:rPr>
        <w:rFonts w:hint="default"/>
      </w:rPr>
    </w:lvl>
    <w:lvl w:ilvl="1" w:tplc="8F401BC4" w:tentative="1">
      <w:start w:val="1"/>
      <w:numFmt w:val="lowerLetter"/>
      <w:lvlText w:val="%2."/>
      <w:lvlJc w:val="left"/>
      <w:pPr>
        <w:ind w:left="1440" w:hanging="360"/>
      </w:pPr>
    </w:lvl>
    <w:lvl w:ilvl="2" w:tplc="6E8A14A6" w:tentative="1">
      <w:start w:val="1"/>
      <w:numFmt w:val="lowerRoman"/>
      <w:lvlText w:val="%3."/>
      <w:lvlJc w:val="right"/>
      <w:pPr>
        <w:ind w:left="2160" w:hanging="180"/>
      </w:pPr>
    </w:lvl>
    <w:lvl w:ilvl="3" w:tplc="639A986C" w:tentative="1">
      <w:start w:val="1"/>
      <w:numFmt w:val="decimal"/>
      <w:lvlText w:val="%4."/>
      <w:lvlJc w:val="left"/>
      <w:pPr>
        <w:ind w:left="2880" w:hanging="360"/>
      </w:pPr>
    </w:lvl>
    <w:lvl w:ilvl="4" w:tplc="D8D87F12" w:tentative="1">
      <w:start w:val="1"/>
      <w:numFmt w:val="lowerLetter"/>
      <w:lvlText w:val="%5."/>
      <w:lvlJc w:val="left"/>
      <w:pPr>
        <w:ind w:left="3600" w:hanging="360"/>
      </w:pPr>
    </w:lvl>
    <w:lvl w:ilvl="5" w:tplc="32707992" w:tentative="1">
      <w:start w:val="1"/>
      <w:numFmt w:val="lowerRoman"/>
      <w:lvlText w:val="%6."/>
      <w:lvlJc w:val="right"/>
      <w:pPr>
        <w:ind w:left="4320" w:hanging="180"/>
      </w:pPr>
    </w:lvl>
    <w:lvl w:ilvl="6" w:tplc="32B81F52" w:tentative="1">
      <w:start w:val="1"/>
      <w:numFmt w:val="decimal"/>
      <w:lvlText w:val="%7."/>
      <w:lvlJc w:val="left"/>
      <w:pPr>
        <w:ind w:left="5040" w:hanging="360"/>
      </w:pPr>
    </w:lvl>
    <w:lvl w:ilvl="7" w:tplc="E18C6C24" w:tentative="1">
      <w:start w:val="1"/>
      <w:numFmt w:val="lowerLetter"/>
      <w:lvlText w:val="%8."/>
      <w:lvlJc w:val="left"/>
      <w:pPr>
        <w:ind w:left="5760" w:hanging="360"/>
      </w:pPr>
    </w:lvl>
    <w:lvl w:ilvl="8" w:tplc="FB22E742"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4"/>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7D4AE1"/>
    <w:rsid w:val="00094566"/>
    <w:rsid w:val="0020633A"/>
    <w:rsid w:val="00331DFF"/>
    <w:rsid w:val="00436EB8"/>
    <w:rsid w:val="00611F4C"/>
    <w:rsid w:val="00635B22"/>
    <w:rsid w:val="007D4AE1"/>
    <w:rsid w:val="00844E0F"/>
    <w:rsid w:val="00875EF2"/>
    <w:rsid w:val="00A40BBE"/>
    <w:rsid w:val="00B27BD4"/>
    <w:rsid w:val="00BF002F"/>
    <w:rsid w:val="00BF2D9A"/>
    <w:rsid w:val="00DC5E6B"/>
    <w:rsid w:val="00EF641C"/>
    <w:rsid w:val="00F312CA"/>
    <w:rsid w:val="00F33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7365C4"/>
  <w15:docId w15:val="{43D965DE-DAF6-4F12-B947-571AD935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0" w:line="303" w:lineRule="auto"/>
      <w:ind w:left="718" w:right="4" w:hanging="718"/>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numPr>
        <w:numId w:val="4"/>
      </w:numPr>
      <w:spacing w:after="312" w:line="265"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styleId="ListParagraph">
    <w:name w:val="List Paragraph"/>
    <w:basedOn w:val="Normal"/>
    <w:uiPriority w:val="34"/>
    <w:qFormat/>
    <w:rsid w:val="0051533D"/>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Footer">
    <w:name w:val="footer"/>
    <w:basedOn w:val="Normal"/>
    <w:link w:val="FooterChar"/>
    <w:uiPriority w:val="99"/>
    <w:unhideWhenUsed/>
    <w:rsid w:val="005B36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6C4"/>
    <w:rPr>
      <w:rFonts w:ascii="Arial" w:eastAsia="Arial" w:hAnsi="Arial" w:cs="Arial"/>
      <w:color w:val="000000"/>
      <w:sz w:val="20"/>
    </w:rPr>
  </w:style>
  <w:style w:type="paragraph" w:styleId="BalloonText">
    <w:name w:val="Balloon Text"/>
    <w:basedOn w:val="Normal"/>
    <w:link w:val="BalloonTextChar"/>
    <w:uiPriority w:val="99"/>
    <w:semiHidden/>
    <w:unhideWhenUsed/>
    <w:rsid w:val="001E6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C58"/>
    <w:rPr>
      <w:rFonts w:ascii="Segoe UI" w:eastAsia="Arial" w:hAnsi="Segoe UI" w:cs="Segoe UI"/>
      <w:color w:val="000000"/>
      <w:sz w:val="18"/>
      <w:szCs w:val="18"/>
    </w:rPr>
  </w:style>
  <w:style w:type="paragraph" w:styleId="Revision">
    <w:name w:val="Revision"/>
    <w:hidden/>
    <w:uiPriority w:val="99"/>
    <w:semiHidden/>
    <w:rsid w:val="00E97E59"/>
    <w:pPr>
      <w:spacing w:after="0" w:line="240" w:lineRule="auto"/>
    </w:pPr>
    <w:rPr>
      <w:rFonts w:ascii="Arial" w:eastAsia="Arial" w:hAnsi="Arial" w:cs="Arial"/>
      <w:color w:val="000000"/>
      <w:sz w:val="20"/>
    </w:rPr>
  </w:style>
  <w:style w:type="character" w:styleId="CommentReference">
    <w:name w:val="annotation reference"/>
    <w:basedOn w:val="DefaultParagraphFont"/>
    <w:uiPriority w:val="99"/>
    <w:semiHidden/>
    <w:unhideWhenUsed/>
    <w:rsid w:val="007729A6"/>
    <w:rPr>
      <w:sz w:val="16"/>
      <w:szCs w:val="16"/>
    </w:rPr>
  </w:style>
  <w:style w:type="paragraph" w:styleId="CommentText">
    <w:name w:val="annotation text"/>
    <w:basedOn w:val="Normal"/>
    <w:link w:val="CommentTextChar"/>
    <w:uiPriority w:val="99"/>
    <w:semiHidden/>
    <w:unhideWhenUsed/>
    <w:rsid w:val="007729A6"/>
    <w:pPr>
      <w:spacing w:line="240" w:lineRule="auto"/>
    </w:pPr>
    <w:rPr>
      <w:szCs w:val="20"/>
    </w:rPr>
  </w:style>
  <w:style w:type="character" w:customStyle="1" w:styleId="CommentTextChar">
    <w:name w:val="Comment Text Char"/>
    <w:basedOn w:val="DefaultParagraphFont"/>
    <w:link w:val="CommentText"/>
    <w:uiPriority w:val="99"/>
    <w:semiHidden/>
    <w:rsid w:val="007729A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729A6"/>
    <w:rPr>
      <w:b/>
      <w:bCs/>
    </w:rPr>
  </w:style>
  <w:style w:type="character" w:customStyle="1" w:styleId="CommentSubjectChar">
    <w:name w:val="Comment Subject Char"/>
    <w:basedOn w:val="CommentTextChar"/>
    <w:link w:val="CommentSubject"/>
    <w:uiPriority w:val="99"/>
    <w:semiHidden/>
    <w:rsid w:val="007729A6"/>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223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 C C ! 5 7 3 4 5 5 5 2 2 . 1 1 < / d o c u m e n t i d >  
     < s e n d e r i d > A J J A < / s e n d e r i d >  
     < s e n d e r e m a i l > A N N A B E L . A L L E N @ S L A U G H T E R A N D M A Y . C O M < / s e n d e r e m a i l >  
     < l a s t m o d i f i e d > 2 0 2 1 - 0 9 - 2 2 T 1 2 : 4 0 : 0 0 . 0 0 0 0 0 0 0 + 0 1 : 0 0 < / l a s t m o d i f i e d >  
     < d a t a b a s e > C C < / d a t a b a s e >  
 < / p r o p e r t i e s > 
</file>

<file path=docProps/app.xml><?xml version="1.0" encoding="utf-8"?>
<Properties xmlns="http://schemas.openxmlformats.org/officeDocument/2006/extended-properties" xmlns:vt="http://schemas.openxmlformats.org/officeDocument/2006/docPropsVTypes">
  <Template>Normal</Template>
  <TotalTime>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- 532929425_10.DOC</vt:lpstr>
    </vt:vector>
  </TitlesOfParts>
  <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- 532929425_10.DOC</dc:title>
  <dc:creator>Louise Donegan</dc:creator>
  <cp:lastModifiedBy>Allen, Annabel</cp:lastModifiedBy>
  <cp:revision>2</cp:revision>
  <dcterms:created xsi:type="dcterms:W3CDTF">2021-09-22T11:40:00Z</dcterms:created>
  <dcterms:modified xsi:type="dcterms:W3CDTF">2021-09-22T11:40:00Z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529c82-80a7-4af8-a184-cafecd64a441_Enabled">
    <vt:lpwstr>true</vt:lpwstr>
  </property>
  <property fmtid="{D5CDD505-2E9C-101B-9397-08002B2CF9AE}" pid="3" name="MSIP_Label_6a529c82-80a7-4af8-a184-cafecd64a441_SetDate">
    <vt:lpwstr>2021-09-15T08:34:45Z</vt:lpwstr>
  </property>
  <property fmtid="{D5CDD505-2E9C-101B-9397-08002B2CF9AE}" pid="4" name="MSIP_Label_6a529c82-80a7-4af8-a184-cafecd64a441_Method">
    <vt:lpwstr>Privileged</vt:lpwstr>
  </property>
  <property fmtid="{D5CDD505-2E9C-101B-9397-08002B2CF9AE}" pid="5" name="MSIP_Label_6a529c82-80a7-4af8-a184-cafecd64a441_Name">
    <vt:lpwstr>Confidential</vt:lpwstr>
  </property>
  <property fmtid="{D5CDD505-2E9C-101B-9397-08002B2CF9AE}" pid="6" name="MSIP_Label_6a529c82-80a7-4af8-a184-cafecd64a441_SiteId">
    <vt:lpwstr>42d0d02d-6286-465e-999b-31006231efb1</vt:lpwstr>
  </property>
  <property fmtid="{D5CDD505-2E9C-101B-9397-08002B2CF9AE}" pid="7" name="MSIP_Label_6a529c82-80a7-4af8-a184-cafecd64a441_ActionId">
    <vt:lpwstr>00459752-166e-4eed-b9ba-60974b7f0302</vt:lpwstr>
  </property>
  <property fmtid="{D5CDD505-2E9C-101B-9397-08002B2CF9AE}" pid="8" name="MSIP_Label_6a529c82-80a7-4af8-a184-cafecd64a441_ContentBits">
    <vt:lpwstr>2</vt:lpwstr>
  </property>
  <property fmtid="{D5CDD505-2E9C-101B-9397-08002B2CF9AE}" pid="9" name="x-AvivaClassification">
    <vt:lpwstr>Aviva-Confidentia1</vt:lpwstr>
  </property>
  <property fmtid="{D5CDD505-2E9C-101B-9397-08002B2CF9AE}" pid="10" name="AvivaClassification">
    <vt:lpwstr>Aviva-Confidentia1</vt:lpwstr>
  </property>
</Properties>
</file>