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80" w:rsidRPr="00B53A8A" w:rsidRDefault="00720E80" w:rsidP="00720E80">
      <w:pPr>
        <w:pStyle w:val="List2"/>
        <w:ind w:left="0" w:firstLine="0"/>
        <w:rPr>
          <w:b/>
          <w:szCs w:val="20"/>
        </w:rPr>
      </w:pPr>
      <w:r w:rsidRPr="00B53A8A">
        <w:rPr>
          <w:b/>
          <w:szCs w:val="20"/>
        </w:rPr>
        <w:t>Company Number SC117119</w:t>
      </w:r>
    </w:p>
    <w:p w:rsidR="00720E80" w:rsidRPr="00B53A8A" w:rsidRDefault="00720E80" w:rsidP="00720E80">
      <w:pPr>
        <w:pStyle w:val="List2"/>
        <w:ind w:left="0" w:firstLine="0"/>
        <w:rPr>
          <w:b/>
          <w:szCs w:val="20"/>
        </w:rPr>
      </w:pPr>
    </w:p>
    <w:p w:rsidR="00720E80" w:rsidRPr="00B53A8A" w:rsidRDefault="00720E80" w:rsidP="00720E80">
      <w:pPr>
        <w:pStyle w:val="List2"/>
        <w:ind w:left="0" w:firstLine="0"/>
        <w:jc w:val="center"/>
        <w:rPr>
          <w:b/>
          <w:szCs w:val="20"/>
        </w:rPr>
      </w:pPr>
      <w:r w:rsidRPr="00B53A8A">
        <w:rPr>
          <w:b/>
          <w:szCs w:val="20"/>
        </w:rPr>
        <w:t>COMPANY LIMITED BY SHARES</w:t>
      </w:r>
    </w:p>
    <w:p w:rsidR="00720E80" w:rsidRPr="00B53A8A" w:rsidRDefault="00720E80" w:rsidP="00720E80">
      <w:pPr>
        <w:pStyle w:val="List2"/>
        <w:ind w:left="0" w:firstLine="0"/>
        <w:jc w:val="center"/>
        <w:rPr>
          <w:b/>
          <w:szCs w:val="20"/>
        </w:rPr>
      </w:pPr>
    </w:p>
    <w:p w:rsidR="00720E80" w:rsidRPr="00B53A8A" w:rsidRDefault="00720E80" w:rsidP="00720E80">
      <w:pPr>
        <w:pStyle w:val="List2"/>
        <w:ind w:left="0" w:firstLine="0"/>
        <w:jc w:val="center"/>
        <w:rPr>
          <w:b/>
          <w:szCs w:val="20"/>
        </w:rPr>
      </w:pPr>
      <w:r>
        <w:rPr>
          <w:b/>
          <w:szCs w:val="20"/>
        </w:rPr>
        <w:t>SSE</w:t>
      </w:r>
      <w:r w:rsidRPr="00B53A8A">
        <w:rPr>
          <w:b/>
          <w:szCs w:val="20"/>
        </w:rPr>
        <w:t xml:space="preserve"> plc</w:t>
      </w:r>
    </w:p>
    <w:p w:rsidR="00720E80" w:rsidRDefault="00720E80" w:rsidP="00720E80">
      <w:pPr>
        <w:pStyle w:val="List2"/>
        <w:ind w:left="0" w:firstLine="0"/>
        <w:jc w:val="center"/>
        <w:rPr>
          <w:b/>
          <w:szCs w:val="20"/>
        </w:rPr>
      </w:pPr>
      <w:r>
        <w:rPr>
          <w:b/>
          <w:szCs w:val="20"/>
        </w:rPr>
        <w:t>(the “Company”)</w:t>
      </w:r>
    </w:p>
    <w:p w:rsidR="00720E80" w:rsidRPr="00B53A8A" w:rsidRDefault="00720E80" w:rsidP="00720E80">
      <w:pPr>
        <w:pStyle w:val="List2"/>
        <w:ind w:left="0" w:firstLine="0"/>
        <w:jc w:val="center"/>
        <w:rPr>
          <w:b/>
          <w:szCs w:val="20"/>
        </w:rPr>
      </w:pPr>
    </w:p>
    <w:p w:rsidR="00720E80" w:rsidRPr="00B53A8A" w:rsidRDefault="00720E80" w:rsidP="00720E80">
      <w:pPr>
        <w:pStyle w:val="List2"/>
        <w:ind w:left="0" w:firstLine="0"/>
        <w:jc w:val="center"/>
        <w:rPr>
          <w:b/>
          <w:szCs w:val="20"/>
        </w:rPr>
      </w:pPr>
      <w:r w:rsidRPr="00B53A8A">
        <w:rPr>
          <w:b/>
          <w:szCs w:val="20"/>
        </w:rPr>
        <w:t>RESOLUTIONS</w:t>
      </w:r>
    </w:p>
    <w:p w:rsidR="00720E80" w:rsidRPr="00B53A8A" w:rsidRDefault="00720E80" w:rsidP="00720E80">
      <w:pPr>
        <w:pStyle w:val="List2"/>
        <w:ind w:left="0" w:firstLine="0"/>
        <w:jc w:val="center"/>
        <w:rPr>
          <w:b/>
          <w:szCs w:val="20"/>
        </w:rPr>
      </w:pPr>
    </w:p>
    <w:p w:rsidR="00720E80" w:rsidRPr="00B53A8A" w:rsidRDefault="00720E80" w:rsidP="00720E80">
      <w:pPr>
        <w:pStyle w:val="List2"/>
        <w:ind w:left="0" w:firstLine="0"/>
        <w:jc w:val="center"/>
        <w:rPr>
          <w:b/>
          <w:szCs w:val="20"/>
        </w:rPr>
      </w:pPr>
      <w:r w:rsidRPr="00B53A8A">
        <w:rPr>
          <w:b/>
          <w:szCs w:val="20"/>
        </w:rPr>
        <w:t xml:space="preserve">(Passed </w:t>
      </w:r>
      <w:r>
        <w:rPr>
          <w:b/>
          <w:szCs w:val="20"/>
        </w:rPr>
        <w:t>12 August</w:t>
      </w:r>
      <w:r w:rsidRPr="00B53A8A">
        <w:rPr>
          <w:b/>
          <w:szCs w:val="20"/>
        </w:rPr>
        <w:t xml:space="preserve"> 20</w:t>
      </w:r>
      <w:r>
        <w:rPr>
          <w:b/>
          <w:szCs w:val="20"/>
        </w:rPr>
        <w:t>20</w:t>
      </w:r>
      <w:r w:rsidRPr="00B53A8A">
        <w:rPr>
          <w:b/>
          <w:szCs w:val="20"/>
        </w:rPr>
        <w:t>)</w:t>
      </w:r>
    </w:p>
    <w:p w:rsidR="00720E80" w:rsidRPr="00B53A8A" w:rsidRDefault="00720E80" w:rsidP="00720E80">
      <w:pPr>
        <w:pStyle w:val="List2"/>
        <w:ind w:left="0" w:firstLine="0"/>
        <w:jc w:val="center"/>
        <w:rPr>
          <w:b/>
          <w:szCs w:val="20"/>
        </w:rPr>
      </w:pPr>
    </w:p>
    <w:p w:rsidR="00720E80" w:rsidRPr="00B53A8A" w:rsidRDefault="00720E80" w:rsidP="00720E80">
      <w:pPr>
        <w:pStyle w:val="List2"/>
        <w:ind w:left="0" w:firstLine="0"/>
        <w:rPr>
          <w:b/>
          <w:szCs w:val="20"/>
        </w:rPr>
      </w:pPr>
    </w:p>
    <w:p w:rsidR="00720E80" w:rsidRPr="00720E80" w:rsidRDefault="00720E80" w:rsidP="00720E80">
      <w:pPr>
        <w:pStyle w:val="List2"/>
        <w:ind w:left="0" w:firstLine="0"/>
        <w:rPr>
          <w:rFonts w:cs="Arial"/>
          <w:szCs w:val="20"/>
        </w:rPr>
      </w:pPr>
      <w:r w:rsidRPr="00720E80">
        <w:rPr>
          <w:rFonts w:cs="Arial"/>
          <w:szCs w:val="20"/>
        </w:rPr>
        <w:t xml:space="preserve">At the Annual General Meeting of SSE plc duly convened and held at </w:t>
      </w:r>
      <w:proofErr w:type="spellStart"/>
      <w:r w:rsidRPr="00720E80">
        <w:rPr>
          <w:rFonts w:cs="Arial"/>
          <w:szCs w:val="20"/>
        </w:rPr>
        <w:t>Inveralmond</w:t>
      </w:r>
      <w:proofErr w:type="spellEnd"/>
      <w:r w:rsidRPr="00720E80">
        <w:rPr>
          <w:rFonts w:cs="Arial"/>
          <w:szCs w:val="20"/>
        </w:rPr>
        <w:t xml:space="preserve"> House, 200 </w:t>
      </w:r>
      <w:proofErr w:type="spellStart"/>
      <w:r w:rsidRPr="00720E80">
        <w:rPr>
          <w:rFonts w:cs="Arial"/>
          <w:szCs w:val="20"/>
        </w:rPr>
        <w:t>Dunkeld</w:t>
      </w:r>
      <w:proofErr w:type="spellEnd"/>
      <w:r w:rsidRPr="00720E80">
        <w:rPr>
          <w:rFonts w:cs="Arial"/>
          <w:szCs w:val="20"/>
        </w:rPr>
        <w:t xml:space="preserve"> Road, Perth PH1 3AQ on Wednesday 12</w:t>
      </w:r>
      <w:r w:rsidRPr="00720E80">
        <w:rPr>
          <w:rFonts w:cs="Arial"/>
          <w:szCs w:val="20"/>
          <w:vertAlign w:val="superscript"/>
        </w:rPr>
        <w:t>th</w:t>
      </w:r>
      <w:r w:rsidRPr="00720E80">
        <w:rPr>
          <w:rFonts w:cs="Arial"/>
          <w:szCs w:val="20"/>
        </w:rPr>
        <w:t xml:space="preserve"> August 2020, 17 Ordinary Resolutions and 3 Special Resolutions were passed including those set out in full text below which require to be submitted to Companies House and the Financial Conduct Authority.</w:t>
      </w:r>
    </w:p>
    <w:p w:rsidR="00720E80" w:rsidRPr="00720E80" w:rsidRDefault="00720E80">
      <w:pPr>
        <w:rPr>
          <w:rFonts w:ascii="Arial" w:hAnsi="Arial" w:cs="Arial"/>
          <w:sz w:val="20"/>
          <w:szCs w:val="20"/>
        </w:rPr>
      </w:pP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0E80">
        <w:rPr>
          <w:rFonts w:ascii="Arial" w:hAnsi="Arial" w:cs="Arial"/>
          <w:b/>
          <w:sz w:val="20"/>
          <w:szCs w:val="20"/>
        </w:rPr>
        <w:t>Authority to disapply pre-emption rights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Resolution 18: that, subject to the passing of Resolution 17, the Directors be authorised to allot equity securities (as defined in the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Companies Act 2006) for cash under the authority given by that resolution and/or to sell Ordinary Shares held by the Company as Treasury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Shares for cash as if section 561 of the Companies Act 2006 did not apply to any such allotment or sale, such authority to be limited: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(a) to the allotment of equity securities and sale of Treasury Shares for cash in connection with an offer of, or invitation to apply for, equity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securities to or in favour of: (</w:t>
      </w:r>
      <w:proofErr w:type="spellStart"/>
      <w:r w:rsidRPr="00720E80">
        <w:rPr>
          <w:rFonts w:ascii="Arial" w:hAnsi="Arial" w:cs="Arial"/>
          <w:sz w:val="20"/>
          <w:szCs w:val="20"/>
        </w:rPr>
        <w:t>i</w:t>
      </w:r>
      <w:proofErr w:type="spellEnd"/>
      <w:r w:rsidRPr="00720E80">
        <w:rPr>
          <w:rFonts w:ascii="Arial" w:hAnsi="Arial" w:cs="Arial"/>
          <w:sz w:val="20"/>
          <w:szCs w:val="20"/>
        </w:rPr>
        <w:t>) Ordinary shareholders in proportion (as nearly as may be practicable) to their existing holdings; and (ii)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holders of other equity securities, as required by the rights of those securities or as the Directors otherwise consider necessary, and so that</w:t>
      </w:r>
      <w:r w:rsidRPr="00720E80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the Directors may impose any limits or restrictions and make any arrangements which they consider necessary or appropriate to deal with</w:t>
      </w:r>
      <w:r w:rsidRPr="00720E80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Treasury Shares, fractional entitlements, record dates, legal, regulatory or practical problems in, or under the laws of, any territory or any</w:t>
      </w:r>
      <w:r w:rsidRPr="00720E80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other matter; and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0E80" w:rsidRPr="00720E80" w:rsidRDefault="00720E80" w:rsidP="002829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(b) to the allotment of equity securities or sale of Treasury Shares (otherwise than under paragraph (a) above) up to a nominal amount of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£25,986,075.</w:t>
      </w:r>
    </w:p>
    <w:p w:rsidR="00720E80" w:rsidRPr="00720E80" w:rsidRDefault="00720E80" w:rsidP="00720E80">
      <w:pPr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Such authority to expire at the end of the next AGM of the Company or, if earlier, at the close of business on 30 September 2021, but, in</w:t>
      </w:r>
      <w:r w:rsidRPr="00720E80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each case, prior to its expiry the Company may make offers, and enter into agreements, which would, or might, require equity securities to</w:t>
      </w:r>
      <w:r w:rsidRPr="00720E80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be allotted (and Treasury Shares to be sold) after the authority expires and the Board may allot equity securities (and sell Treasury Shares)</w:t>
      </w:r>
      <w:r w:rsidRPr="00720E80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under any such offer or agreement as if the authority had not expired.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0E80">
        <w:rPr>
          <w:rFonts w:ascii="Arial" w:hAnsi="Arial" w:cs="Arial"/>
          <w:b/>
          <w:sz w:val="20"/>
          <w:szCs w:val="20"/>
        </w:rPr>
        <w:t>Authority to purchase own shares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Resolution 19: that the Company be generally and unconditionally authorised for the purposes of section 701 of the Companies Act 2006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to make market purchases (within the meaning of section 693(4) of the Companies Act 2006) of Ordinary Shares of 50 pence each in the</w:t>
      </w:r>
      <w:r w:rsidR="0028297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720E80">
        <w:rPr>
          <w:rFonts w:ascii="Arial" w:hAnsi="Arial" w:cs="Arial"/>
          <w:sz w:val="20"/>
          <w:szCs w:val="20"/>
        </w:rPr>
        <w:t>Company provided that: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(a) the maximum number of Ordinary Shares authorised to be purchased is 103,944,305;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(b) the minimum price which may be paid for such shares is 50 pence per share which amount shall be exclusive of expenses;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(c) the maximum price, exclusive of expenses, which may be paid for each such Ordinary Share is the higher of: (</w:t>
      </w:r>
      <w:proofErr w:type="spellStart"/>
      <w:r w:rsidRPr="00720E80">
        <w:rPr>
          <w:rFonts w:ascii="Arial" w:hAnsi="Arial" w:cs="Arial"/>
          <w:sz w:val="20"/>
          <w:szCs w:val="20"/>
        </w:rPr>
        <w:t>i</w:t>
      </w:r>
      <w:proofErr w:type="spellEnd"/>
      <w:r w:rsidRPr="00720E80">
        <w:rPr>
          <w:rFonts w:ascii="Arial" w:hAnsi="Arial" w:cs="Arial"/>
          <w:sz w:val="20"/>
          <w:szCs w:val="20"/>
        </w:rPr>
        <w:t>) an amount equal to 105%</w:t>
      </w:r>
      <w:r w:rsidR="00885B2C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of the average of the middle market quotations for an Ordinary Share in the Company as derived from the London Stock Exchange Daily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Official List for the five business days immediately preceding the day on which the share is contracted to be purchased; and (ii) an amount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equal to the higher of the price of the last independent trade of an Ordinary Share and the highest current independent bid for an Ordinary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Share as derived from the London Stock Exchange Trading System in each case at the time the purchase is agreed; and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(d) this authority shall expire at the earlier of the conclusion of the 2021 Annual General Meeting and close of business on 30 September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 xml:space="preserve">2021 (except in relation to a purchase of such shares, the </w:t>
      </w:r>
      <w:r w:rsidRPr="00720E80">
        <w:rPr>
          <w:rFonts w:ascii="Arial" w:hAnsi="Arial" w:cs="Arial"/>
          <w:sz w:val="20"/>
          <w:szCs w:val="20"/>
        </w:rPr>
        <w:lastRenderedPageBreak/>
        <w:t>contract for which was concluded before such time and which will or may be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executed wholly or partly after such time and the Company may purchase Ordinary Shares pursuant to any such contract as if the power</w:t>
      </w:r>
      <w:r w:rsidR="00282971">
        <w:rPr>
          <w:rFonts w:ascii="Arial" w:hAnsi="Arial" w:cs="Arial"/>
          <w:sz w:val="20"/>
          <w:szCs w:val="20"/>
        </w:rPr>
        <w:t xml:space="preserve"> </w:t>
      </w:r>
      <w:r w:rsidRPr="00720E80">
        <w:rPr>
          <w:rFonts w:ascii="Arial" w:hAnsi="Arial" w:cs="Arial"/>
          <w:sz w:val="20"/>
          <w:szCs w:val="20"/>
        </w:rPr>
        <w:t>had not ended).</w:t>
      </w: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0E80" w:rsidRPr="00720E80" w:rsidRDefault="00720E80" w:rsidP="0072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0E80">
        <w:rPr>
          <w:rFonts w:ascii="Arial" w:hAnsi="Arial" w:cs="Arial"/>
          <w:b/>
          <w:sz w:val="20"/>
          <w:szCs w:val="20"/>
        </w:rPr>
        <w:t>Notice of general meetings</w:t>
      </w:r>
    </w:p>
    <w:p w:rsidR="00720E80" w:rsidRPr="00720E80" w:rsidRDefault="00720E80" w:rsidP="00720E80">
      <w:pPr>
        <w:rPr>
          <w:rFonts w:ascii="Arial" w:hAnsi="Arial" w:cs="Arial"/>
          <w:sz w:val="20"/>
          <w:szCs w:val="20"/>
        </w:rPr>
      </w:pPr>
      <w:r w:rsidRPr="00720E80">
        <w:rPr>
          <w:rFonts w:ascii="Arial" w:hAnsi="Arial" w:cs="Arial"/>
          <w:sz w:val="20"/>
          <w:szCs w:val="20"/>
        </w:rPr>
        <w:t>Resolution 20: that a general meeting of the Company other than an Annual General Meeting may be called on not less than 14 clear</w:t>
      </w:r>
      <w:r w:rsidR="002829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0E80">
        <w:rPr>
          <w:rFonts w:ascii="Arial" w:hAnsi="Arial" w:cs="Arial"/>
          <w:sz w:val="20"/>
          <w:szCs w:val="20"/>
        </w:rPr>
        <w:t>days notice</w:t>
      </w:r>
      <w:proofErr w:type="spellEnd"/>
      <w:r w:rsidRPr="00720E80">
        <w:rPr>
          <w:rFonts w:ascii="Arial" w:hAnsi="Arial" w:cs="Arial"/>
          <w:sz w:val="20"/>
          <w:szCs w:val="20"/>
        </w:rPr>
        <w:t>.</w:t>
      </w:r>
    </w:p>
    <w:sectPr w:rsidR="00720E80" w:rsidRPr="00720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E80" w:rsidRDefault="00720E80" w:rsidP="00720E80">
      <w:pPr>
        <w:spacing w:after="0" w:line="240" w:lineRule="auto"/>
      </w:pPr>
      <w:r>
        <w:separator/>
      </w:r>
    </w:p>
  </w:endnote>
  <w:endnote w:type="continuationSeparator" w:id="0">
    <w:p w:rsidR="00720E80" w:rsidRDefault="00720E80" w:rsidP="0072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E80" w:rsidRDefault="00720E80" w:rsidP="00720E80">
      <w:pPr>
        <w:spacing w:after="0" w:line="240" w:lineRule="auto"/>
      </w:pPr>
      <w:r>
        <w:separator/>
      </w:r>
    </w:p>
  </w:footnote>
  <w:footnote w:type="continuationSeparator" w:id="0">
    <w:p w:rsidR="00720E80" w:rsidRDefault="00720E80" w:rsidP="00720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80"/>
    <w:rsid w:val="00282971"/>
    <w:rsid w:val="002B366A"/>
    <w:rsid w:val="00720E80"/>
    <w:rsid w:val="008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1CFA2"/>
  <w15:chartTrackingRefBased/>
  <w15:docId w15:val="{076E415C-70D9-4057-AA7B-62C767E5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720E80"/>
    <w:pPr>
      <w:spacing w:after="0" w:line="240" w:lineRule="auto"/>
      <w:ind w:left="566" w:hanging="283"/>
    </w:pPr>
    <w:rPr>
      <w:rFonts w:ascii="Arial" w:eastAsia="Times New Roman" w:hAnsi="Arial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Anne</dc:creator>
  <cp:keywords/>
  <dc:description/>
  <cp:lastModifiedBy>Taylor, Anne</cp:lastModifiedBy>
  <cp:revision>2</cp:revision>
  <dcterms:created xsi:type="dcterms:W3CDTF">2020-08-13T09:19:00Z</dcterms:created>
  <dcterms:modified xsi:type="dcterms:W3CDTF">2020-08-13T09:39:00Z</dcterms:modified>
</cp:coreProperties>
</file>