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30" w:rsidRPr="00593192" w:rsidRDefault="003148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ABERDEEN </w:t>
      </w:r>
      <w:r w:rsidR="004D5BA1" w:rsidRPr="00593192">
        <w:rPr>
          <w:rFonts w:ascii="Arial" w:hAnsi="Arial" w:cs="Arial"/>
          <w:b/>
        </w:rPr>
        <w:t>STANDARD EQUITY INCOME TRUST PL</w:t>
      </w:r>
      <w:r w:rsidR="007A1230" w:rsidRPr="00593192">
        <w:rPr>
          <w:rFonts w:ascii="Arial" w:hAnsi="Arial" w:cs="Arial"/>
          <w:b/>
        </w:rPr>
        <w:t>C</w:t>
      </w:r>
    </w:p>
    <w:p w:rsidR="007A1230" w:rsidRPr="00593192" w:rsidRDefault="007A1230">
      <w:pPr>
        <w:tabs>
          <w:tab w:val="left" w:pos="4050"/>
        </w:tabs>
        <w:jc w:val="center"/>
        <w:rPr>
          <w:rFonts w:ascii="Arial" w:hAnsi="Arial" w:cs="Arial"/>
          <w:b/>
        </w:rPr>
      </w:pPr>
      <w:r w:rsidRPr="00593192">
        <w:rPr>
          <w:rFonts w:ascii="Arial" w:hAnsi="Arial" w:cs="Arial"/>
          <w:b/>
        </w:rPr>
        <w:t xml:space="preserve">(Registered </w:t>
      </w:r>
      <w:r w:rsidR="00470E39" w:rsidRPr="00593192">
        <w:rPr>
          <w:rFonts w:ascii="Arial" w:hAnsi="Arial" w:cs="Arial"/>
          <w:b/>
        </w:rPr>
        <w:t xml:space="preserve">in England and Wales </w:t>
      </w:r>
      <w:r w:rsidRPr="00593192">
        <w:rPr>
          <w:rFonts w:ascii="Arial" w:hAnsi="Arial" w:cs="Arial"/>
          <w:b/>
        </w:rPr>
        <w:t xml:space="preserve">No: </w:t>
      </w:r>
      <w:r w:rsidR="00136D7F" w:rsidRPr="00593192">
        <w:rPr>
          <w:rFonts w:ascii="Arial" w:hAnsi="Arial" w:cs="Arial"/>
          <w:b/>
        </w:rPr>
        <w:t>2648152</w:t>
      </w:r>
      <w:r w:rsidRPr="00593192">
        <w:rPr>
          <w:rFonts w:ascii="Arial" w:hAnsi="Arial" w:cs="Arial"/>
          <w:b/>
        </w:rPr>
        <w:t>)</w:t>
      </w:r>
    </w:p>
    <w:p w:rsidR="007A1230" w:rsidRPr="00593192" w:rsidRDefault="007A1230">
      <w:pPr>
        <w:tabs>
          <w:tab w:val="left" w:pos="4050"/>
        </w:tabs>
        <w:jc w:val="center"/>
        <w:rPr>
          <w:rFonts w:ascii="Arial" w:hAnsi="Arial" w:cs="Arial"/>
          <w:b/>
        </w:rPr>
      </w:pPr>
    </w:p>
    <w:p w:rsidR="007A1230" w:rsidRPr="00593192" w:rsidRDefault="00317813">
      <w:pPr>
        <w:tabs>
          <w:tab w:val="left" w:pos="4050"/>
        </w:tabs>
        <w:jc w:val="center"/>
        <w:rPr>
          <w:rFonts w:ascii="Arial" w:hAnsi="Arial" w:cs="Arial"/>
          <w:b/>
        </w:rPr>
      </w:pPr>
      <w:r w:rsidRPr="00593192">
        <w:rPr>
          <w:rFonts w:ascii="Arial" w:hAnsi="Arial" w:cs="Arial"/>
          <w:b/>
        </w:rPr>
        <w:t xml:space="preserve">SPECIAL </w:t>
      </w:r>
      <w:r w:rsidR="0069189F">
        <w:rPr>
          <w:rFonts w:ascii="Arial" w:hAnsi="Arial" w:cs="Arial"/>
          <w:b/>
        </w:rPr>
        <w:t xml:space="preserve">RESOLUTIONS AND SPECIAL </w:t>
      </w:r>
      <w:r w:rsidRPr="00593192">
        <w:rPr>
          <w:rFonts w:ascii="Arial" w:hAnsi="Arial" w:cs="Arial"/>
          <w:b/>
        </w:rPr>
        <w:t>BUSINESS</w:t>
      </w:r>
    </w:p>
    <w:p w:rsidR="007A1230" w:rsidRPr="00593192" w:rsidRDefault="007A1230">
      <w:pPr>
        <w:tabs>
          <w:tab w:val="left" w:pos="4050"/>
        </w:tabs>
        <w:jc w:val="center"/>
        <w:rPr>
          <w:rFonts w:ascii="Arial" w:hAnsi="Arial" w:cs="Arial"/>
          <w:b/>
        </w:rPr>
      </w:pPr>
      <w:r w:rsidRPr="00593192">
        <w:rPr>
          <w:rFonts w:ascii="Arial" w:hAnsi="Arial" w:cs="Arial"/>
        </w:rPr>
        <w:t xml:space="preserve">(Passed on </w:t>
      </w:r>
      <w:r w:rsidR="00C17935">
        <w:rPr>
          <w:rFonts w:ascii="Arial" w:hAnsi="Arial" w:cs="Arial"/>
        </w:rPr>
        <w:t>4</w:t>
      </w:r>
      <w:r w:rsidR="00314812">
        <w:rPr>
          <w:rFonts w:ascii="Arial" w:hAnsi="Arial" w:cs="Arial"/>
        </w:rPr>
        <w:t xml:space="preserve"> </w:t>
      </w:r>
      <w:r w:rsidR="001201B9">
        <w:rPr>
          <w:rFonts w:ascii="Arial" w:hAnsi="Arial" w:cs="Arial"/>
        </w:rPr>
        <w:t>February</w:t>
      </w:r>
      <w:r w:rsidR="00314812">
        <w:rPr>
          <w:rFonts w:ascii="Arial" w:hAnsi="Arial" w:cs="Arial"/>
        </w:rPr>
        <w:t xml:space="preserve"> 20</w:t>
      </w:r>
      <w:r w:rsidR="001201B9">
        <w:rPr>
          <w:rFonts w:ascii="Arial" w:hAnsi="Arial" w:cs="Arial"/>
        </w:rPr>
        <w:t>2</w:t>
      </w:r>
      <w:r w:rsidR="00C17935">
        <w:rPr>
          <w:rFonts w:ascii="Arial" w:hAnsi="Arial" w:cs="Arial"/>
        </w:rPr>
        <w:t>2</w:t>
      </w:r>
      <w:r w:rsidRPr="00593192">
        <w:rPr>
          <w:rFonts w:ascii="Arial" w:hAnsi="Arial" w:cs="Arial"/>
        </w:rPr>
        <w:t>)</w:t>
      </w:r>
    </w:p>
    <w:p w:rsidR="007A1230" w:rsidRPr="00593192" w:rsidRDefault="007A1230">
      <w:pPr>
        <w:pBdr>
          <w:bottom w:val="single" w:sz="18" w:space="1" w:color="auto"/>
        </w:pBdr>
        <w:tabs>
          <w:tab w:val="left" w:pos="4050"/>
        </w:tabs>
        <w:jc w:val="center"/>
        <w:rPr>
          <w:rFonts w:ascii="Arial" w:hAnsi="Arial" w:cs="Arial"/>
          <w:b/>
        </w:rPr>
      </w:pPr>
    </w:p>
    <w:p w:rsidR="007A1230" w:rsidRPr="00593192" w:rsidRDefault="007A1230">
      <w:pPr>
        <w:tabs>
          <w:tab w:val="left" w:pos="4050"/>
        </w:tabs>
        <w:jc w:val="center"/>
        <w:rPr>
          <w:rFonts w:ascii="Arial" w:hAnsi="Arial" w:cs="Arial"/>
          <w:b/>
        </w:rPr>
      </w:pPr>
    </w:p>
    <w:p w:rsidR="007A1230" w:rsidRPr="00530CC4" w:rsidRDefault="007A1230" w:rsidP="00F53FCD">
      <w:pPr>
        <w:tabs>
          <w:tab w:val="center" w:pos="4801"/>
        </w:tabs>
        <w:suppressAutoHyphens/>
        <w:ind w:left="57" w:right="-179"/>
        <w:jc w:val="both"/>
        <w:rPr>
          <w:rFonts w:ascii="Arial" w:hAnsi="Arial" w:cs="Arial"/>
        </w:rPr>
      </w:pPr>
      <w:r w:rsidRPr="00530CC4">
        <w:rPr>
          <w:rFonts w:ascii="Arial" w:hAnsi="Arial" w:cs="Arial"/>
        </w:rPr>
        <w:t>At the Annual</w:t>
      </w:r>
      <w:r w:rsidR="00136D7F" w:rsidRPr="00530CC4">
        <w:rPr>
          <w:rFonts w:ascii="Arial" w:hAnsi="Arial" w:cs="Arial"/>
          <w:spacing w:val="-2"/>
        </w:rPr>
        <w:t xml:space="preserve"> </w:t>
      </w:r>
      <w:r w:rsidR="00AF2F13" w:rsidRPr="00530CC4">
        <w:rPr>
          <w:rFonts w:ascii="Arial" w:hAnsi="Arial" w:cs="Arial"/>
          <w:spacing w:val="-2"/>
        </w:rPr>
        <w:t xml:space="preserve">General Meeting held at </w:t>
      </w:r>
      <w:r w:rsidR="00314812" w:rsidRPr="00530CC4">
        <w:rPr>
          <w:rFonts w:ascii="Arial" w:hAnsi="Arial" w:cs="Arial"/>
          <w:spacing w:val="-2"/>
        </w:rPr>
        <w:t>Bow Bells House, 1 Bread Street, London, EC4M 9HH</w:t>
      </w:r>
      <w:r w:rsidR="00136D7F" w:rsidRPr="00530CC4">
        <w:rPr>
          <w:rFonts w:ascii="Arial" w:hAnsi="Arial" w:cs="Arial"/>
          <w:spacing w:val="-2"/>
        </w:rPr>
        <w:t xml:space="preserve"> on </w:t>
      </w:r>
      <w:r w:rsidR="001201B9">
        <w:rPr>
          <w:rFonts w:ascii="Arial" w:hAnsi="Arial" w:cs="Arial"/>
          <w:spacing w:val="-2"/>
        </w:rPr>
        <w:t>Friday</w:t>
      </w:r>
      <w:r w:rsidR="00136D7F" w:rsidRPr="00530CC4">
        <w:rPr>
          <w:rFonts w:ascii="Arial" w:hAnsi="Arial" w:cs="Arial"/>
          <w:spacing w:val="-2"/>
        </w:rPr>
        <w:t>,</w:t>
      </w:r>
      <w:r w:rsidR="001C0017" w:rsidRPr="00530CC4">
        <w:rPr>
          <w:rFonts w:ascii="Arial" w:hAnsi="Arial" w:cs="Arial"/>
          <w:spacing w:val="-2"/>
        </w:rPr>
        <w:t xml:space="preserve"> </w:t>
      </w:r>
      <w:r w:rsidR="00C94690">
        <w:rPr>
          <w:rFonts w:ascii="Arial" w:hAnsi="Arial" w:cs="Arial"/>
          <w:spacing w:val="-2"/>
        </w:rPr>
        <w:t>4</w:t>
      </w:r>
      <w:r w:rsidR="000133F0" w:rsidRPr="00530CC4">
        <w:rPr>
          <w:rFonts w:ascii="Arial" w:hAnsi="Arial" w:cs="Arial"/>
          <w:spacing w:val="-2"/>
        </w:rPr>
        <w:t xml:space="preserve"> </w:t>
      </w:r>
      <w:r w:rsidR="001201B9">
        <w:rPr>
          <w:rFonts w:ascii="Arial" w:hAnsi="Arial" w:cs="Arial"/>
          <w:spacing w:val="-2"/>
        </w:rPr>
        <w:t>February</w:t>
      </w:r>
      <w:r w:rsidR="000133F0" w:rsidRPr="00530CC4">
        <w:rPr>
          <w:rFonts w:ascii="Arial" w:hAnsi="Arial" w:cs="Arial"/>
          <w:spacing w:val="-2"/>
        </w:rPr>
        <w:t xml:space="preserve"> 20</w:t>
      </w:r>
      <w:r w:rsidR="00C94690">
        <w:rPr>
          <w:rFonts w:ascii="Arial" w:hAnsi="Arial" w:cs="Arial"/>
          <w:spacing w:val="-2"/>
        </w:rPr>
        <w:t>22</w:t>
      </w:r>
      <w:r w:rsidR="00136D7F" w:rsidRPr="00530CC4">
        <w:rPr>
          <w:rFonts w:ascii="Arial" w:hAnsi="Arial" w:cs="Arial"/>
          <w:spacing w:val="-2"/>
        </w:rPr>
        <w:t xml:space="preserve"> at </w:t>
      </w:r>
      <w:r w:rsidR="0053317A" w:rsidRPr="00530CC4">
        <w:rPr>
          <w:rFonts w:ascii="Arial" w:hAnsi="Arial" w:cs="Arial"/>
          <w:spacing w:val="-2"/>
        </w:rPr>
        <w:t>11.30am</w:t>
      </w:r>
      <w:r w:rsidR="00136D7F" w:rsidRPr="00530CC4">
        <w:rPr>
          <w:rFonts w:ascii="Arial" w:hAnsi="Arial" w:cs="Arial"/>
          <w:spacing w:val="-2"/>
        </w:rPr>
        <w:t xml:space="preserve"> </w:t>
      </w:r>
      <w:r w:rsidRPr="00530CC4">
        <w:rPr>
          <w:rFonts w:ascii="Arial" w:hAnsi="Arial" w:cs="Arial"/>
        </w:rPr>
        <w:t xml:space="preserve">the following </w:t>
      </w:r>
      <w:r w:rsidR="00191379">
        <w:rPr>
          <w:rFonts w:ascii="Arial" w:hAnsi="Arial" w:cs="Arial"/>
        </w:rPr>
        <w:t>R</w:t>
      </w:r>
      <w:r w:rsidRPr="00530CC4">
        <w:rPr>
          <w:rFonts w:ascii="Arial" w:hAnsi="Arial" w:cs="Arial"/>
        </w:rPr>
        <w:t>esolutions were passed: -</w:t>
      </w:r>
    </w:p>
    <w:p w:rsidR="007A1230" w:rsidRPr="00530CC4" w:rsidRDefault="007A1230" w:rsidP="000F11AB">
      <w:pPr>
        <w:tabs>
          <w:tab w:val="left" w:pos="4050"/>
        </w:tabs>
        <w:jc w:val="both"/>
        <w:rPr>
          <w:rFonts w:ascii="Arial" w:hAnsi="Arial" w:cs="Arial"/>
        </w:rPr>
      </w:pPr>
    </w:p>
    <w:p w:rsidR="00C94690" w:rsidRDefault="00C94690" w:rsidP="00C94690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Authority</w:t>
      </w:r>
      <w:r w:rsidRPr="00530CC4">
        <w:rPr>
          <w:rFonts w:ascii="Arial" w:hAnsi="Arial" w:cs="Arial"/>
          <w:b/>
          <w:lang w:eastAsia="en-GB"/>
        </w:rPr>
        <w:t xml:space="preserve"> to allot shares (Ordinary Resolution 1</w:t>
      </w:r>
      <w:r>
        <w:rPr>
          <w:rFonts w:ascii="Arial" w:hAnsi="Arial" w:cs="Arial"/>
          <w:b/>
          <w:lang w:eastAsia="en-GB"/>
        </w:rPr>
        <w:t>1</w:t>
      </w:r>
      <w:r w:rsidRPr="00530CC4">
        <w:rPr>
          <w:rFonts w:ascii="Arial" w:hAnsi="Arial" w:cs="Arial"/>
          <w:b/>
          <w:lang w:eastAsia="en-GB"/>
        </w:rPr>
        <w:t>)</w:t>
      </w:r>
    </w:p>
    <w:p w:rsidR="00C94690" w:rsidRDefault="00C9469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C94690">
        <w:rPr>
          <w:rFonts w:ascii="Arial" w:hAnsi="Arial" w:cs="Arial"/>
          <w:lang w:eastAsia="zh-CN" w:bidi="th-TH"/>
        </w:rPr>
        <w:t>That, in substitution for any existing authority, but without prejudice to the exercise of any such authority prior to the date</w:t>
      </w:r>
      <w:r w:rsidR="00E23B6E"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hereof,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the Directors of the Company be and they are hereby generally and unconditionally authorised in accordance with Section 551 of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the Companies Act 2006 (the “Act”) to exercise all the powers of the Company to allot shares in the Company and to grant rights to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subscribe for or to convert any security into shares in the Company (“Securities”) provided that such authority shall be limited to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the allotment of shares and the grant of rights in respect of shares up to 10% of the nominal value of the issued share capital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(excluding treasury shares) of the Company, as at the date of the passing of this resolution, such authority to expire at the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conclusion of the next Annual General Meeting of the Company after the passing of this resolution or on the expiry of 15 months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from the passing of this resolution, whichever is the earlier, unless previously revoked, varied or extended or renewed by the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Company in a general meeting, save that the Company may at any time prior to the expiry of this authority make an offer or enter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into an agreement which would or might require Securities to be allotted or granted after the expiry of such authority and the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Directors shall be entitled to allot or grant Securities in pursuance of such an offer or agreement as if such authority had not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expired.</w:t>
      </w:r>
    </w:p>
    <w:p w:rsidR="00C94690" w:rsidRPr="00C94690" w:rsidRDefault="00C9469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C94690" w:rsidRDefault="00C94690" w:rsidP="00C94690">
      <w:pPr>
        <w:autoSpaceDE w:val="0"/>
        <w:autoSpaceDN w:val="0"/>
        <w:adjustRightInd w:val="0"/>
        <w:ind w:left="709" w:hanging="709"/>
        <w:rPr>
          <w:rFonts w:ascii="Arial" w:hAnsi="Arial" w:cs="Arial"/>
          <w:b/>
          <w:lang w:eastAsia="en-GB"/>
        </w:rPr>
      </w:pPr>
      <w:r w:rsidRPr="00C94690">
        <w:rPr>
          <w:rFonts w:ascii="Arial" w:hAnsi="Arial" w:cs="Arial"/>
          <w:b/>
          <w:lang w:eastAsia="en-GB"/>
        </w:rPr>
        <w:t>Disapplication of pre-emption rights</w:t>
      </w:r>
      <w:r>
        <w:rPr>
          <w:rFonts w:ascii="Arial" w:hAnsi="Arial" w:cs="Arial"/>
          <w:b/>
          <w:lang w:eastAsia="en-GB"/>
        </w:rPr>
        <w:t xml:space="preserve"> </w:t>
      </w:r>
      <w:r w:rsidRPr="00530CC4">
        <w:rPr>
          <w:rFonts w:ascii="Arial" w:hAnsi="Arial" w:cs="Arial"/>
          <w:b/>
          <w:lang w:eastAsia="en-GB"/>
        </w:rPr>
        <w:t>(Special Resolution 1</w:t>
      </w:r>
      <w:r>
        <w:rPr>
          <w:rFonts w:ascii="Arial" w:hAnsi="Arial" w:cs="Arial"/>
          <w:b/>
          <w:lang w:eastAsia="en-GB"/>
        </w:rPr>
        <w:t>2</w:t>
      </w:r>
      <w:r w:rsidRPr="00530CC4">
        <w:rPr>
          <w:rFonts w:ascii="Arial" w:hAnsi="Arial" w:cs="Arial"/>
          <w:b/>
          <w:lang w:eastAsia="en-GB"/>
        </w:rPr>
        <w:t>)</w:t>
      </w:r>
    </w:p>
    <w:p w:rsidR="00C94690" w:rsidRPr="00C94690" w:rsidRDefault="00C9469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C94690">
        <w:rPr>
          <w:rFonts w:ascii="Arial" w:hAnsi="Arial" w:cs="Arial"/>
          <w:lang w:eastAsia="zh-CN" w:bidi="th-TH"/>
        </w:rPr>
        <w:t>That, subject to the passing of resolution 11 set out above, and in substitution for any existing power but without prejudice to the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exercise of any such power prior to the date hereof, the Directors of the Company be and they are hereby generally empowered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(</w:t>
      </w:r>
      <w:proofErr w:type="spellStart"/>
      <w:r w:rsidRPr="00C94690">
        <w:rPr>
          <w:rFonts w:ascii="Arial" w:hAnsi="Arial" w:cs="Arial"/>
          <w:lang w:eastAsia="zh-CN" w:bidi="th-TH"/>
        </w:rPr>
        <w:t>i</w:t>
      </w:r>
      <w:proofErr w:type="spellEnd"/>
      <w:r w:rsidRPr="00C94690">
        <w:rPr>
          <w:rFonts w:ascii="Arial" w:hAnsi="Arial" w:cs="Arial"/>
          <w:lang w:eastAsia="zh-CN" w:bidi="th-TH"/>
        </w:rPr>
        <w:t>), pursuant to Section 570 of the Companies Act 2006 (the “Act”), to allot equity securities (as defined in Section 560 of the Act),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including the grant of rights to subscribe for, or to convert securities into Ordinary shares for cash pursuant to the authority given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by resolution 1</w:t>
      </w:r>
      <w:r>
        <w:rPr>
          <w:rFonts w:ascii="Arial" w:hAnsi="Arial" w:cs="Arial"/>
          <w:lang w:eastAsia="zh-CN" w:bidi="th-TH"/>
        </w:rPr>
        <w:t>1</w:t>
      </w:r>
      <w:r w:rsidRPr="00C94690">
        <w:rPr>
          <w:rFonts w:ascii="Arial" w:hAnsi="Arial" w:cs="Arial"/>
          <w:lang w:eastAsia="zh-CN" w:bidi="th-TH"/>
        </w:rPr>
        <w:t xml:space="preserve"> set out above and (ii), pursuant to Section 573 of the Act to sell equity securities for cash out of treasury as if</w:t>
      </w:r>
      <w:r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Section 561(1) of the Act did not apply to any such allotment, or sale out of treasury, of equity securities, provided that</w:t>
      </w:r>
    </w:p>
    <w:p w:rsidR="00C94690" w:rsidRPr="00C94690" w:rsidRDefault="00C94690" w:rsidP="00C94690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zh-CN" w:bidi="th-TH"/>
        </w:rPr>
      </w:pPr>
      <w:r w:rsidRPr="00C94690">
        <w:rPr>
          <w:rFonts w:ascii="Arial" w:hAnsi="Arial" w:cs="Arial"/>
          <w:lang w:eastAsia="zh-CN" w:bidi="th-TH"/>
        </w:rPr>
        <w:t>this power:</w:t>
      </w:r>
    </w:p>
    <w:p w:rsidR="00C94690" w:rsidRPr="00C94690" w:rsidRDefault="00C94690" w:rsidP="00C94690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zh-CN" w:bidi="th-TH"/>
        </w:rPr>
      </w:pPr>
    </w:p>
    <w:p w:rsidR="00C94690" w:rsidRPr="00E23B6E" w:rsidRDefault="00C94690" w:rsidP="00E23B6E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E23B6E">
        <w:rPr>
          <w:rFonts w:ascii="Arial" w:hAnsi="Arial" w:cs="Arial"/>
          <w:lang w:eastAsia="zh-CN" w:bidi="th-TH"/>
        </w:rPr>
        <w:t>expires at the conclusion of the next Annual General Meeting of the Company after the passing of this resolution or on the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expiry of 15 months from the passing of this resolution, whichever is the earlier, unless previously revoked, voted, extended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or renewed by the Company in a general meeting save that the Company may, at any time prior to the expiry of this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authority, make an offer or enter into an agreement which would or might require equity securities to be allotted or sold out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of treasury after such expiry and the Directors may allot or sell out of treasury equity securities in pursuance of any such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offer or agreement as if the power conferred hereby had not expired; and</w:t>
      </w:r>
    </w:p>
    <w:p w:rsidR="00E23B6E" w:rsidRPr="00C94690" w:rsidRDefault="00E23B6E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E23B6E" w:rsidRDefault="00C94690" w:rsidP="00E23B6E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E23B6E">
        <w:rPr>
          <w:rFonts w:ascii="Arial" w:hAnsi="Arial" w:cs="Arial"/>
          <w:lang w:eastAsia="zh-CN" w:bidi="th-TH"/>
        </w:rPr>
        <w:t>shall be limited to the allotment, or sale out of treasury, of equity securities up to an aggregate nominal value of 10% of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the nominal value of the issued share capital of the Company (excluding treasury shares), as at the date of the passing of</w:t>
      </w:r>
      <w:r w:rsidR="00E23B6E" w:rsidRPr="00E23B6E">
        <w:rPr>
          <w:rFonts w:ascii="Arial" w:hAnsi="Arial" w:cs="Arial"/>
          <w:lang w:eastAsia="zh-CN" w:bidi="th-TH"/>
        </w:rPr>
        <w:t xml:space="preserve"> </w:t>
      </w:r>
      <w:r w:rsidRPr="00E23B6E">
        <w:rPr>
          <w:rFonts w:ascii="Arial" w:hAnsi="Arial" w:cs="Arial"/>
          <w:lang w:eastAsia="zh-CN" w:bidi="th-TH"/>
        </w:rPr>
        <w:t>this resolution.</w:t>
      </w:r>
    </w:p>
    <w:p w:rsidR="00F65317" w:rsidRPr="00C94690" w:rsidRDefault="00F65317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F65317" w:rsidRDefault="00C94690" w:rsidP="00F65317">
      <w:pPr>
        <w:autoSpaceDE w:val="0"/>
        <w:autoSpaceDN w:val="0"/>
        <w:adjustRightInd w:val="0"/>
        <w:ind w:left="709" w:hanging="709"/>
        <w:rPr>
          <w:rFonts w:ascii="Arial" w:hAnsi="Arial" w:cs="Arial"/>
          <w:b/>
          <w:lang w:eastAsia="en-GB"/>
        </w:rPr>
      </w:pPr>
      <w:r w:rsidRPr="00F65317">
        <w:rPr>
          <w:rFonts w:ascii="Arial" w:hAnsi="Arial" w:cs="Arial"/>
          <w:b/>
          <w:lang w:eastAsia="en-GB"/>
        </w:rPr>
        <w:t>Authority to make market purchases of shares</w:t>
      </w:r>
      <w:r w:rsidR="00F65317">
        <w:rPr>
          <w:rFonts w:ascii="Arial" w:hAnsi="Arial" w:cs="Arial"/>
          <w:b/>
          <w:lang w:eastAsia="en-GB"/>
        </w:rPr>
        <w:t xml:space="preserve"> </w:t>
      </w:r>
      <w:r w:rsidR="00F65317" w:rsidRPr="00530CC4">
        <w:rPr>
          <w:rFonts w:ascii="Arial" w:hAnsi="Arial" w:cs="Arial"/>
          <w:b/>
          <w:lang w:eastAsia="en-GB"/>
        </w:rPr>
        <w:t>(Special Resolution 1</w:t>
      </w:r>
      <w:r w:rsidR="00F65317">
        <w:rPr>
          <w:rFonts w:ascii="Arial" w:hAnsi="Arial" w:cs="Arial"/>
          <w:b/>
          <w:lang w:eastAsia="en-GB"/>
        </w:rPr>
        <w:t>3</w:t>
      </w:r>
      <w:r w:rsidR="00F65317" w:rsidRPr="00530CC4">
        <w:rPr>
          <w:rFonts w:ascii="Arial" w:hAnsi="Arial" w:cs="Arial"/>
          <w:b/>
          <w:lang w:eastAsia="en-GB"/>
        </w:rPr>
        <w:t>)</w:t>
      </w:r>
    </w:p>
    <w:p w:rsidR="00C94690" w:rsidRPr="00C94690" w:rsidRDefault="00C9469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C94690">
        <w:rPr>
          <w:rFonts w:ascii="Arial" w:hAnsi="Arial" w:cs="Arial"/>
          <w:lang w:eastAsia="zh-CN" w:bidi="th-TH"/>
        </w:rPr>
        <w:t>That the Company be and is hereby generally and, subject as hereinafter appears, unconditionally authorised in accordance with</w:t>
      </w:r>
      <w:r w:rsidR="00B56630"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Section 701 of the Companies Act 2006 (the “Act”) to make market purchases (within the meaning of Section 693(4) of the Act) of</w:t>
      </w:r>
      <w:r w:rsidR="00B56630"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Ordinary shares of 25p each in the capital of the Company (the “Shares”) either for retention as treasury shares for future reissue,</w:t>
      </w:r>
      <w:r w:rsidR="00B56630">
        <w:rPr>
          <w:rFonts w:ascii="Arial" w:hAnsi="Arial" w:cs="Arial"/>
          <w:lang w:eastAsia="zh-CN" w:bidi="th-TH"/>
        </w:rPr>
        <w:t xml:space="preserve"> </w:t>
      </w:r>
      <w:r w:rsidRPr="00C94690">
        <w:rPr>
          <w:rFonts w:ascii="Arial" w:hAnsi="Arial" w:cs="Arial"/>
          <w:lang w:eastAsia="zh-CN" w:bidi="th-TH"/>
        </w:rPr>
        <w:t>resale, transfer or cancellation:</w:t>
      </w:r>
    </w:p>
    <w:p w:rsidR="00C94690" w:rsidRDefault="00C9469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C94690">
        <w:rPr>
          <w:rFonts w:ascii="Arial" w:hAnsi="Arial" w:cs="Arial"/>
          <w:lang w:eastAsia="zh-CN" w:bidi="th-TH"/>
        </w:rPr>
        <w:t>Provided always that:</w:t>
      </w:r>
    </w:p>
    <w:p w:rsidR="00B56630" w:rsidRPr="00C94690" w:rsidRDefault="00B5663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B56630" w:rsidRDefault="00C94690" w:rsidP="00B56630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B56630">
        <w:rPr>
          <w:rFonts w:ascii="Arial" w:hAnsi="Arial" w:cs="Arial"/>
          <w:lang w:eastAsia="zh-CN" w:bidi="th-TH"/>
        </w:rPr>
        <w:t>the maximum number of Shares hereby authorised to be purchased shall be 14.99% of the Company’s issued share capital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at the date of the passing of this resolution (excluding treasury shares);</w:t>
      </w:r>
    </w:p>
    <w:p w:rsidR="00B56630" w:rsidRPr="00C94690" w:rsidRDefault="00B5663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B56630" w:rsidRDefault="00C94690" w:rsidP="00B56630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B56630">
        <w:rPr>
          <w:rFonts w:ascii="Arial" w:hAnsi="Arial" w:cs="Arial"/>
          <w:lang w:eastAsia="zh-CN" w:bidi="th-TH"/>
        </w:rPr>
        <w:t>the minimum price (exclusive of expenses) which may be paid for each Share shall be 25p;</w:t>
      </w:r>
    </w:p>
    <w:p w:rsidR="00B56630" w:rsidRPr="00C94690" w:rsidRDefault="00B5663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B56630" w:rsidRDefault="00C94690" w:rsidP="00B56630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B56630">
        <w:rPr>
          <w:rFonts w:ascii="Arial" w:hAnsi="Arial" w:cs="Arial"/>
          <w:lang w:eastAsia="zh-CN" w:bidi="th-TH"/>
        </w:rPr>
        <w:t>the maximum price (exclusive of expenses) which may be paid for a Share is the higher of (</w:t>
      </w:r>
      <w:proofErr w:type="spellStart"/>
      <w:r w:rsidRPr="00B56630">
        <w:rPr>
          <w:rFonts w:ascii="Arial" w:hAnsi="Arial" w:cs="Arial"/>
          <w:lang w:eastAsia="zh-CN" w:bidi="th-TH"/>
        </w:rPr>
        <w:t>i</w:t>
      </w:r>
      <w:proofErr w:type="spellEnd"/>
      <w:r w:rsidRPr="00B56630">
        <w:rPr>
          <w:rFonts w:ascii="Arial" w:hAnsi="Arial" w:cs="Arial"/>
          <w:lang w:eastAsia="zh-CN" w:bidi="th-TH"/>
        </w:rPr>
        <w:t>) 105% of the average of the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middle market quotations (as derived from the Daily Official List of the London Stock Exchange) for the Shares over the five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business days immediately preceding the date of purchase and (ii) the higher of the last independent trade and the highest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current independent bid on the trading venue which the purchase is carried out; and</w:t>
      </w:r>
    </w:p>
    <w:p w:rsidR="00B56630" w:rsidRPr="00C94690" w:rsidRDefault="00B56630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C94690" w:rsidRPr="00B56630" w:rsidRDefault="00C94690" w:rsidP="00B56630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  <w:r w:rsidRPr="00B56630">
        <w:rPr>
          <w:rFonts w:ascii="Arial" w:hAnsi="Arial" w:cs="Arial"/>
          <w:lang w:eastAsia="zh-CN" w:bidi="th-TH"/>
        </w:rPr>
        <w:t>the authority hereby conferred shall expire at the conclusion of the next Annual General Meeting of the Company after the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passing of this resolution or on the expiry of 15 months from the passing of this resolution, whichever is earlier, unless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previously revoked, varied, extended or renewed by the Company in a general meeting, save that the Company may, at any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time prior to the expiry of this authority enter into a contract to purchase shares under such authority which will or might be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completed or executed wholly or partly after the expiration of such authority and may make a purchase of Shares pursuant</w:t>
      </w:r>
      <w:r w:rsidR="00B56630" w:rsidRPr="00B56630">
        <w:rPr>
          <w:rFonts w:ascii="Arial" w:hAnsi="Arial" w:cs="Arial"/>
          <w:lang w:eastAsia="zh-CN" w:bidi="th-TH"/>
        </w:rPr>
        <w:t xml:space="preserve"> </w:t>
      </w:r>
      <w:r w:rsidRPr="00B56630">
        <w:rPr>
          <w:rFonts w:ascii="Arial" w:hAnsi="Arial" w:cs="Arial"/>
          <w:lang w:eastAsia="zh-CN" w:bidi="th-TH"/>
        </w:rPr>
        <w:t>to any such contract.</w:t>
      </w:r>
    </w:p>
    <w:p w:rsidR="00F65317" w:rsidRDefault="00F65317" w:rsidP="00C94690">
      <w:pPr>
        <w:autoSpaceDE w:val="0"/>
        <w:autoSpaceDN w:val="0"/>
        <w:adjustRightInd w:val="0"/>
        <w:jc w:val="both"/>
        <w:rPr>
          <w:rFonts w:ascii="Arial" w:hAnsi="Arial" w:cs="Arial"/>
          <w:lang w:eastAsia="zh-CN" w:bidi="th-TH"/>
        </w:rPr>
      </w:pPr>
    </w:p>
    <w:p w:rsidR="0069189F" w:rsidRDefault="0069189F" w:rsidP="0069189F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SPECIAL BUSINESS</w:t>
      </w:r>
      <w:bookmarkStart w:id="0" w:name="_GoBack"/>
      <w:bookmarkEnd w:id="0"/>
    </w:p>
    <w:p w:rsidR="00C94690" w:rsidRPr="00F65317" w:rsidRDefault="00C94690" w:rsidP="00F65317">
      <w:pPr>
        <w:autoSpaceDE w:val="0"/>
        <w:autoSpaceDN w:val="0"/>
        <w:adjustRightInd w:val="0"/>
        <w:ind w:left="709" w:hanging="709"/>
        <w:rPr>
          <w:rFonts w:ascii="Arial" w:hAnsi="Arial" w:cs="Arial"/>
          <w:b/>
          <w:lang w:eastAsia="en-GB"/>
        </w:rPr>
      </w:pPr>
      <w:r w:rsidRPr="00F65317">
        <w:rPr>
          <w:rFonts w:ascii="Arial" w:hAnsi="Arial" w:cs="Arial"/>
          <w:b/>
          <w:lang w:eastAsia="en-GB"/>
        </w:rPr>
        <w:t>Notice of General Meeting</w:t>
      </w:r>
      <w:r w:rsidR="00F65317">
        <w:rPr>
          <w:rFonts w:ascii="Arial" w:hAnsi="Arial" w:cs="Arial"/>
          <w:b/>
          <w:lang w:eastAsia="en-GB"/>
        </w:rPr>
        <w:t xml:space="preserve"> (</w:t>
      </w:r>
      <w:r w:rsidR="00F65317" w:rsidRPr="00530CC4">
        <w:rPr>
          <w:rFonts w:ascii="Arial" w:hAnsi="Arial" w:cs="Arial"/>
          <w:b/>
          <w:lang w:eastAsia="en-GB"/>
        </w:rPr>
        <w:t>Special Resolution 1</w:t>
      </w:r>
      <w:r w:rsidR="00F65317">
        <w:rPr>
          <w:rFonts w:ascii="Arial" w:hAnsi="Arial" w:cs="Arial"/>
          <w:b/>
          <w:lang w:eastAsia="en-GB"/>
        </w:rPr>
        <w:t>4</w:t>
      </w:r>
      <w:r w:rsidR="00F65317" w:rsidRPr="00530CC4">
        <w:rPr>
          <w:rFonts w:ascii="Arial" w:hAnsi="Arial" w:cs="Arial"/>
          <w:b/>
          <w:lang w:eastAsia="en-GB"/>
        </w:rPr>
        <w:t>)</w:t>
      </w:r>
    </w:p>
    <w:p w:rsidR="00C94690" w:rsidRPr="00C94690" w:rsidRDefault="00C94690" w:rsidP="00DB40F6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C94690">
        <w:rPr>
          <w:rFonts w:ascii="Arial" w:hAnsi="Arial" w:cs="Arial"/>
          <w:lang w:eastAsia="zh-CN" w:bidi="th-TH"/>
        </w:rPr>
        <w:t>That a general meeting other than an Annual General Meeting may be called on not less than 14 cl</w:t>
      </w:r>
      <w:r w:rsidR="00E23B6E">
        <w:rPr>
          <w:rFonts w:ascii="Arial" w:hAnsi="Arial" w:cs="Arial"/>
          <w:lang w:eastAsia="zh-CN" w:bidi="th-TH"/>
        </w:rPr>
        <w:t xml:space="preserve">ear days’ </w:t>
      </w:r>
      <w:r w:rsidRPr="00C94690">
        <w:rPr>
          <w:rFonts w:ascii="Arial" w:hAnsi="Arial" w:cs="Arial"/>
          <w:lang w:eastAsia="zh-CN" w:bidi="th-TH"/>
        </w:rPr>
        <w:t>notice.</w:t>
      </w:r>
    </w:p>
    <w:p w:rsidR="00C94690" w:rsidRDefault="00C94690" w:rsidP="005129D8">
      <w:pPr>
        <w:autoSpaceDE w:val="0"/>
        <w:autoSpaceDN w:val="0"/>
        <w:adjustRightInd w:val="0"/>
        <w:ind w:left="709" w:hanging="709"/>
        <w:rPr>
          <w:rFonts w:ascii="Arial" w:hAnsi="Arial" w:cs="Arial"/>
          <w:b/>
          <w:lang w:eastAsia="en-GB"/>
        </w:rPr>
      </w:pPr>
    </w:p>
    <w:p w:rsidR="001201B9" w:rsidRDefault="001201B9" w:rsidP="009D584C">
      <w:pPr>
        <w:tabs>
          <w:tab w:val="left" w:pos="284"/>
          <w:tab w:val="left" w:pos="4050"/>
        </w:tabs>
        <w:jc w:val="both"/>
        <w:rPr>
          <w:rFonts w:ascii="Arial" w:hAnsi="Arial" w:cs="Arial"/>
          <w:b/>
        </w:rPr>
      </w:pPr>
    </w:p>
    <w:p w:rsidR="001201B9" w:rsidRDefault="001201B9" w:rsidP="00F46AB2">
      <w:pPr>
        <w:tabs>
          <w:tab w:val="left" w:pos="4050"/>
        </w:tabs>
        <w:jc w:val="both"/>
        <w:rPr>
          <w:rFonts w:ascii="Arial" w:hAnsi="Arial" w:cs="Arial"/>
          <w:b/>
        </w:rPr>
      </w:pPr>
    </w:p>
    <w:p w:rsidR="001201B9" w:rsidRPr="00530CC4" w:rsidRDefault="001201B9" w:rsidP="00F46AB2">
      <w:pPr>
        <w:tabs>
          <w:tab w:val="left" w:pos="4050"/>
        </w:tabs>
        <w:jc w:val="both"/>
        <w:rPr>
          <w:rFonts w:ascii="Arial" w:hAnsi="Arial" w:cs="Arial"/>
          <w:b/>
        </w:rPr>
      </w:pPr>
    </w:p>
    <w:sectPr w:rsidR="001201B9" w:rsidRPr="00530CC4" w:rsidSect="00F53FC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4D" w:rsidRDefault="00D83C4D" w:rsidP="00067CE0">
      <w:r>
        <w:separator/>
      </w:r>
    </w:p>
  </w:endnote>
  <w:endnote w:type="continuationSeparator" w:id="0">
    <w:p w:rsidR="00D83C4D" w:rsidRDefault="00D83C4D" w:rsidP="0006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liss Light">
    <w:panose1 w:val="02000000000000000000"/>
    <w:charset w:val="00"/>
    <w:family w:val="auto"/>
    <w:pitch w:val="variable"/>
    <w:sig w:usb0="8000002F" w:usb1="1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iss Bold">
    <w:panose1 w:val="02000806050000020004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is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4D" w:rsidRDefault="00D83C4D" w:rsidP="00067CE0">
      <w:r>
        <w:separator/>
      </w:r>
    </w:p>
  </w:footnote>
  <w:footnote w:type="continuationSeparator" w:id="0">
    <w:p w:rsidR="00D83C4D" w:rsidRDefault="00D83C4D" w:rsidP="0006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FBF"/>
    <w:multiLevelType w:val="multilevel"/>
    <w:tmpl w:val="36EE9760"/>
    <w:styleLink w:val="NumberedListNumberStart"/>
    <w:lvl w:ilvl="0">
      <w:start w:val="10"/>
      <w:numFmt w:val="decimal"/>
      <w:pStyle w:val="Singlelinebulletsspacing"/>
      <w:lvlText w:val="%1."/>
      <w:lvlJc w:val="left"/>
      <w:pPr>
        <w:tabs>
          <w:tab w:val="num" w:pos="340"/>
        </w:tabs>
        <w:ind w:left="340" w:hanging="340"/>
      </w:pPr>
      <w:rPr>
        <w:rFonts w:ascii="Bliss Light" w:hAnsi="Bliss Light" w:cs="Times New Roman" w:hint="default"/>
        <w:sz w:val="19"/>
      </w:rPr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340"/>
      </w:pPr>
      <w:rPr>
        <w:rFonts w:ascii="Bliss Light" w:hAnsi="Bliss Light" w:cs="Times New Roman" w:hint="default"/>
        <w:sz w:val="19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Bliss Light" w:hAnsi="Bliss Light" w:cs="Times New Roman" w:hint="default"/>
        <w:sz w:val="19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1427704"/>
    <w:multiLevelType w:val="hybridMultilevel"/>
    <w:tmpl w:val="662030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9699E"/>
    <w:multiLevelType w:val="hybridMultilevel"/>
    <w:tmpl w:val="7C7C39B4"/>
    <w:lvl w:ilvl="0" w:tplc="B302E748">
      <w:start w:val="4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EB44FA6"/>
    <w:multiLevelType w:val="hybridMultilevel"/>
    <w:tmpl w:val="F9EA44FE"/>
    <w:lvl w:ilvl="0" w:tplc="37644A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2710EB"/>
    <w:multiLevelType w:val="hybridMultilevel"/>
    <w:tmpl w:val="ED36CC14"/>
    <w:lvl w:ilvl="0" w:tplc="48487A28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2410D52"/>
    <w:multiLevelType w:val="hybridMultilevel"/>
    <w:tmpl w:val="3516E1DC"/>
    <w:lvl w:ilvl="0" w:tplc="F12020F2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6D77616"/>
    <w:multiLevelType w:val="hybridMultilevel"/>
    <w:tmpl w:val="0710708C"/>
    <w:lvl w:ilvl="0" w:tplc="48A2DC12">
      <w:start w:val="1"/>
      <w:numFmt w:val="decimal"/>
      <w:pStyle w:val="ReportsNumberedBullets"/>
      <w:lvlText w:val="%1."/>
      <w:lvlJc w:val="left"/>
      <w:pPr>
        <w:tabs>
          <w:tab w:val="num" w:pos="34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00C6C"/>
    <w:multiLevelType w:val="hybridMultilevel"/>
    <w:tmpl w:val="DA9ACA9E"/>
    <w:lvl w:ilvl="0" w:tplc="691CDB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B3C2ABB6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color w:val="auto"/>
      </w:rPr>
    </w:lvl>
    <w:lvl w:ilvl="2" w:tplc="8FF061C8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06748"/>
    <w:multiLevelType w:val="hybridMultilevel"/>
    <w:tmpl w:val="B8201FB8"/>
    <w:lvl w:ilvl="0" w:tplc="28F6B00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D4569"/>
    <w:multiLevelType w:val="hybridMultilevel"/>
    <w:tmpl w:val="5FF21C7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4406EC"/>
    <w:multiLevelType w:val="hybridMultilevel"/>
    <w:tmpl w:val="3AB82228"/>
    <w:lvl w:ilvl="0" w:tplc="0809001B">
      <w:start w:val="1"/>
      <w:numFmt w:val="lowerRoman"/>
      <w:lvlText w:val="%1."/>
      <w:lvlJc w:val="right"/>
      <w:pPr>
        <w:ind w:left="2138" w:hanging="360"/>
      </w:pPr>
    </w:lvl>
    <w:lvl w:ilvl="1" w:tplc="0809001B">
      <w:start w:val="1"/>
      <w:numFmt w:val="lowerRoman"/>
      <w:lvlText w:val="%2."/>
      <w:lvlJc w:val="righ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2B2F7594"/>
    <w:multiLevelType w:val="hybridMultilevel"/>
    <w:tmpl w:val="D9A2BAC6"/>
    <w:lvl w:ilvl="0" w:tplc="AA06521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29427C"/>
    <w:multiLevelType w:val="hybridMultilevel"/>
    <w:tmpl w:val="1CCE64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32FE2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B39A3"/>
    <w:multiLevelType w:val="hybridMultilevel"/>
    <w:tmpl w:val="5360DDD6"/>
    <w:lvl w:ilvl="0" w:tplc="B8843C64">
      <w:start w:val="2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44153E9"/>
    <w:multiLevelType w:val="hybridMultilevel"/>
    <w:tmpl w:val="BB6E16B6"/>
    <w:lvl w:ilvl="0" w:tplc="C8EA5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C5D15"/>
    <w:multiLevelType w:val="hybridMultilevel"/>
    <w:tmpl w:val="6116FEE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5CECAE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16"/>
        <w:szCs w:val="16"/>
      </w:rPr>
    </w:lvl>
    <w:lvl w:ilvl="2" w:tplc="F6629C3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A071F4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470A9"/>
    <w:multiLevelType w:val="hybridMultilevel"/>
    <w:tmpl w:val="E74E2B92"/>
    <w:lvl w:ilvl="0" w:tplc="766A44DA">
      <w:start w:val="1"/>
      <w:numFmt w:val="lowerRoman"/>
      <w:lvlText w:val="(%1)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452F6342"/>
    <w:multiLevelType w:val="hybridMultilevel"/>
    <w:tmpl w:val="23D60DF2"/>
    <w:lvl w:ilvl="0" w:tplc="2572FD9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BC51A3"/>
    <w:multiLevelType w:val="hybridMultilevel"/>
    <w:tmpl w:val="0F569C4E"/>
    <w:lvl w:ilvl="0" w:tplc="C66C954E">
      <w:start w:val="2"/>
      <w:numFmt w:val="lowerRoman"/>
      <w:pStyle w:val="ReportsNumberedBulletsroman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4296798"/>
    <w:multiLevelType w:val="hybridMultilevel"/>
    <w:tmpl w:val="67C4687E"/>
    <w:lvl w:ilvl="0" w:tplc="50CABC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B478D3"/>
    <w:multiLevelType w:val="hybridMultilevel"/>
    <w:tmpl w:val="D2361A90"/>
    <w:lvl w:ilvl="0" w:tplc="7AF694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8463CED"/>
    <w:multiLevelType w:val="hybridMultilevel"/>
    <w:tmpl w:val="66786BBA"/>
    <w:lvl w:ilvl="0" w:tplc="B7DA9520">
      <w:start w:val="1"/>
      <w:numFmt w:val="lowerLetter"/>
      <w:lvlText w:val="(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5DD8008E"/>
    <w:multiLevelType w:val="hybridMultilevel"/>
    <w:tmpl w:val="A6908786"/>
    <w:lvl w:ilvl="0" w:tplc="3BD27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F0C39"/>
    <w:multiLevelType w:val="hybridMultilevel"/>
    <w:tmpl w:val="A53C6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70FDA"/>
    <w:multiLevelType w:val="hybridMultilevel"/>
    <w:tmpl w:val="FB7C729E"/>
    <w:lvl w:ilvl="0" w:tplc="24C63A4E">
      <w:start w:val="1"/>
      <w:numFmt w:val="lowerLetter"/>
      <w:pStyle w:val="ReportsNoBulletsalpha"/>
      <w:lvlText w:val="(%1)"/>
      <w:lvlJc w:val="left"/>
      <w:pPr>
        <w:tabs>
          <w:tab w:val="num" w:pos="340"/>
        </w:tabs>
        <w:ind w:left="680" w:hanging="340"/>
      </w:pPr>
      <w:rPr>
        <w:rFonts w:ascii="Bliss Light" w:hAnsi="Bliss Light" w:hint="default"/>
        <w:sz w:val="16"/>
        <w:szCs w:val="16"/>
      </w:rPr>
    </w:lvl>
    <w:lvl w:ilvl="1" w:tplc="9AD8BBE6">
      <w:start w:val="1"/>
      <w:numFmt w:val="lowerRoman"/>
      <w:lvlText w:val="(%2)"/>
      <w:lvlJc w:val="left"/>
      <w:pPr>
        <w:tabs>
          <w:tab w:val="num" w:pos="340"/>
        </w:tabs>
        <w:ind w:left="680" w:hanging="340"/>
      </w:pPr>
      <w:rPr>
        <w:rFonts w:ascii="Times New Roman" w:eastAsia="Times New Roman" w:hAnsi="Times New Roman" w:cs="Times New Roman"/>
        <w:sz w:val="16"/>
        <w:szCs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4E1608"/>
    <w:multiLevelType w:val="hybridMultilevel"/>
    <w:tmpl w:val="69927B08"/>
    <w:lvl w:ilvl="0" w:tplc="4FDAE2A4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6AB734ED"/>
    <w:multiLevelType w:val="hybridMultilevel"/>
    <w:tmpl w:val="9B14C3F8"/>
    <w:lvl w:ilvl="0" w:tplc="D39CA72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6B0D2B9D"/>
    <w:multiLevelType w:val="multilevel"/>
    <w:tmpl w:val="36EE9760"/>
    <w:numStyleLink w:val="NumberedListNumberStart"/>
  </w:abstractNum>
  <w:abstractNum w:abstractNumId="28">
    <w:nsid w:val="6F7068C0"/>
    <w:multiLevelType w:val="hybridMultilevel"/>
    <w:tmpl w:val="E5C2D656"/>
    <w:lvl w:ilvl="0" w:tplc="546AFFE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6E456E"/>
    <w:multiLevelType w:val="hybridMultilevel"/>
    <w:tmpl w:val="58504C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F7C79"/>
    <w:multiLevelType w:val="hybridMultilevel"/>
    <w:tmpl w:val="429A7EB8"/>
    <w:lvl w:ilvl="0" w:tplc="FD788F62">
      <w:start w:val="2"/>
      <w:numFmt w:val="lowerLetter"/>
      <w:lvlText w:val="(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1">
    <w:nsid w:val="7889743F"/>
    <w:multiLevelType w:val="hybridMultilevel"/>
    <w:tmpl w:val="E348E4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3036F"/>
    <w:multiLevelType w:val="hybridMultilevel"/>
    <w:tmpl w:val="3D8C8DC4"/>
    <w:lvl w:ilvl="0" w:tplc="4B6CBFDE">
      <w:start w:val="4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7B5421A8"/>
    <w:multiLevelType w:val="hybridMultilevel"/>
    <w:tmpl w:val="06C89CBE"/>
    <w:lvl w:ilvl="0" w:tplc="EDD80D42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>
    <w:nsid w:val="7BB80754"/>
    <w:multiLevelType w:val="hybridMultilevel"/>
    <w:tmpl w:val="9640BC32"/>
    <w:lvl w:ilvl="0" w:tplc="20640730">
      <w:start w:val="1"/>
      <w:numFmt w:val="lowerRoman"/>
      <w:pStyle w:val="ReportsNoBulletsRoman"/>
      <w:lvlText w:val="(%1)"/>
      <w:lvlJc w:val="left"/>
      <w:pPr>
        <w:tabs>
          <w:tab w:val="num" w:pos="340"/>
        </w:tabs>
        <w:ind w:left="680" w:hanging="340"/>
      </w:pPr>
      <w:rPr>
        <w:rFonts w:ascii="Bliss Light" w:hAnsi="Bliss Light" w:hint="default"/>
        <w:sz w:val="16"/>
        <w:szCs w:val="16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F96941"/>
    <w:multiLevelType w:val="multilevel"/>
    <w:tmpl w:val="A65CA682"/>
    <w:styleLink w:val="BulletList"/>
    <w:lvl w:ilvl="0">
      <w:start w:val="1"/>
      <w:numFmt w:val="bullet"/>
      <w:lvlText w:val="·"/>
      <w:lvlJc w:val="left"/>
      <w:pPr>
        <w:tabs>
          <w:tab w:val="num" w:pos="113"/>
        </w:tabs>
        <w:ind w:left="113" w:hanging="113"/>
      </w:pPr>
      <w:rPr>
        <w:rFonts w:ascii="Bliss Bold" w:hAnsi="Bliss Bold" w:hint="default"/>
        <w:color w:val="auto"/>
        <w:sz w:val="24"/>
      </w:rPr>
    </w:lvl>
    <w:lvl w:ilvl="1">
      <w:start w:val="1"/>
      <w:numFmt w:val="bullet"/>
      <w:lvlText w:val="·"/>
      <w:lvlJc w:val="left"/>
      <w:pPr>
        <w:tabs>
          <w:tab w:val="num" w:pos="227"/>
        </w:tabs>
        <w:ind w:left="227" w:hanging="114"/>
      </w:pPr>
      <w:rPr>
        <w:rFonts w:ascii="Bliss Bold" w:hAnsi="Bliss Bold" w:hint="default"/>
        <w:color w:val="auto"/>
        <w:sz w:val="24"/>
      </w:rPr>
    </w:lvl>
    <w:lvl w:ilvl="2">
      <w:start w:val="1"/>
      <w:numFmt w:val="bullet"/>
      <w:lvlText w:val="·"/>
      <w:lvlJc w:val="left"/>
      <w:pPr>
        <w:tabs>
          <w:tab w:val="num" w:pos="340"/>
        </w:tabs>
        <w:ind w:left="340" w:hanging="113"/>
      </w:pPr>
      <w:rPr>
        <w:rFonts w:ascii="Bliss Bold" w:hAnsi="Bliss Bold" w:hint="default"/>
        <w:color w:val="auto"/>
        <w:sz w:val="24"/>
      </w:rPr>
    </w:lvl>
    <w:lvl w:ilvl="3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Bliss Bold" w:hAnsi="Bliss Bold" w:hint="default"/>
        <w:color w:val="auto"/>
        <w:sz w:val="22"/>
      </w:rPr>
    </w:lvl>
    <w:lvl w:ilvl="4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Bliss Bold" w:hAnsi="Bliss Bold" w:hint="default"/>
        <w:color w:val="auto"/>
      </w:rPr>
    </w:lvl>
    <w:lvl w:ilvl="5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Bliss Bold" w:hAnsi="Bliss Bold" w:hint="default"/>
        <w:color w:val="auto"/>
      </w:rPr>
    </w:lvl>
    <w:lvl w:ilvl="6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Bliss Bold" w:hAnsi="Bliss Bold" w:hint="default"/>
        <w:color w:val="auto"/>
      </w:rPr>
    </w:lvl>
    <w:lvl w:ilvl="7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Bliss Bold" w:hAnsi="Bliss Bold" w:hint="default"/>
        <w:color w:val="auto"/>
      </w:rPr>
    </w:lvl>
    <w:lvl w:ilvl="8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Bliss Bold" w:hAnsi="Bliss Bold" w:hint="default"/>
        <w:color w:val="auto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15"/>
  </w:num>
  <w:num w:numId="12">
    <w:abstractNumId w:val="27"/>
  </w:num>
  <w:num w:numId="13">
    <w:abstractNumId w:val="0"/>
  </w:num>
  <w:num w:numId="14">
    <w:abstractNumId w:val="25"/>
  </w:num>
  <w:num w:numId="15">
    <w:abstractNumId w:val="16"/>
  </w:num>
  <w:num w:numId="16">
    <w:abstractNumId w:val="30"/>
  </w:num>
  <w:num w:numId="17">
    <w:abstractNumId w:val="35"/>
  </w:num>
  <w:num w:numId="18">
    <w:abstractNumId w:val="9"/>
  </w:num>
  <w:num w:numId="19">
    <w:abstractNumId w:val="26"/>
  </w:num>
  <w:num w:numId="20">
    <w:abstractNumId w:val="20"/>
  </w:num>
  <w:num w:numId="21">
    <w:abstractNumId w:val="13"/>
  </w:num>
  <w:num w:numId="22">
    <w:abstractNumId w:val="32"/>
  </w:num>
  <w:num w:numId="23">
    <w:abstractNumId w:val="4"/>
  </w:num>
  <w:num w:numId="24">
    <w:abstractNumId w:val="28"/>
  </w:num>
  <w:num w:numId="25">
    <w:abstractNumId w:val="11"/>
  </w:num>
  <w:num w:numId="26">
    <w:abstractNumId w:val="5"/>
  </w:num>
  <w:num w:numId="27">
    <w:abstractNumId w:val="21"/>
  </w:num>
  <w:num w:numId="28">
    <w:abstractNumId w:val="33"/>
  </w:num>
  <w:num w:numId="29">
    <w:abstractNumId w:val="2"/>
  </w:num>
  <w:num w:numId="30">
    <w:abstractNumId w:val="14"/>
  </w:num>
  <w:num w:numId="31">
    <w:abstractNumId w:val="19"/>
  </w:num>
  <w:num w:numId="32">
    <w:abstractNumId w:val="8"/>
  </w:num>
  <w:num w:numId="33">
    <w:abstractNumId w:val="3"/>
  </w:num>
  <w:num w:numId="34">
    <w:abstractNumId w:val="23"/>
  </w:num>
  <w:num w:numId="35">
    <w:abstractNumId w:val="29"/>
  </w:num>
  <w:num w:numId="36">
    <w:abstractNumId w:val="12"/>
  </w:num>
  <w:num w:numId="37">
    <w:abstractNumId w:val="22"/>
  </w:num>
  <w:num w:numId="38">
    <w:abstractNumId w:val="10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1D"/>
    <w:rsid w:val="000133F0"/>
    <w:rsid w:val="000653D2"/>
    <w:rsid w:val="000654E2"/>
    <w:rsid w:val="00067CE0"/>
    <w:rsid w:val="000F11AB"/>
    <w:rsid w:val="00113348"/>
    <w:rsid w:val="001201B9"/>
    <w:rsid w:val="00127644"/>
    <w:rsid w:val="00136D7F"/>
    <w:rsid w:val="0017597D"/>
    <w:rsid w:val="00191379"/>
    <w:rsid w:val="001A4ECD"/>
    <w:rsid w:val="001C0017"/>
    <w:rsid w:val="00223A26"/>
    <w:rsid w:val="002956FC"/>
    <w:rsid w:val="00314812"/>
    <w:rsid w:val="00317813"/>
    <w:rsid w:val="00324A58"/>
    <w:rsid w:val="00340808"/>
    <w:rsid w:val="003B436A"/>
    <w:rsid w:val="003B67C8"/>
    <w:rsid w:val="00464CB3"/>
    <w:rsid w:val="00470E39"/>
    <w:rsid w:val="004A4F5A"/>
    <w:rsid w:val="004B19D4"/>
    <w:rsid w:val="004C54D7"/>
    <w:rsid w:val="004D5BA1"/>
    <w:rsid w:val="005012C5"/>
    <w:rsid w:val="005129D8"/>
    <w:rsid w:val="00530CC4"/>
    <w:rsid w:val="0053317A"/>
    <w:rsid w:val="00571DBB"/>
    <w:rsid w:val="00593192"/>
    <w:rsid w:val="005E5A29"/>
    <w:rsid w:val="006530CA"/>
    <w:rsid w:val="00662C16"/>
    <w:rsid w:val="00663926"/>
    <w:rsid w:val="0066686C"/>
    <w:rsid w:val="006839BC"/>
    <w:rsid w:val="0069189F"/>
    <w:rsid w:val="006A157C"/>
    <w:rsid w:val="006D3965"/>
    <w:rsid w:val="006D547C"/>
    <w:rsid w:val="00734A97"/>
    <w:rsid w:val="0075493D"/>
    <w:rsid w:val="00756C31"/>
    <w:rsid w:val="0079011D"/>
    <w:rsid w:val="007A1230"/>
    <w:rsid w:val="007A791F"/>
    <w:rsid w:val="007E5250"/>
    <w:rsid w:val="008660F9"/>
    <w:rsid w:val="008F239F"/>
    <w:rsid w:val="009624AE"/>
    <w:rsid w:val="00974390"/>
    <w:rsid w:val="00976D43"/>
    <w:rsid w:val="00997193"/>
    <w:rsid w:val="009A298E"/>
    <w:rsid w:val="009B29CB"/>
    <w:rsid w:val="009D584C"/>
    <w:rsid w:val="009E2E6B"/>
    <w:rsid w:val="00A4185F"/>
    <w:rsid w:val="00A543C1"/>
    <w:rsid w:val="00A826AB"/>
    <w:rsid w:val="00A90FBE"/>
    <w:rsid w:val="00AA1ADA"/>
    <w:rsid w:val="00AF2F13"/>
    <w:rsid w:val="00B00FE1"/>
    <w:rsid w:val="00B051B2"/>
    <w:rsid w:val="00B56630"/>
    <w:rsid w:val="00B6514A"/>
    <w:rsid w:val="00B65CDD"/>
    <w:rsid w:val="00B852CA"/>
    <w:rsid w:val="00B912DE"/>
    <w:rsid w:val="00BE1240"/>
    <w:rsid w:val="00BF2D9C"/>
    <w:rsid w:val="00C02D00"/>
    <w:rsid w:val="00C17935"/>
    <w:rsid w:val="00C266BF"/>
    <w:rsid w:val="00C77483"/>
    <w:rsid w:val="00C94690"/>
    <w:rsid w:val="00CF4536"/>
    <w:rsid w:val="00D26557"/>
    <w:rsid w:val="00D83C4D"/>
    <w:rsid w:val="00D851CF"/>
    <w:rsid w:val="00D96777"/>
    <w:rsid w:val="00DB40F6"/>
    <w:rsid w:val="00E23002"/>
    <w:rsid w:val="00E23B6E"/>
    <w:rsid w:val="00E439FC"/>
    <w:rsid w:val="00E65ED7"/>
    <w:rsid w:val="00EB0646"/>
    <w:rsid w:val="00EE131F"/>
    <w:rsid w:val="00F22FF6"/>
    <w:rsid w:val="00F4021D"/>
    <w:rsid w:val="00F46AB2"/>
    <w:rsid w:val="00F53FCD"/>
    <w:rsid w:val="00F644CF"/>
    <w:rsid w:val="00F65317"/>
    <w:rsid w:val="00F849EC"/>
    <w:rsid w:val="00FB4AC5"/>
    <w:rsid w:val="00FC20A1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portsNoBulletsalpha">
    <w:name w:val="Reports No Bullets (alpha)"/>
    <w:pPr>
      <w:numPr>
        <w:numId w:val="2"/>
      </w:numPr>
    </w:pPr>
    <w:rPr>
      <w:rFonts w:ascii="Bliss Light" w:hAnsi="Bliss Light"/>
      <w:sz w:val="16"/>
      <w:szCs w:val="16"/>
      <w:lang w:eastAsia="en-US" w:bidi="ar-SA"/>
    </w:rPr>
  </w:style>
  <w:style w:type="paragraph" w:customStyle="1" w:styleId="ReportsNormal">
    <w:name w:val="Reports Normal"/>
    <w:basedOn w:val="Normal"/>
    <w:pPr>
      <w:spacing w:after="160" w:line="240" w:lineRule="exact"/>
    </w:pPr>
    <w:rPr>
      <w:rFonts w:ascii="Bliss Light" w:hAnsi="Bliss Light"/>
      <w:sz w:val="16"/>
      <w:szCs w:val="24"/>
    </w:rPr>
  </w:style>
  <w:style w:type="paragraph" w:customStyle="1" w:styleId="ReportsNumberedBullets">
    <w:name w:val="Reports Numbered Bullets"/>
    <w:basedOn w:val="Normal"/>
    <w:pPr>
      <w:numPr>
        <w:numId w:val="4"/>
      </w:numPr>
      <w:spacing w:line="240" w:lineRule="exact"/>
    </w:pPr>
    <w:rPr>
      <w:rFonts w:ascii="Bliss Light" w:hAnsi="Bliss Light"/>
      <w:sz w:val="16"/>
      <w:szCs w:val="24"/>
    </w:rPr>
  </w:style>
  <w:style w:type="paragraph" w:customStyle="1" w:styleId="ReportsSubheading">
    <w:name w:val="Reports Subheading"/>
    <w:basedOn w:val="Normal"/>
    <w:link w:val="ReportsSubheadingChar"/>
    <w:pPr>
      <w:spacing w:line="240" w:lineRule="exact"/>
    </w:pPr>
    <w:rPr>
      <w:rFonts w:ascii="Bliss Bold" w:hAnsi="Bliss Bold"/>
      <w:sz w:val="16"/>
      <w:szCs w:val="24"/>
    </w:rPr>
  </w:style>
  <w:style w:type="paragraph" w:customStyle="1" w:styleId="ReportsNoBulletsRoman">
    <w:name w:val="Reports No Bullets (Roman)"/>
    <w:basedOn w:val="ReportsNoBulletsalpha"/>
    <w:pPr>
      <w:numPr>
        <w:numId w:val="6"/>
      </w:numPr>
    </w:pPr>
    <w:rPr>
      <w:lang w:eastAsia="en-GB"/>
    </w:rPr>
  </w:style>
  <w:style w:type="paragraph" w:customStyle="1" w:styleId="ReportsNumberedBulletsroman">
    <w:name w:val="Reports Numbered Bullets (roman)"/>
    <w:basedOn w:val="Normal"/>
    <w:rsid w:val="00324A58"/>
    <w:pPr>
      <w:numPr>
        <w:numId w:val="9"/>
      </w:numPr>
      <w:spacing w:line="240" w:lineRule="exact"/>
    </w:pPr>
    <w:rPr>
      <w:rFonts w:ascii="Bliss Light" w:hAnsi="Bliss Light" w:cs="Bliss Light"/>
      <w:sz w:val="16"/>
      <w:szCs w:val="16"/>
    </w:rPr>
  </w:style>
  <w:style w:type="character" w:customStyle="1" w:styleId="ReportsSubheadingChar">
    <w:name w:val="Reports Subheading Char"/>
    <w:link w:val="ReportsSubheading"/>
    <w:locked/>
    <w:rsid w:val="00324A58"/>
    <w:rPr>
      <w:rFonts w:ascii="Bliss Bold" w:hAnsi="Bliss Bold"/>
      <w:sz w:val="16"/>
      <w:szCs w:val="24"/>
      <w:lang w:val="en-GB" w:eastAsia="en-US" w:bidi="ar-SA"/>
    </w:rPr>
  </w:style>
  <w:style w:type="paragraph" w:customStyle="1" w:styleId="Singlelinebulletsspacing">
    <w:name w:val="Single line bullets spacing"/>
    <w:basedOn w:val="Normal"/>
    <w:rsid w:val="000F11AB"/>
    <w:pPr>
      <w:numPr>
        <w:numId w:val="13"/>
      </w:numPr>
      <w:tabs>
        <w:tab w:val="left" w:pos="680"/>
        <w:tab w:val="left" w:pos="1021"/>
        <w:tab w:val="right" w:pos="9639"/>
      </w:tabs>
      <w:spacing w:after="60" w:line="240" w:lineRule="exact"/>
    </w:pPr>
    <w:rPr>
      <w:rFonts w:ascii="Bliss Light" w:hAnsi="Bliss Light"/>
      <w:sz w:val="19"/>
      <w:szCs w:val="24"/>
    </w:rPr>
  </w:style>
  <w:style w:type="paragraph" w:customStyle="1" w:styleId="Subheading">
    <w:name w:val="Subheading"/>
    <w:next w:val="Normal"/>
    <w:link w:val="SubheadingChar"/>
    <w:rsid w:val="000F11AB"/>
    <w:pPr>
      <w:spacing w:after="60" w:line="260" w:lineRule="exact"/>
    </w:pPr>
    <w:rPr>
      <w:rFonts w:ascii="Bliss Light" w:hAnsi="Bliss Light"/>
      <w:color w:val="053A70"/>
      <w:sz w:val="22"/>
      <w:szCs w:val="24"/>
      <w:lang w:val="en-US" w:eastAsia="en-US" w:bidi="ar-SA"/>
    </w:rPr>
  </w:style>
  <w:style w:type="paragraph" w:customStyle="1" w:styleId="StyleLeft12mm">
    <w:name w:val="Style Left:  12 mm"/>
    <w:basedOn w:val="Normal"/>
    <w:rsid w:val="000F11AB"/>
    <w:pPr>
      <w:tabs>
        <w:tab w:val="left" w:pos="340"/>
        <w:tab w:val="left" w:pos="680"/>
        <w:tab w:val="left" w:pos="1021"/>
        <w:tab w:val="right" w:pos="9639"/>
      </w:tabs>
      <w:spacing w:line="240" w:lineRule="exact"/>
      <w:ind w:left="1020" w:hanging="340"/>
    </w:pPr>
    <w:rPr>
      <w:rFonts w:ascii="Bliss Light" w:hAnsi="Bliss Light"/>
      <w:sz w:val="19"/>
    </w:rPr>
  </w:style>
  <w:style w:type="numbering" w:customStyle="1" w:styleId="NumberedListNumberStart">
    <w:name w:val="Numbered List Number Start"/>
    <w:rsid w:val="000F11AB"/>
    <w:pPr>
      <w:numPr>
        <w:numId w:val="13"/>
      </w:numPr>
    </w:pPr>
  </w:style>
  <w:style w:type="numbering" w:customStyle="1" w:styleId="BulletList">
    <w:name w:val="Bullet List"/>
    <w:rsid w:val="00B00FE1"/>
    <w:pPr>
      <w:numPr>
        <w:numId w:val="17"/>
      </w:numPr>
    </w:pPr>
  </w:style>
  <w:style w:type="character" w:customStyle="1" w:styleId="SubheadingChar">
    <w:name w:val="Subheading Char"/>
    <w:link w:val="Subheading"/>
    <w:rsid w:val="00B00FE1"/>
    <w:rPr>
      <w:rFonts w:ascii="Bliss Light" w:hAnsi="Bliss Light"/>
      <w:color w:val="053A70"/>
      <w:sz w:val="22"/>
      <w:szCs w:val="24"/>
      <w:lang w:val="en-US" w:eastAsia="en-US" w:bidi="ar-SA"/>
    </w:rPr>
  </w:style>
  <w:style w:type="paragraph" w:customStyle="1" w:styleId="XBody">
    <w:name w:val="X Body"/>
    <w:basedOn w:val="Normal"/>
    <w:rsid w:val="004D5BA1"/>
    <w:pPr>
      <w:widowControl w:val="0"/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Bliss-Light" w:hAnsi="Bliss-Light"/>
      <w:color w:val="000000"/>
      <w:sz w:val="18"/>
      <w:lang w:eastAsia="en-GB"/>
    </w:rPr>
  </w:style>
  <w:style w:type="paragraph" w:customStyle="1" w:styleId="XSubheadblack">
    <w:name w:val="X Subhead (black)"/>
    <w:basedOn w:val="Normal"/>
    <w:rsid w:val="004D5BA1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Bliss-Bold" w:hAnsi="Bliss-Bold"/>
      <w:b/>
      <w:color w:val="000000"/>
      <w:sz w:val="16"/>
      <w:lang w:eastAsia="en-GB"/>
    </w:rPr>
  </w:style>
  <w:style w:type="paragraph" w:customStyle="1" w:styleId="Pa13">
    <w:name w:val="Pa13"/>
    <w:basedOn w:val="Normal"/>
    <w:next w:val="Normal"/>
    <w:rsid w:val="001C0017"/>
    <w:pPr>
      <w:autoSpaceDE w:val="0"/>
      <w:autoSpaceDN w:val="0"/>
      <w:adjustRightInd w:val="0"/>
      <w:spacing w:line="181" w:lineRule="atLeast"/>
    </w:pPr>
    <w:rPr>
      <w:rFonts w:ascii="Bliss" w:hAnsi="Bliss"/>
      <w:sz w:val="24"/>
      <w:szCs w:val="24"/>
      <w:lang w:eastAsia="en-GB"/>
    </w:rPr>
  </w:style>
  <w:style w:type="paragraph" w:customStyle="1" w:styleId="Pa42">
    <w:name w:val="Pa42"/>
    <w:basedOn w:val="Normal"/>
    <w:next w:val="Normal"/>
    <w:rsid w:val="001C0017"/>
    <w:pPr>
      <w:autoSpaceDE w:val="0"/>
      <w:autoSpaceDN w:val="0"/>
      <w:adjustRightInd w:val="0"/>
      <w:spacing w:line="181" w:lineRule="atLeast"/>
    </w:pPr>
    <w:rPr>
      <w:rFonts w:ascii="Bliss" w:hAnsi="Bliss"/>
      <w:sz w:val="24"/>
      <w:szCs w:val="24"/>
      <w:lang w:eastAsia="en-GB"/>
    </w:rPr>
  </w:style>
  <w:style w:type="paragraph" w:customStyle="1" w:styleId="Pa43">
    <w:name w:val="Pa43"/>
    <w:basedOn w:val="Normal"/>
    <w:next w:val="Normal"/>
    <w:rsid w:val="001C0017"/>
    <w:pPr>
      <w:autoSpaceDE w:val="0"/>
      <w:autoSpaceDN w:val="0"/>
      <w:adjustRightInd w:val="0"/>
      <w:spacing w:line="181" w:lineRule="atLeast"/>
    </w:pPr>
    <w:rPr>
      <w:rFonts w:ascii="Bliss" w:hAnsi="Bliss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1C0017"/>
    <w:pPr>
      <w:autoSpaceDE w:val="0"/>
      <w:autoSpaceDN w:val="0"/>
      <w:adjustRightInd w:val="0"/>
      <w:spacing w:line="161" w:lineRule="atLeast"/>
    </w:pPr>
    <w:rPr>
      <w:rFonts w:ascii="Bliss" w:hAnsi="Bliss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4021D"/>
    <w:pPr>
      <w:ind w:left="720"/>
    </w:pPr>
  </w:style>
  <w:style w:type="paragraph" w:styleId="Header">
    <w:name w:val="header"/>
    <w:basedOn w:val="Normal"/>
    <w:link w:val="HeaderChar"/>
    <w:rsid w:val="00067C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7CE0"/>
    <w:rPr>
      <w:lang w:eastAsia="en-US" w:bidi="ar-SA"/>
    </w:rPr>
  </w:style>
  <w:style w:type="paragraph" w:styleId="Footer">
    <w:name w:val="footer"/>
    <w:basedOn w:val="Normal"/>
    <w:link w:val="FooterChar"/>
    <w:rsid w:val="00067C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67CE0"/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portsNoBulletsalpha">
    <w:name w:val="Reports No Bullets (alpha)"/>
    <w:pPr>
      <w:numPr>
        <w:numId w:val="2"/>
      </w:numPr>
    </w:pPr>
    <w:rPr>
      <w:rFonts w:ascii="Bliss Light" w:hAnsi="Bliss Light"/>
      <w:sz w:val="16"/>
      <w:szCs w:val="16"/>
      <w:lang w:eastAsia="en-US" w:bidi="ar-SA"/>
    </w:rPr>
  </w:style>
  <w:style w:type="paragraph" w:customStyle="1" w:styleId="ReportsNormal">
    <w:name w:val="Reports Normal"/>
    <w:basedOn w:val="Normal"/>
    <w:pPr>
      <w:spacing w:after="160" w:line="240" w:lineRule="exact"/>
    </w:pPr>
    <w:rPr>
      <w:rFonts w:ascii="Bliss Light" w:hAnsi="Bliss Light"/>
      <w:sz w:val="16"/>
      <w:szCs w:val="24"/>
    </w:rPr>
  </w:style>
  <w:style w:type="paragraph" w:customStyle="1" w:styleId="ReportsNumberedBullets">
    <w:name w:val="Reports Numbered Bullets"/>
    <w:basedOn w:val="Normal"/>
    <w:pPr>
      <w:numPr>
        <w:numId w:val="4"/>
      </w:numPr>
      <w:spacing w:line="240" w:lineRule="exact"/>
    </w:pPr>
    <w:rPr>
      <w:rFonts w:ascii="Bliss Light" w:hAnsi="Bliss Light"/>
      <w:sz w:val="16"/>
      <w:szCs w:val="24"/>
    </w:rPr>
  </w:style>
  <w:style w:type="paragraph" w:customStyle="1" w:styleId="ReportsSubheading">
    <w:name w:val="Reports Subheading"/>
    <w:basedOn w:val="Normal"/>
    <w:link w:val="ReportsSubheadingChar"/>
    <w:pPr>
      <w:spacing w:line="240" w:lineRule="exact"/>
    </w:pPr>
    <w:rPr>
      <w:rFonts w:ascii="Bliss Bold" w:hAnsi="Bliss Bold"/>
      <w:sz w:val="16"/>
      <w:szCs w:val="24"/>
    </w:rPr>
  </w:style>
  <w:style w:type="paragraph" w:customStyle="1" w:styleId="ReportsNoBulletsRoman">
    <w:name w:val="Reports No Bullets (Roman)"/>
    <w:basedOn w:val="ReportsNoBulletsalpha"/>
    <w:pPr>
      <w:numPr>
        <w:numId w:val="6"/>
      </w:numPr>
    </w:pPr>
    <w:rPr>
      <w:lang w:eastAsia="en-GB"/>
    </w:rPr>
  </w:style>
  <w:style w:type="paragraph" w:customStyle="1" w:styleId="ReportsNumberedBulletsroman">
    <w:name w:val="Reports Numbered Bullets (roman)"/>
    <w:basedOn w:val="Normal"/>
    <w:rsid w:val="00324A58"/>
    <w:pPr>
      <w:numPr>
        <w:numId w:val="9"/>
      </w:numPr>
      <w:spacing w:line="240" w:lineRule="exact"/>
    </w:pPr>
    <w:rPr>
      <w:rFonts w:ascii="Bliss Light" w:hAnsi="Bliss Light" w:cs="Bliss Light"/>
      <w:sz w:val="16"/>
      <w:szCs w:val="16"/>
    </w:rPr>
  </w:style>
  <w:style w:type="character" w:customStyle="1" w:styleId="ReportsSubheadingChar">
    <w:name w:val="Reports Subheading Char"/>
    <w:link w:val="ReportsSubheading"/>
    <w:locked/>
    <w:rsid w:val="00324A58"/>
    <w:rPr>
      <w:rFonts w:ascii="Bliss Bold" w:hAnsi="Bliss Bold"/>
      <w:sz w:val="16"/>
      <w:szCs w:val="24"/>
      <w:lang w:val="en-GB" w:eastAsia="en-US" w:bidi="ar-SA"/>
    </w:rPr>
  </w:style>
  <w:style w:type="paragraph" w:customStyle="1" w:styleId="Singlelinebulletsspacing">
    <w:name w:val="Single line bullets spacing"/>
    <w:basedOn w:val="Normal"/>
    <w:rsid w:val="000F11AB"/>
    <w:pPr>
      <w:numPr>
        <w:numId w:val="13"/>
      </w:numPr>
      <w:tabs>
        <w:tab w:val="left" w:pos="680"/>
        <w:tab w:val="left" w:pos="1021"/>
        <w:tab w:val="right" w:pos="9639"/>
      </w:tabs>
      <w:spacing w:after="60" w:line="240" w:lineRule="exact"/>
    </w:pPr>
    <w:rPr>
      <w:rFonts w:ascii="Bliss Light" w:hAnsi="Bliss Light"/>
      <w:sz w:val="19"/>
      <w:szCs w:val="24"/>
    </w:rPr>
  </w:style>
  <w:style w:type="paragraph" w:customStyle="1" w:styleId="Subheading">
    <w:name w:val="Subheading"/>
    <w:next w:val="Normal"/>
    <w:link w:val="SubheadingChar"/>
    <w:rsid w:val="000F11AB"/>
    <w:pPr>
      <w:spacing w:after="60" w:line="260" w:lineRule="exact"/>
    </w:pPr>
    <w:rPr>
      <w:rFonts w:ascii="Bliss Light" w:hAnsi="Bliss Light"/>
      <w:color w:val="053A70"/>
      <w:sz w:val="22"/>
      <w:szCs w:val="24"/>
      <w:lang w:val="en-US" w:eastAsia="en-US" w:bidi="ar-SA"/>
    </w:rPr>
  </w:style>
  <w:style w:type="paragraph" w:customStyle="1" w:styleId="StyleLeft12mm">
    <w:name w:val="Style Left:  12 mm"/>
    <w:basedOn w:val="Normal"/>
    <w:rsid w:val="000F11AB"/>
    <w:pPr>
      <w:tabs>
        <w:tab w:val="left" w:pos="340"/>
        <w:tab w:val="left" w:pos="680"/>
        <w:tab w:val="left" w:pos="1021"/>
        <w:tab w:val="right" w:pos="9639"/>
      </w:tabs>
      <w:spacing w:line="240" w:lineRule="exact"/>
      <w:ind w:left="1020" w:hanging="340"/>
    </w:pPr>
    <w:rPr>
      <w:rFonts w:ascii="Bliss Light" w:hAnsi="Bliss Light"/>
      <w:sz w:val="19"/>
    </w:rPr>
  </w:style>
  <w:style w:type="numbering" w:customStyle="1" w:styleId="NumberedListNumberStart">
    <w:name w:val="Numbered List Number Start"/>
    <w:rsid w:val="000F11AB"/>
    <w:pPr>
      <w:numPr>
        <w:numId w:val="13"/>
      </w:numPr>
    </w:pPr>
  </w:style>
  <w:style w:type="numbering" w:customStyle="1" w:styleId="BulletList">
    <w:name w:val="Bullet List"/>
    <w:rsid w:val="00B00FE1"/>
    <w:pPr>
      <w:numPr>
        <w:numId w:val="17"/>
      </w:numPr>
    </w:pPr>
  </w:style>
  <w:style w:type="character" w:customStyle="1" w:styleId="SubheadingChar">
    <w:name w:val="Subheading Char"/>
    <w:link w:val="Subheading"/>
    <w:rsid w:val="00B00FE1"/>
    <w:rPr>
      <w:rFonts w:ascii="Bliss Light" w:hAnsi="Bliss Light"/>
      <w:color w:val="053A70"/>
      <w:sz w:val="22"/>
      <w:szCs w:val="24"/>
      <w:lang w:val="en-US" w:eastAsia="en-US" w:bidi="ar-SA"/>
    </w:rPr>
  </w:style>
  <w:style w:type="paragraph" w:customStyle="1" w:styleId="XBody">
    <w:name w:val="X Body"/>
    <w:basedOn w:val="Normal"/>
    <w:rsid w:val="004D5BA1"/>
    <w:pPr>
      <w:widowControl w:val="0"/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Bliss-Light" w:hAnsi="Bliss-Light"/>
      <w:color w:val="000000"/>
      <w:sz w:val="18"/>
      <w:lang w:eastAsia="en-GB"/>
    </w:rPr>
  </w:style>
  <w:style w:type="paragraph" w:customStyle="1" w:styleId="XSubheadblack">
    <w:name w:val="X Subhead (black)"/>
    <w:basedOn w:val="Normal"/>
    <w:rsid w:val="004D5BA1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Bliss-Bold" w:hAnsi="Bliss-Bold"/>
      <w:b/>
      <w:color w:val="000000"/>
      <w:sz w:val="16"/>
      <w:lang w:eastAsia="en-GB"/>
    </w:rPr>
  </w:style>
  <w:style w:type="paragraph" w:customStyle="1" w:styleId="Pa13">
    <w:name w:val="Pa13"/>
    <w:basedOn w:val="Normal"/>
    <w:next w:val="Normal"/>
    <w:rsid w:val="001C0017"/>
    <w:pPr>
      <w:autoSpaceDE w:val="0"/>
      <w:autoSpaceDN w:val="0"/>
      <w:adjustRightInd w:val="0"/>
      <w:spacing w:line="181" w:lineRule="atLeast"/>
    </w:pPr>
    <w:rPr>
      <w:rFonts w:ascii="Bliss" w:hAnsi="Bliss"/>
      <w:sz w:val="24"/>
      <w:szCs w:val="24"/>
      <w:lang w:eastAsia="en-GB"/>
    </w:rPr>
  </w:style>
  <w:style w:type="paragraph" w:customStyle="1" w:styleId="Pa42">
    <w:name w:val="Pa42"/>
    <w:basedOn w:val="Normal"/>
    <w:next w:val="Normal"/>
    <w:rsid w:val="001C0017"/>
    <w:pPr>
      <w:autoSpaceDE w:val="0"/>
      <w:autoSpaceDN w:val="0"/>
      <w:adjustRightInd w:val="0"/>
      <w:spacing w:line="181" w:lineRule="atLeast"/>
    </w:pPr>
    <w:rPr>
      <w:rFonts w:ascii="Bliss" w:hAnsi="Bliss"/>
      <w:sz w:val="24"/>
      <w:szCs w:val="24"/>
      <w:lang w:eastAsia="en-GB"/>
    </w:rPr>
  </w:style>
  <w:style w:type="paragraph" w:customStyle="1" w:styleId="Pa43">
    <w:name w:val="Pa43"/>
    <w:basedOn w:val="Normal"/>
    <w:next w:val="Normal"/>
    <w:rsid w:val="001C0017"/>
    <w:pPr>
      <w:autoSpaceDE w:val="0"/>
      <w:autoSpaceDN w:val="0"/>
      <w:adjustRightInd w:val="0"/>
      <w:spacing w:line="181" w:lineRule="atLeast"/>
    </w:pPr>
    <w:rPr>
      <w:rFonts w:ascii="Bliss" w:hAnsi="Bliss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1C0017"/>
    <w:pPr>
      <w:autoSpaceDE w:val="0"/>
      <w:autoSpaceDN w:val="0"/>
      <w:adjustRightInd w:val="0"/>
      <w:spacing w:line="161" w:lineRule="atLeast"/>
    </w:pPr>
    <w:rPr>
      <w:rFonts w:ascii="Bliss" w:hAnsi="Bliss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4021D"/>
    <w:pPr>
      <w:ind w:left="720"/>
    </w:pPr>
  </w:style>
  <w:style w:type="paragraph" w:styleId="Header">
    <w:name w:val="header"/>
    <w:basedOn w:val="Normal"/>
    <w:link w:val="HeaderChar"/>
    <w:rsid w:val="00067C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7CE0"/>
    <w:rPr>
      <w:lang w:eastAsia="en-US" w:bidi="ar-SA"/>
    </w:rPr>
  </w:style>
  <w:style w:type="paragraph" w:styleId="Footer">
    <w:name w:val="footer"/>
    <w:basedOn w:val="Normal"/>
    <w:link w:val="FooterChar"/>
    <w:rsid w:val="00067C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67CE0"/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DUNEDIN SMALLER COMPANIES INVESTMENT TRUST PLC</vt:lpstr>
    </vt:vector>
  </TitlesOfParts>
  <Company>Edinburgh Fund Managers PLC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DUNEDIN SMALLER COMPANIES INVESTMENT TRUST PLC</dc:title>
  <dc:creator>Grace Holland</dc:creator>
  <cp:lastModifiedBy>Kerry Higgins</cp:lastModifiedBy>
  <cp:revision>5</cp:revision>
  <cp:lastPrinted>2021-02-04T15:23:00Z</cp:lastPrinted>
  <dcterms:created xsi:type="dcterms:W3CDTF">2022-01-31T11:25:00Z</dcterms:created>
  <dcterms:modified xsi:type="dcterms:W3CDTF">2022-02-04T15:55:00Z</dcterms:modified>
</cp:coreProperties>
</file>