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1F" w:rsidRPr="00607D10" w:rsidRDefault="002E22AC">
      <w:pPr>
        <w:rPr>
          <w:rFonts w:ascii="Calibri" w:hAnsi="Calibri" w:cs="Arial"/>
          <w:b/>
          <w:color w:val="000000" w:themeColor="text1"/>
          <w:sz w:val="24"/>
          <w:szCs w:val="24"/>
        </w:rPr>
      </w:pPr>
      <w:r w:rsidRPr="00607D10">
        <w:rPr>
          <w:rFonts w:ascii="Calibri" w:hAnsi="Calibri" w:cs="Arial"/>
          <w:b/>
          <w:color w:val="000000" w:themeColor="text1"/>
          <w:sz w:val="24"/>
          <w:szCs w:val="24"/>
        </w:rPr>
        <w:t>COMPANY NUMBER:</w:t>
      </w:r>
      <w:r w:rsidR="00D97B9C" w:rsidRPr="00607D10">
        <w:rPr>
          <w:rFonts w:ascii="Calibri" w:hAnsi="Calibri" w:cs="Arial"/>
          <w:b/>
          <w:color w:val="000000" w:themeColor="text1"/>
          <w:sz w:val="24"/>
          <w:szCs w:val="24"/>
        </w:rPr>
        <w:t xml:space="preserve"> 01000403</w:t>
      </w:r>
    </w:p>
    <w:p w:rsidR="002E22AC" w:rsidRPr="006C0A9E" w:rsidRDefault="002E22AC">
      <w:pPr>
        <w:rPr>
          <w:rFonts w:ascii="Calibri" w:hAnsi="Calibri" w:cs="Arial"/>
          <w:b/>
          <w:color w:val="000000" w:themeColor="text1"/>
        </w:rPr>
      </w:pPr>
    </w:p>
    <w:p w:rsidR="002E22AC" w:rsidRPr="00607D10" w:rsidRDefault="002E22AC" w:rsidP="0005431E">
      <w:pPr>
        <w:spacing w:line="240" w:lineRule="auto"/>
        <w:jc w:val="center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607D10">
        <w:rPr>
          <w:rFonts w:ascii="Calibri" w:hAnsi="Calibri" w:cs="Arial"/>
          <w:b/>
          <w:color w:val="000000" w:themeColor="text1"/>
          <w:sz w:val="24"/>
          <w:szCs w:val="24"/>
        </w:rPr>
        <w:t>THE COMPANIES ACT 2006</w:t>
      </w:r>
    </w:p>
    <w:p w:rsidR="002E22AC" w:rsidRPr="00607D10" w:rsidRDefault="002E22AC" w:rsidP="0005431E">
      <w:pPr>
        <w:spacing w:line="240" w:lineRule="auto"/>
        <w:jc w:val="center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607D10">
        <w:rPr>
          <w:rFonts w:ascii="Calibri" w:hAnsi="Calibri" w:cs="Arial"/>
          <w:b/>
          <w:color w:val="000000" w:themeColor="text1"/>
          <w:sz w:val="24"/>
          <w:szCs w:val="24"/>
        </w:rPr>
        <w:t>COMPANY LIMITED BY SHARES</w:t>
      </w:r>
    </w:p>
    <w:p w:rsidR="002E22AC" w:rsidRPr="00607D10" w:rsidRDefault="002E22AC" w:rsidP="0005431E">
      <w:pPr>
        <w:spacing w:line="240" w:lineRule="auto"/>
        <w:jc w:val="center"/>
        <w:rPr>
          <w:rFonts w:ascii="Calibri" w:hAnsi="Calibri" w:cs="Arial"/>
          <w:b/>
          <w:i/>
          <w:color w:val="000000" w:themeColor="text1"/>
          <w:sz w:val="24"/>
          <w:szCs w:val="24"/>
        </w:rPr>
      </w:pPr>
      <w:r w:rsidRPr="00607D10">
        <w:rPr>
          <w:rFonts w:ascii="Calibri" w:hAnsi="Calibri" w:cs="Arial"/>
          <w:b/>
          <w:i/>
          <w:color w:val="000000" w:themeColor="text1"/>
          <w:sz w:val="24"/>
          <w:szCs w:val="24"/>
        </w:rPr>
        <w:t>SPECIAL RESOLUTIONS</w:t>
      </w:r>
    </w:p>
    <w:p w:rsidR="002E22AC" w:rsidRPr="00607D10" w:rsidRDefault="002E22AC" w:rsidP="0005431E">
      <w:pPr>
        <w:spacing w:line="240" w:lineRule="auto"/>
        <w:jc w:val="center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607D10">
        <w:rPr>
          <w:rFonts w:ascii="Calibri" w:hAnsi="Calibri" w:cs="Arial"/>
          <w:b/>
          <w:color w:val="000000" w:themeColor="text1"/>
          <w:sz w:val="24"/>
          <w:szCs w:val="24"/>
        </w:rPr>
        <w:t>OF</w:t>
      </w:r>
    </w:p>
    <w:p w:rsidR="002E22AC" w:rsidRPr="00607D10" w:rsidRDefault="002E22AC" w:rsidP="0005431E">
      <w:pPr>
        <w:spacing w:line="240" w:lineRule="auto"/>
        <w:jc w:val="center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607D10">
        <w:rPr>
          <w:rFonts w:ascii="Calibri" w:hAnsi="Calibri" w:cs="Arial"/>
          <w:b/>
          <w:color w:val="000000" w:themeColor="text1"/>
          <w:sz w:val="24"/>
          <w:szCs w:val="24"/>
        </w:rPr>
        <w:t>RATHBONE BROTHERS PLC</w:t>
      </w:r>
    </w:p>
    <w:p w:rsidR="002E22AC" w:rsidRPr="00607D10" w:rsidRDefault="001752AF" w:rsidP="0005431E">
      <w:pPr>
        <w:spacing w:line="240" w:lineRule="auto"/>
        <w:jc w:val="center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607D10">
        <w:rPr>
          <w:rFonts w:ascii="Calibri" w:hAnsi="Calibri" w:cs="Arial"/>
          <w:b/>
          <w:color w:val="000000" w:themeColor="text1"/>
          <w:sz w:val="24"/>
          <w:szCs w:val="24"/>
        </w:rPr>
        <w:t xml:space="preserve">Passed on </w:t>
      </w:r>
      <w:r w:rsidR="002A36FC" w:rsidRPr="00607D10">
        <w:rPr>
          <w:rFonts w:ascii="Calibri" w:hAnsi="Calibri" w:cs="Arial"/>
          <w:b/>
          <w:color w:val="000000" w:themeColor="text1"/>
          <w:sz w:val="24"/>
          <w:szCs w:val="24"/>
        </w:rPr>
        <w:t xml:space="preserve">7 </w:t>
      </w:r>
      <w:r w:rsidR="00731D64" w:rsidRPr="00607D10">
        <w:rPr>
          <w:rFonts w:ascii="Calibri" w:hAnsi="Calibri" w:cs="Arial"/>
          <w:b/>
          <w:color w:val="000000" w:themeColor="text1"/>
          <w:sz w:val="24"/>
          <w:szCs w:val="24"/>
        </w:rPr>
        <w:t>May 2020</w:t>
      </w:r>
    </w:p>
    <w:p w:rsidR="002E22AC" w:rsidRPr="003C66BB" w:rsidRDefault="002E22AC" w:rsidP="003C66B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Arial"/>
          <w:b/>
          <w:color w:val="000000" w:themeColor="text1"/>
          <w:u w:val="single"/>
        </w:rPr>
      </w:pPr>
      <w:r w:rsidRPr="003C66BB">
        <w:rPr>
          <w:rFonts w:ascii="Calibri" w:hAnsi="Calibri" w:cs="Arial"/>
          <w:b/>
          <w:color w:val="000000" w:themeColor="text1"/>
          <w:u w:val="single"/>
        </w:rPr>
        <w:t>Special resolutions</w:t>
      </w:r>
    </w:p>
    <w:p w:rsidR="002E22AC" w:rsidRPr="00607D10" w:rsidRDefault="002E22AC" w:rsidP="00607D1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Arial"/>
          <w:color w:val="000000" w:themeColor="text1"/>
        </w:rPr>
      </w:pPr>
      <w:r w:rsidRPr="00607D10">
        <w:rPr>
          <w:rFonts w:ascii="Calibri" w:hAnsi="Calibri" w:cs="Arial"/>
          <w:b/>
          <w:color w:val="000000" w:themeColor="text1"/>
        </w:rPr>
        <w:t xml:space="preserve">Power to </w:t>
      </w:r>
      <w:proofErr w:type="spellStart"/>
      <w:r w:rsidRPr="00607D10">
        <w:rPr>
          <w:rFonts w:ascii="Calibri" w:hAnsi="Calibri" w:cs="Arial"/>
          <w:b/>
          <w:color w:val="000000" w:themeColor="text1"/>
        </w:rPr>
        <w:t>disapply</w:t>
      </w:r>
      <w:proofErr w:type="spellEnd"/>
      <w:r w:rsidRPr="00607D10">
        <w:rPr>
          <w:rFonts w:ascii="Calibri" w:hAnsi="Calibri" w:cs="Arial"/>
          <w:b/>
          <w:color w:val="000000" w:themeColor="text1"/>
        </w:rPr>
        <w:t xml:space="preserve"> pre-emption rights</w:t>
      </w:r>
    </w:p>
    <w:p w:rsidR="00731D64" w:rsidRPr="006C0A9E" w:rsidRDefault="00731D64" w:rsidP="0005431E">
      <w:pPr>
        <w:spacing w:after="120" w:line="240" w:lineRule="exact"/>
        <w:ind w:left="567" w:hanging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</w:rPr>
        <w:t>16.</w:t>
      </w:r>
      <w:r w:rsidRPr="006C0A9E">
        <w:rPr>
          <w:rFonts w:ascii="Calibri" w:hAnsi="Calibri" w:cs="Arial"/>
          <w:color w:val="000000" w:themeColor="text1"/>
        </w:rPr>
        <w:tab/>
        <w:t>That,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subject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passing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resolution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15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notice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this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meeting,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directors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are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empowered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pursuant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sections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570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and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573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Companies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Act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2006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(‘the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Act’)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allot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equity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securities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(as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defined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section</w:t>
      </w:r>
      <w:r w:rsidRPr="006C0A9E">
        <w:rPr>
          <w:rFonts w:ascii="Calibri" w:hAnsi="Calibri" w:cs="Arial"/>
          <w:color w:val="000000" w:themeColor="text1"/>
          <w:spacing w:val="-13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560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Act)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for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cash,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pursuant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authority conferred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them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by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resolution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15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notice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this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meeting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way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sale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treasury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shares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as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if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section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561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that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Act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did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not </w:t>
      </w:r>
      <w:r w:rsidRPr="006C0A9E">
        <w:rPr>
          <w:rFonts w:ascii="Calibri" w:hAnsi="Calibri" w:cs="Arial"/>
          <w:color w:val="000000" w:themeColor="text1"/>
        </w:rPr>
        <w:t>apply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such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allotment,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provided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that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this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power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is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limited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to:</w:t>
      </w:r>
    </w:p>
    <w:p w:rsidR="00731D64" w:rsidRPr="006C0A9E" w:rsidRDefault="00731D64" w:rsidP="0005431E">
      <w:pPr>
        <w:pStyle w:val="ListParagraph"/>
        <w:numPr>
          <w:ilvl w:val="0"/>
          <w:numId w:val="4"/>
        </w:numPr>
        <w:spacing w:before="0" w:after="120" w:line="240" w:lineRule="exact"/>
        <w:ind w:left="1134" w:hanging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allotment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equity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securities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connection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with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rights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issue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open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offer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(each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as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referred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Listing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Rules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Financial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Conduct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Authority)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other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pre-emptive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offer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which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open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for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acceptance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for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period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determined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</w:rPr>
        <w:t>directors,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22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holders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ordinary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shares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on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register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on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fixed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record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date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proportion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to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their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holdings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ordinary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shares (and,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applicable,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holders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other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class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equity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security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accordance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with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rights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attached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such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class),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subject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to </w:t>
      </w:r>
      <w:r w:rsidRPr="006C0A9E">
        <w:rPr>
          <w:rFonts w:ascii="Calibri" w:hAnsi="Calibri" w:cs="Arial"/>
          <w:color w:val="000000" w:themeColor="text1"/>
          <w:spacing w:val="-4"/>
        </w:rPr>
        <w:t>such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exclusions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other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arrangements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as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directors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may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deem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necessary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expedient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relation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(</w:t>
      </w:r>
      <w:proofErr w:type="spellStart"/>
      <w:r w:rsidRPr="006C0A9E">
        <w:rPr>
          <w:rFonts w:ascii="Calibri" w:hAnsi="Calibri" w:cs="Arial"/>
          <w:color w:val="000000" w:themeColor="text1"/>
          <w:spacing w:val="-4"/>
        </w:rPr>
        <w:t>i</w:t>
      </w:r>
      <w:proofErr w:type="spellEnd"/>
      <w:r w:rsidRPr="006C0A9E">
        <w:rPr>
          <w:rFonts w:ascii="Calibri" w:hAnsi="Calibri" w:cs="Arial"/>
          <w:color w:val="000000" w:themeColor="text1"/>
          <w:spacing w:val="-4"/>
        </w:rPr>
        <w:t>)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fractions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such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securities, </w:t>
      </w:r>
      <w:r w:rsidR="007E0875" w:rsidRPr="006C0A9E">
        <w:rPr>
          <w:rFonts w:ascii="Calibri" w:hAnsi="Calibri" w:cs="Arial"/>
          <w:color w:val="000000" w:themeColor="text1"/>
          <w:spacing w:val="-6"/>
        </w:rPr>
        <w:t xml:space="preserve">(ii)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use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one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more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currencies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for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making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payments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respect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such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offer,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(iii)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such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shares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other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securities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being </w:t>
      </w:r>
      <w:r w:rsidRPr="006C0A9E">
        <w:rPr>
          <w:rFonts w:ascii="Calibri" w:hAnsi="Calibri" w:cs="Arial"/>
          <w:color w:val="000000" w:themeColor="text1"/>
        </w:rPr>
        <w:t>represented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by</w:t>
      </w:r>
      <w:r w:rsidRPr="006C0A9E">
        <w:rPr>
          <w:rFonts w:ascii="Calibri" w:hAnsi="Calibri" w:cs="Arial"/>
          <w:color w:val="000000" w:themeColor="text1"/>
          <w:spacing w:val="-22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depositary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receipts,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(iv)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treasury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shares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(v)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legal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practical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problems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arising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under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laws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of,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the </w:t>
      </w:r>
      <w:r w:rsidRPr="006C0A9E">
        <w:rPr>
          <w:rFonts w:ascii="Calibri" w:hAnsi="Calibri" w:cs="Arial"/>
          <w:color w:val="000000" w:themeColor="text1"/>
        </w:rPr>
        <w:t>requirements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22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regulatory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body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stock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exchange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in,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territory;</w:t>
      </w:r>
      <w:r w:rsidRPr="006C0A9E">
        <w:rPr>
          <w:rFonts w:ascii="Calibri" w:hAnsi="Calibri" w:cs="Arial"/>
          <w:color w:val="000000" w:themeColor="text1"/>
          <w:spacing w:val="-22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and</w:t>
      </w:r>
    </w:p>
    <w:p w:rsidR="00731D64" w:rsidRPr="006C0A9E" w:rsidRDefault="00731D64" w:rsidP="0005431E">
      <w:pPr>
        <w:pStyle w:val="ListParagraph"/>
        <w:numPr>
          <w:ilvl w:val="0"/>
          <w:numId w:val="4"/>
        </w:numPr>
        <w:spacing w:before="0" w:after="120" w:line="240" w:lineRule="exact"/>
        <w:ind w:left="1134" w:hanging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allotment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</w:rPr>
        <w:t xml:space="preserve">equity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securities </w:t>
      </w:r>
      <w:r w:rsidRPr="006C0A9E">
        <w:rPr>
          <w:rFonts w:ascii="Calibri" w:hAnsi="Calibri" w:cs="Arial"/>
          <w:color w:val="000000" w:themeColor="text1"/>
        </w:rPr>
        <w:t xml:space="preserve">(other than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pursuant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to </w:t>
      </w:r>
      <w:r w:rsidRPr="006C0A9E">
        <w:rPr>
          <w:rFonts w:ascii="Calibri" w:hAnsi="Calibri" w:cs="Arial"/>
          <w:color w:val="000000" w:themeColor="text1"/>
        </w:rPr>
        <w:t xml:space="preserve">paragraph </w:t>
      </w:r>
      <w:r w:rsidRPr="006C0A9E">
        <w:rPr>
          <w:rFonts w:ascii="Calibri" w:hAnsi="Calibri" w:cs="Arial"/>
          <w:color w:val="000000" w:themeColor="text1"/>
          <w:spacing w:val="-4"/>
        </w:rPr>
        <w:t>(</w:t>
      </w:r>
      <w:proofErr w:type="spellStart"/>
      <w:r w:rsidRPr="006C0A9E">
        <w:rPr>
          <w:rFonts w:ascii="Calibri" w:hAnsi="Calibri" w:cs="Arial"/>
          <w:color w:val="000000" w:themeColor="text1"/>
          <w:spacing w:val="-4"/>
        </w:rPr>
        <w:t>i</w:t>
      </w:r>
      <w:proofErr w:type="spellEnd"/>
      <w:r w:rsidRPr="006C0A9E">
        <w:rPr>
          <w:rFonts w:ascii="Calibri" w:hAnsi="Calibri" w:cs="Arial"/>
          <w:color w:val="000000" w:themeColor="text1"/>
          <w:spacing w:val="-4"/>
        </w:rPr>
        <w:t xml:space="preserve">) </w:t>
      </w:r>
      <w:r w:rsidRPr="006C0A9E">
        <w:rPr>
          <w:rFonts w:ascii="Calibri" w:hAnsi="Calibri" w:cs="Arial"/>
          <w:color w:val="000000" w:themeColor="text1"/>
        </w:rPr>
        <w:t xml:space="preserve">above)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up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to </w:t>
      </w:r>
      <w:r w:rsidRPr="006C0A9E">
        <w:rPr>
          <w:rFonts w:ascii="Calibri" w:hAnsi="Calibri" w:cs="Arial"/>
          <w:color w:val="000000" w:themeColor="text1"/>
        </w:rPr>
        <w:t xml:space="preserve">a maximum aggregate nominal amount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</w:rPr>
        <w:t>£141,000.</w:t>
      </w:r>
    </w:p>
    <w:p w:rsidR="00731D64" w:rsidRPr="006C0A9E" w:rsidRDefault="00731D64" w:rsidP="0005431E">
      <w:pPr>
        <w:spacing w:after="120" w:line="240" w:lineRule="exact"/>
        <w:ind w:left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power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given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this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resolution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shall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expire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revocation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expiry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(unless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renewed)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authority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granted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under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resolution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15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in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</w:rPr>
        <w:t xml:space="preserve">notice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</w:rPr>
        <w:t xml:space="preserve">this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meeting. Notwithstanding </w:t>
      </w:r>
      <w:r w:rsidRPr="006C0A9E">
        <w:rPr>
          <w:rFonts w:ascii="Calibri" w:hAnsi="Calibri" w:cs="Arial"/>
          <w:color w:val="000000" w:themeColor="text1"/>
        </w:rPr>
        <w:t xml:space="preserve">such expiry, the power shall still permit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company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to </w:t>
      </w:r>
      <w:r w:rsidRPr="006C0A9E">
        <w:rPr>
          <w:rFonts w:ascii="Calibri" w:hAnsi="Calibri" w:cs="Arial"/>
          <w:color w:val="000000" w:themeColor="text1"/>
        </w:rPr>
        <w:t xml:space="preserve">make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allotments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equity </w:t>
      </w:r>
      <w:r w:rsidRPr="006C0A9E">
        <w:rPr>
          <w:rFonts w:ascii="Calibri" w:hAnsi="Calibri" w:cs="Arial"/>
          <w:color w:val="000000" w:themeColor="text1"/>
        </w:rPr>
        <w:t>securities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respect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offers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agreements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made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before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such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expiry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which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would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might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require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equity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securities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allotted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 xml:space="preserve">after </w:t>
      </w:r>
      <w:r w:rsidRPr="006C0A9E">
        <w:rPr>
          <w:rFonts w:ascii="Calibri" w:hAnsi="Calibri" w:cs="Arial"/>
          <w:color w:val="000000" w:themeColor="text1"/>
          <w:spacing w:val="-4"/>
        </w:rPr>
        <w:t>such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expiry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and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directors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may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allot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equity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securities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under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such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offer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agreement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if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power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had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not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expired.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All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previous </w:t>
      </w:r>
      <w:r w:rsidRPr="006C0A9E">
        <w:rPr>
          <w:rFonts w:ascii="Calibri" w:hAnsi="Calibri" w:cs="Arial"/>
          <w:color w:val="000000" w:themeColor="text1"/>
        </w:rPr>
        <w:t>powers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under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sections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570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573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Act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are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revoked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without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prejudice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allotment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securities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pursuant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thereto.</w:t>
      </w:r>
    </w:p>
    <w:p w:rsidR="002E22AC" w:rsidRPr="006C0A9E" w:rsidRDefault="002E22AC" w:rsidP="002E22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 w:themeColor="text1"/>
        </w:rPr>
      </w:pPr>
    </w:p>
    <w:p w:rsidR="002E22AC" w:rsidRPr="006C0A9E" w:rsidRDefault="002E22AC" w:rsidP="0005431E">
      <w:pPr>
        <w:autoSpaceDE w:val="0"/>
        <w:autoSpaceDN w:val="0"/>
        <w:adjustRightInd w:val="0"/>
        <w:spacing w:after="120" w:line="240" w:lineRule="exact"/>
        <w:jc w:val="both"/>
        <w:rPr>
          <w:rFonts w:ascii="Calibri" w:hAnsi="Calibri" w:cs="Arial"/>
          <w:b/>
          <w:color w:val="000000" w:themeColor="text1"/>
        </w:rPr>
      </w:pPr>
      <w:r w:rsidRPr="006C0A9E">
        <w:rPr>
          <w:rFonts w:ascii="Calibri" w:hAnsi="Calibri" w:cs="Arial"/>
          <w:b/>
          <w:color w:val="000000" w:themeColor="text1"/>
        </w:rPr>
        <w:t xml:space="preserve">Additional power to </w:t>
      </w:r>
      <w:proofErr w:type="spellStart"/>
      <w:r w:rsidRPr="006C0A9E">
        <w:rPr>
          <w:rFonts w:ascii="Calibri" w:hAnsi="Calibri" w:cs="Arial"/>
          <w:b/>
          <w:color w:val="000000" w:themeColor="text1"/>
        </w:rPr>
        <w:t>disapply</w:t>
      </w:r>
      <w:proofErr w:type="spellEnd"/>
      <w:r w:rsidRPr="006C0A9E">
        <w:rPr>
          <w:rFonts w:ascii="Calibri" w:hAnsi="Calibri" w:cs="Arial"/>
          <w:b/>
          <w:color w:val="000000" w:themeColor="text1"/>
        </w:rPr>
        <w:t xml:space="preserve"> pre-emption rights in relation to acquisitions and specified capital investments</w:t>
      </w:r>
    </w:p>
    <w:p w:rsidR="00731D64" w:rsidRPr="006C0A9E" w:rsidRDefault="00731D64" w:rsidP="0005431E">
      <w:pPr>
        <w:spacing w:after="120" w:line="240" w:lineRule="exact"/>
        <w:ind w:left="567" w:hanging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</w:rPr>
        <w:t>17.</w:t>
      </w:r>
      <w:r w:rsidRPr="006C0A9E">
        <w:rPr>
          <w:rFonts w:ascii="Calibri" w:hAnsi="Calibri" w:cs="Arial"/>
          <w:color w:val="000000" w:themeColor="text1"/>
        </w:rPr>
        <w:tab/>
        <w:t>That,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subject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passing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resolution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15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notice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this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meeting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addition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power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contained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resolution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16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set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out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in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</w:rPr>
        <w:t xml:space="preserve">notice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</w:rPr>
        <w:t xml:space="preserve">this meeting,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</w:rPr>
        <w:t xml:space="preserve">directors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are </w:t>
      </w:r>
      <w:r w:rsidRPr="006C0A9E">
        <w:rPr>
          <w:rFonts w:ascii="Calibri" w:hAnsi="Calibri" w:cs="Arial"/>
          <w:color w:val="000000" w:themeColor="text1"/>
        </w:rPr>
        <w:t xml:space="preserve">empowered pursuant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to </w:t>
      </w:r>
      <w:r w:rsidRPr="006C0A9E">
        <w:rPr>
          <w:rFonts w:ascii="Calibri" w:hAnsi="Calibri" w:cs="Arial"/>
          <w:color w:val="000000" w:themeColor="text1"/>
        </w:rPr>
        <w:t xml:space="preserve">sections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570 and 573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</w:rPr>
        <w:t xml:space="preserve">Companies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Act </w:t>
      </w:r>
      <w:r w:rsidRPr="006C0A9E">
        <w:rPr>
          <w:rFonts w:ascii="Calibri" w:hAnsi="Calibri" w:cs="Arial"/>
          <w:color w:val="000000" w:themeColor="text1"/>
        </w:rPr>
        <w:t xml:space="preserve">2006 (‘the Act’)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to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allot </w:t>
      </w:r>
      <w:r w:rsidRPr="006C0A9E">
        <w:rPr>
          <w:rFonts w:ascii="Calibri" w:hAnsi="Calibri" w:cs="Arial"/>
          <w:color w:val="000000" w:themeColor="text1"/>
        </w:rPr>
        <w:t xml:space="preserve">equity securities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(as </w:t>
      </w:r>
      <w:r w:rsidRPr="006C0A9E">
        <w:rPr>
          <w:rFonts w:ascii="Calibri" w:hAnsi="Calibri" w:cs="Arial"/>
          <w:color w:val="000000" w:themeColor="text1"/>
        </w:rPr>
        <w:t xml:space="preserve">defined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in </w:t>
      </w:r>
      <w:r w:rsidRPr="006C0A9E">
        <w:rPr>
          <w:rFonts w:ascii="Calibri" w:hAnsi="Calibri" w:cs="Arial"/>
          <w:color w:val="000000" w:themeColor="text1"/>
        </w:rPr>
        <w:t xml:space="preserve">section 560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</w:rPr>
        <w:t xml:space="preserve">Act)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for </w:t>
      </w:r>
      <w:r w:rsidRPr="006C0A9E">
        <w:rPr>
          <w:rFonts w:ascii="Calibri" w:hAnsi="Calibri" w:cs="Arial"/>
          <w:color w:val="000000" w:themeColor="text1"/>
        </w:rPr>
        <w:t xml:space="preserve">cash,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pursuant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to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</w:rPr>
        <w:t xml:space="preserve">authority conferred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on </w:t>
      </w:r>
      <w:r w:rsidRPr="006C0A9E">
        <w:rPr>
          <w:rFonts w:ascii="Calibri" w:hAnsi="Calibri" w:cs="Arial"/>
          <w:color w:val="000000" w:themeColor="text1"/>
          <w:spacing w:val="-4"/>
        </w:rPr>
        <w:lastRenderedPageBreak/>
        <w:t xml:space="preserve">them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by </w:t>
      </w:r>
      <w:r w:rsidRPr="006C0A9E">
        <w:rPr>
          <w:rFonts w:ascii="Calibri" w:hAnsi="Calibri" w:cs="Arial"/>
          <w:color w:val="000000" w:themeColor="text1"/>
        </w:rPr>
        <w:t xml:space="preserve">resolution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15 in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</w:rPr>
        <w:t>notice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this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meeting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way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sale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treasury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shares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as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if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section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561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that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Act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did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not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apply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such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allotment,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provided</w:t>
      </w:r>
      <w:r w:rsidR="00B92D6D" w:rsidRPr="006C0A9E">
        <w:rPr>
          <w:rFonts w:ascii="Calibri" w:hAnsi="Calibri" w:cs="Arial"/>
          <w:color w:val="000000" w:themeColor="text1"/>
          <w:spacing w:val="-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that this power is:</w:t>
      </w:r>
    </w:p>
    <w:p w:rsidR="00731D64" w:rsidRPr="006C0A9E" w:rsidRDefault="00731D64" w:rsidP="0005431E">
      <w:pPr>
        <w:pStyle w:val="ListParagraph"/>
        <w:numPr>
          <w:ilvl w:val="0"/>
          <w:numId w:val="6"/>
        </w:numPr>
        <w:spacing w:before="0" w:after="120" w:line="240" w:lineRule="exact"/>
        <w:ind w:left="1134" w:hanging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</w:rPr>
        <w:t>limited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allotment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equity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securities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up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to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maximum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aggregate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nominal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amount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£141,000;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and</w:t>
      </w:r>
    </w:p>
    <w:p w:rsidR="00731D64" w:rsidRPr="006C0A9E" w:rsidRDefault="00731D64" w:rsidP="0005431E">
      <w:pPr>
        <w:pStyle w:val="ListParagraph"/>
        <w:numPr>
          <w:ilvl w:val="0"/>
          <w:numId w:val="6"/>
        </w:numPr>
        <w:spacing w:before="0" w:after="120" w:line="240" w:lineRule="exact"/>
        <w:ind w:left="1134" w:hanging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  <w:spacing w:val="-4"/>
        </w:rPr>
        <w:t>used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only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for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purposes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financing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(or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refinancing,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power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is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exercised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within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six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months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after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date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original </w:t>
      </w:r>
      <w:r w:rsidRPr="006C0A9E">
        <w:rPr>
          <w:rFonts w:ascii="Calibri" w:hAnsi="Calibri" w:cs="Arial"/>
          <w:color w:val="000000" w:themeColor="text1"/>
        </w:rPr>
        <w:t>transaction)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transaction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which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directors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determine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an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acquisition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other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capital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investment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kind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contemplated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by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Statement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Principles</w:t>
      </w:r>
      <w:r w:rsidRPr="006C0A9E">
        <w:rPr>
          <w:rFonts w:ascii="Calibri" w:hAnsi="Calibri" w:cs="Arial"/>
          <w:color w:val="000000" w:themeColor="text1"/>
          <w:spacing w:val="-22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on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proofErr w:type="spellStart"/>
      <w:r w:rsidRPr="006C0A9E">
        <w:rPr>
          <w:rFonts w:ascii="Calibri" w:hAnsi="Calibri" w:cs="Arial"/>
          <w:color w:val="000000" w:themeColor="text1"/>
        </w:rPr>
        <w:t>Disapplying</w:t>
      </w:r>
      <w:proofErr w:type="spellEnd"/>
      <w:r w:rsidRPr="006C0A9E">
        <w:rPr>
          <w:rFonts w:ascii="Calibri" w:hAnsi="Calibri" w:cs="Arial"/>
          <w:color w:val="000000" w:themeColor="text1"/>
          <w:spacing w:val="-22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Pre-Emption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Rights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most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recently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published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by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22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Pre-Emption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Group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prior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22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date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1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notice</w:t>
      </w:r>
      <w:r w:rsidRPr="006C0A9E">
        <w:rPr>
          <w:rFonts w:ascii="Calibri" w:hAnsi="Calibri" w:cs="Arial"/>
          <w:color w:val="000000" w:themeColor="text1"/>
          <w:spacing w:val="-12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this</w:t>
      </w:r>
      <w:r w:rsidRPr="006C0A9E">
        <w:rPr>
          <w:rFonts w:ascii="Calibri" w:hAnsi="Calibri" w:cs="Arial"/>
          <w:color w:val="000000" w:themeColor="text1"/>
          <w:spacing w:val="-1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meeting.</w:t>
      </w:r>
    </w:p>
    <w:p w:rsidR="002E22AC" w:rsidRPr="006C0A9E" w:rsidRDefault="00731D64" w:rsidP="0005431E">
      <w:pPr>
        <w:spacing w:after="120" w:line="240" w:lineRule="exact"/>
        <w:ind w:left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power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given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this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resolution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shall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expire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revocation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expiry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(unless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renewed)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authority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granted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under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resolution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15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notice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this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meeting.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Notwithstanding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such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expiry,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power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shall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permit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company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make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allotments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equity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securities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in </w:t>
      </w:r>
      <w:r w:rsidRPr="006C0A9E">
        <w:rPr>
          <w:rFonts w:ascii="Calibri" w:hAnsi="Calibri" w:cs="Arial"/>
          <w:color w:val="000000" w:themeColor="text1"/>
        </w:rPr>
        <w:t xml:space="preserve">respect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</w:rPr>
        <w:t xml:space="preserve">offers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or </w:t>
      </w:r>
      <w:r w:rsidRPr="006C0A9E">
        <w:rPr>
          <w:rFonts w:ascii="Calibri" w:hAnsi="Calibri" w:cs="Arial"/>
          <w:color w:val="000000" w:themeColor="text1"/>
        </w:rPr>
        <w:t xml:space="preserve">agreements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made </w:t>
      </w:r>
      <w:r w:rsidRPr="006C0A9E">
        <w:rPr>
          <w:rFonts w:ascii="Calibri" w:hAnsi="Calibri" w:cs="Arial"/>
          <w:color w:val="000000" w:themeColor="text1"/>
        </w:rPr>
        <w:t xml:space="preserve">before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such </w:t>
      </w:r>
      <w:r w:rsidRPr="006C0A9E">
        <w:rPr>
          <w:rFonts w:ascii="Calibri" w:hAnsi="Calibri" w:cs="Arial"/>
          <w:color w:val="000000" w:themeColor="text1"/>
        </w:rPr>
        <w:t xml:space="preserve">expiry which would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or </w:t>
      </w:r>
      <w:r w:rsidRPr="006C0A9E">
        <w:rPr>
          <w:rFonts w:ascii="Calibri" w:hAnsi="Calibri" w:cs="Arial"/>
          <w:color w:val="000000" w:themeColor="text1"/>
        </w:rPr>
        <w:t xml:space="preserve">might require equity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securities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to be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allotted </w:t>
      </w:r>
      <w:r w:rsidRPr="006C0A9E">
        <w:rPr>
          <w:rFonts w:ascii="Calibri" w:hAnsi="Calibri" w:cs="Arial"/>
          <w:color w:val="000000" w:themeColor="text1"/>
        </w:rPr>
        <w:t xml:space="preserve">after such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expiry </w:t>
      </w:r>
      <w:r w:rsidRPr="006C0A9E">
        <w:rPr>
          <w:rFonts w:ascii="Calibri" w:hAnsi="Calibri" w:cs="Arial"/>
          <w:color w:val="000000" w:themeColor="text1"/>
          <w:spacing w:val="-4"/>
        </w:rPr>
        <w:t>and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directors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may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allot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equity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securities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under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such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offer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or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agreement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power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had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not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expired.</w:t>
      </w:r>
    </w:p>
    <w:p w:rsidR="002E22AC" w:rsidRPr="006C0A9E" w:rsidRDefault="002E22AC" w:rsidP="0005431E">
      <w:pPr>
        <w:spacing w:after="120" w:line="240" w:lineRule="exact"/>
        <w:rPr>
          <w:rFonts w:ascii="Calibri" w:hAnsi="Calibri" w:cs="Arial"/>
          <w:color w:val="000000" w:themeColor="text1"/>
        </w:rPr>
      </w:pPr>
    </w:p>
    <w:p w:rsidR="002E22AC" w:rsidRPr="006C0A9E" w:rsidRDefault="002E22AC" w:rsidP="0005431E">
      <w:pPr>
        <w:autoSpaceDE w:val="0"/>
        <w:autoSpaceDN w:val="0"/>
        <w:adjustRightInd w:val="0"/>
        <w:spacing w:after="120" w:line="240" w:lineRule="exact"/>
        <w:ind w:left="709" w:hanging="709"/>
        <w:jc w:val="both"/>
        <w:rPr>
          <w:rFonts w:ascii="Calibri" w:hAnsi="Calibri" w:cs="Arial"/>
          <w:b/>
          <w:color w:val="000000" w:themeColor="text1"/>
        </w:rPr>
      </w:pPr>
      <w:r w:rsidRPr="006C0A9E">
        <w:rPr>
          <w:rFonts w:ascii="Calibri" w:hAnsi="Calibri" w:cs="Arial"/>
          <w:b/>
          <w:color w:val="000000" w:themeColor="text1"/>
        </w:rPr>
        <w:t xml:space="preserve">Authority to purchase </w:t>
      </w:r>
      <w:r w:rsidR="00B92D6D" w:rsidRPr="006C0A9E">
        <w:rPr>
          <w:rFonts w:ascii="Calibri" w:hAnsi="Calibri" w:cs="Arial"/>
          <w:b/>
          <w:color w:val="000000" w:themeColor="text1"/>
        </w:rPr>
        <w:t>own</w:t>
      </w:r>
      <w:r w:rsidRPr="006C0A9E">
        <w:rPr>
          <w:rFonts w:ascii="Calibri" w:hAnsi="Calibri" w:cs="Arial"/>
          <w:b/>
          <w:color w:val="000000" w:themeColor="text1"/>
        </w:rPr>
        <w:t xml:space="preserve"> shares</w:t>
      </w:r>
    </w:p>
    <w:p w:rsidR="00B92D6D" w:rsidRPr="006C0A9E" w:rsidRDefault="00B92D6D" w:rsidP="0005431E">
      <w:pPr>
        <w:pStyle w:val="ListParagraph"/>
        <w:numPr>
          <w:ilvl w:val="0"/>
          <w:numId w:val="8"/>
        </w:numPr>
        <w:spacing w:before="0" w:after="120" w:line="240" w:lineRule="exact"/>
        <w:ind w:left="567" w:right="252" w:hanging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  <w:spacing w:val="-5"/>
        </w:rPr>
        <w:t>That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directors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are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granted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pursuant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section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701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Companies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Act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2006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(‘the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Act’)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general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unconditional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authority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make </w:t>
      </w:r>
      <w:r w:rsidRPr="006C0A9E">
        <w:rPr>
          <w:rFonts w:ascii="Calibri" w:hAnsi="Calibri" w:cs="Arial"/>
          <w:color w:val="000000" w:themeColor="text1"/>
          <w:spacing w:val="-5"/>
        </w:rPr>
        <w:t>market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purchases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(as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defined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by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section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693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Act)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its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ordinary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shares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upon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subject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following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conditions:</w:t>
      </w:r>
    </w:p>
    <w:p w:rsidR="00B92D6D" w:rsidRPr="006C0A9E" w:rsidRDefault="00B92D6D" w:rsidP="00337ADF">
      <w:pPr>
        <w:pStyle w:val="ListParagraph"/>
        <w:numPr>
          <w:ilvl w:val="1"/>
          <w:numId w:val="2"/>
        </w:numPr>
        <w:spacing w:before="0" w:after="120" w:line="240" w:lineRule="exact"/>
        <w:ind w:left="1134" w:hanging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maximum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number</w:t>
      </w:r>
      <w:r w:rsidRPr="006C0A9E">
        <w:rPr>
          <w:rFonts w:ascii="Calibri" w:hAnsi="Calibri" w:cs="Arial"/>
          <w:color w:val="000000" w:themeColor="text1"/>
          <w:spacing w:val="-1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3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ordinary</w:t>
      </w:r>
      <w:r w:rsidRPr="006C0A9E">
        <w:rPr>
          <w:rFonts w:ascii="Calibri" w:hAnsi="Calibri" w:cs="Arial"/>
          <w:color w:val="000000" w:themeColor="text1"/>
          <w:spacing w:val="-1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shares</w:t>
      </w:r>
      <w:r w:rsidRPr="006C0A9E">
        <w:rPr>
          <w:rFonts w:ascii="Calibri" w:hAnsi="Calibri" w:cs="Arial"/>
          <w:color w:val="000000" w:themeColor="text1"/>
          <w:spacing w:val="-1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in</w:t>
      </w:r>
      <w:r w:rsidRPr="006C0A9E">
        <w:rPr>
          <w:rFonts w:ascii="Calibri" w:hAnsi="Calibri" w:cs="Arial"/>
          <w:color w:val="000000" w:themeColor="text1"/>
          <w:spacing w:val="-1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company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hereby</w:t>
      </w:r>
      <w:r w:rsidRPr="006C0A9E">
        <w:rPr>
          <w:rFonts w:ascii="Calibri" w:hAnsi="Calibri" w:cs="Arial"/>
          <w:color w:val="000000" w:themeColor="text1"/>
          <w:spacing w:val="-13"/>
        </w:rPr>
        <w:t xml:space="preserve"> </w:t>
      </w:r>
      <w:proofErr w:type="spellStart"/>
      <w:r w:rsidRPr="006C0A9E">
        <w:rPr>
          <w:rFonts w:ascii="Calibri" w:hAnsi="Calibri" w:cs="Arial"/>
          <w:color w:val="000000" w:themeColor="text1"/>
          <w:spacing w:val="-5"/>
        </w:rPr>
        <w:t>authorised</w:t>
      </w:r>
      <w:proofErr w:type="spellEnd"/>
      <w:r w:rsidRPr="006C0A9E">
        <w:rPr>
          <w:rFonts w:ascii="Calibri" w:hAnsi="Calibri" w:cs="Arial"/>
          <w:color w:val="000000" w:themeColor="text1"/>
          <w:spacing w:val="-13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be</w:t>
      </w:r>
      <w:r w:rsidRPr="006C0A9E">
        <w:rPr>
          <w:rFonts w:ascii="Calibri" w:hAnsi="Calibri" w:cs="Arial"/>
          <w:color w:val="000000" w:themeColor="text1"/>
          <w:spacing w:val="-13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acquired</w:t>
      </w:r>
      <w:r w:rsidRPr="006C0A9E">
        <w:rPr>
          <w:rFonts w:ascii="Calibri" w:hAnsi="Calibri" w:cs="Arial"/>
          <w:color w:val="000000" w:themeColor="text1"/>
          <w:spacing w:val="-13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is</w:t>
      </w:r>
      <w:r w:rsidRPr="006C0A9E">
        <w:rPr>
          <w:rFonts w:ascii="Calibri" w:hAnsi="Calibri" w:cs="Arial"/>
          <w:color w:val="000000" w:themeColor="text1"/>
          <w:spacing w:val="-13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2,820,000</w:t>
      </w:r>
      <w:r w:rsidRPr="006C0A9E">
        <w:rPr>
          <w:rFonts w:ascii="Calibri" w:hAnsi="Calibri" w:cs="Arial"/>
          <w:color w:val="000000" w:themeColor="text1"/>
          <w:spacing w:val="-13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shares;</w:t>
      </w:r>
    </w:p>
    <w:p w:rsidR="00B92D6D" w:rsidRPr="006C0A9E" w:rsidRDefault="00B92D6D" w:rsidP="00337ADF">
      <w:pPr>
        <w:pStyle w:val="ListParagraph"/>
        <w:numPr>
          <w:ilvl w:val="1"/>
          <w:numId w:val="2"/>
        </w:numPr>
        <w:spacing w:before="0" w:after="120" w:line="240" w:lineRule="exact"/>
        <w:ind w:left="1134" w:hanging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minimum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price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(exclusive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expenses)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which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may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be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paid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for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an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ordinary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share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its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nominal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value;</w:t>
      </w:r>
    </w:p>
    <w:p w:rsidR="00B92D6D" w:rsidRPr="006C0A9E" w:rsidRDefault="00B92D6D" w:rsidP="00337ADF">
      <w:pPr>
        <w:pStyle w:val="ListParagraph"/>
        <w:numPr>
          <w:ilvl w:val="1"/>
          <w:numId w:val="2"/>
        </w:numPr>
        <w:spacing w:before="0" w:after="120" w:line="240" w:lineRule="exact"/>
        <w:ind w:left="1134" w:hanging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  <w:spacing w:val="-5"/>
        </w:rPr>
        <w:t xml:space="preserve">maximum price which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may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be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paid for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an </w:t>
      </w:r>
      <w:r w:rsidRPr="006C0A9E">
        <w:rPr>
          <w:rFonts w:ascii="Calibri" w:hAnsi="Calibri" w:cs="Arial"/>
          <w:color w:val="000000" w:themeColor="text1"/>
          <w:spacing w:val="-5"/>
        </w:rPr>
        <w:t xml:space="preserve">ordinary share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is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  <w:spacing w:val="-5"/>
        </w:rPr>
        <w:t xml:space="preserve">higher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  <w:spacing w:val="-4"/>
        </w:rPr>
        <w:t>(</w:t>
      </w:r>
      <w:proofErr w:type="spellStart"/>
      <w:r w:rsidRPr="006C0A9E">
        <w:rPr>
          <w:rFonts w:ascii="Calibri" w:hAnsi="Calibri" w:cs="Arial"/>
          <w:color w:val="000000" w:themeColor="text1"/>
          <w:spacing w:val="-4"/>
        </w:rPr>
        <w:t>i</w:t>
      </w:r>
      <w:proofErr w:type="spellEnd"/>
      <w:r w:rsidRPr="006C0A9E">
        <w:rPr>
          <w:rFonts w:ascii="Calibri" w:hAnsi="Calibri" w:cs="Arial"/>
          <w:color w:val="000000" w:themeColor="text1"/>
          <w:spacing w:val="-4"/>
        </w:rPr>
        <w:t xml:space="preserve">) an </w:t>
      </w:r>
      <w:r w:rsidRPr="006C0A9E">
        <w:rPr>
          <w:rFonts w:ascii="Calibri" w:hAnsi="Calibri" w:cs="Arial"/>
          <w:color w:val="000000" w:themeColor="text1"/>
          <w:spacing w:val="-5"/>
        </w:rPr>
        <w:t xml:space="preserve">amount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equal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to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105%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  <w:spacing w:val="-5"/>
        </w:rPr>
        <w:t xml:space="preserve">average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  <w:spacing w:val="-5"/>
        </w:rPr>
        <w:t>the middle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market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quotations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for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an</w:t>
      </w:r>
      <w:r w:rsidRPr="006C0A9E">
        <w:rPr>
          <w:rFonts w:ascii="Calibri" w:hAnsi="Calibri" w:cs="Arial"/>
          <w:color w:val="000000" w:themeColor="text1"/>
          <w:spacing w:val="-22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ordinary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share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taken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from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London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Stock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Exchange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Daily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Official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List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for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21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five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business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days </w:t>
      </w:r>
      <w:r w:rsidRPr="006C0A9E">
        <w:rPr>
          <w:rFonts w:ascii="Calibri" w:hAnsi="Calibri" w:cs="Arial"/>
          <w:color w:val="000000" w:themeColor="text1"/>
          <w:spacing w:val="-5"/>
        </w:rPr>
        <w:t>immediately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preceding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day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on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which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share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is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purchased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(ii)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higher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price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last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independent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trade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and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 xml:space="preserve">the </w:t>
      </w:r>
      <w:r w:rsidRPr="006C0A9E">
        <w:rPr>
          <w:rFonts w:ascii="Calibri" w:hAnsi="Calibri" w:cs="Arial"/>
          <w:color w:val="000000" w:themeColor="text1"/>
          <w:spacing w:val="-5"/>
        </w:rPr>
        <w:t>highest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current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bid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on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London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Stock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Exchange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at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time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purchase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is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carried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out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(in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each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case,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exclusive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expenses);</w:t>
      </w:r>
      <w:r w:rsidRPr="006C0A9E">
        <w:rPr>
          <w:rFonts w:ascii="Calibri" w:hAnsi="Calibri" w:cs="Arial"/>
          <w:color w:val="000000" w:themeColor="text1"/>
          <w:spacing w:val="-12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and</w:t>
      </w:r>
    </w:p>
    <w:p w:rsidR="002E22AC" w:rsidRPr="006C0A9E" w:rsidRDefault="00B92D6D" w:rsidP="00337ADF">
      <w:pPr>
        <w:pStyle w:val="ListParagraph"/>
        <w:numPr>
          <w:ilvl w:val="1"/>
          <w:numId w:val="2"/>
        </w:numPr>
        <w:spacing w:before="0" w:after="120" w:line="240" w:lineRule="exact"/>
        <w:ind w:left="1134" w:hanging="567"/>
        <w:jc w:val="both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authority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hereby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conferred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shall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(unless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previously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renewed)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expire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at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close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business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on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30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June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2021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or,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if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earlier,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at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  <w:spacing w:val="-5"/>
        </w:rPr>
        <w:t>conclusion</w:t>
      </w:r>
      <w:r w:rsidRPr="006C0A9E">
        <w:rPr>
          <w:rFonts w:ascii="Calibri" w:hAnsi="Calibri" w:cs="Arial"/>
          <w:color w:val="000000" w:themeColor="text1"/>
          <w:spacing w:val="-15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the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company’s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next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annual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general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meeting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(or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adjournment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thereof)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after</w:t>
      </w:r>
      <w:r w:rsidRPr="006C0A9E">
        <w:rPr>
          <w:rFonts w:ascii="Calibri" w:hAnsi="Calibri" w:cs="Arial"/>
          <w:color w:val="000000" w:themeColor="text1"/>
          <w:spacing w:val="-13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3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passing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3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this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6"/>
        </w:rPr>
        <w:t>resolution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except</w:t>
      </w:r>
      <w:r w:rsidRPr="006C0A9E">
        <w:rPr>
          <w:rFonts w:ascii="Calibri" w:hAnsi="Calibri" w:cs="Arial"/>
          <w:color w:val="000000" w:themeColor="text1"/>
          <w:spacing w:val="-14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7"/>
        </w:rPr>
        <w:t xml:space="preserve">that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company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may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at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time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prior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to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expiry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such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authority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enter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into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</w:rPr>
        <w:t>a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contract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for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purchase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7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ordinary</w:t>
      </w:r>
      <w:r w:rsidRPr="006C0A9E">
        <w:rPr>
          <w:rFonts w:ascii="Calibri" w:hAnsi="Calibri" w:cs="Arial"/>
          <w:color w:val="000000" w:themeColor="text1"/>
          <w:spacing w:val="-16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shares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7"/>
        </w:rPr>
        <w:t xml:space="preserve">which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would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or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might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be </w:t>
      </w:r>
      <w:r w:rsidRPr="006C0A9E">
        <w:rPr>
          <w:rFonts w:ascii="Calibri" w:hAnsi="Calibri" w:cs="Arial"/>
          <w:color w:val="000000" w:themeColor="text1"/>
          <w:spacing w:val="-5"/>
        </w:rPr>
        <w:t xml:space="preserve">completed wholly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or </w:t>
      </w:r>
      <w:r w:rsidRPr="006C0A9E">
        <w:rPr>
          <w:rFonts w:ascii="Calibri" w:hAnsi="Calibri" w:cs="Arial"/>
          <w:color w:val="000000" w:themeColor="text1"/>
          <w:spacing w:val="-5"/>
        </w:rPr>
        <w:t xml:space="preserve">partly after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the </w:t>
      </w:r>
      <w:r w:rsidRPr="006C0A9E">
        <w:rPr>
          <w:rFonts w:ascii="Calibri" w:hAnsi="Calibri" w:cs="Arial"/>
          <w:color w:val="000000" w:themeColor="text1"/>
          <w:spacing w:val="-5"/>
        </w:rPr>
        <w:t xml:space="preserve">expiry </w:t>
      </w:r>
      <w:r w:rsidRPr="006C0A9E">
        <w:rPr>
          <w:rFonts w:ascii="Calibri" w:hAnsi="Calibri" w:cs="Arial"/>
          <w:color w:val="000000" w:themeColor="text1"/>
          <w:spacing w:val="-3"/>
        </w:rPr>
        <w:t xml:space="preserve">of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such </w:t>
      </w:r>
      <w:r w:rsidRPr="006C0A9E">
        <w:rPr>
          <w:rFonts w:ascii="Calibri" w:hAnsi="Calibri" w:cs="Arial"/>
          <w:color w:val="000000" w:themeColor="text1"/>
          <w:spacing w:val="-5"/>
        </w:rPr>
        <w:t xml:space="preserve">authority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and the </w:t>
      </w:r>
      <w:r w:rsidRPr="006C0A9E">
        <w:rPr>
          <w:rFonts w:ascii="Calibri" w:hAnsi="Calibri" w:cs="Arial"/>
          <w:color w:val="000000" w:themeColor="text1"/>
          <w:spacing w:val="-5"/>
        </w:rPr>
        <w:t xml:space="preserve">company </w:t>
      </w:r>
      <w:r w:rsidRPr="006C0A9E">
        <w:rPr>
          <w:rFonts w:ascii="Calibri" w:hAnsi="Calibri" w:cs="Arial"/>
          <w:color w:val="000000" w:themeColor="text1"/>
          <w:spacing w:val="-4"/>
        </w:rPr>
        <w:t xml:space="preserve">may </w:t>
      </w:r>
      <w:r w:rsidRPr="006C0A9E">
        <w:rPr>
          <w:rFonts w:ascii="Calibri" w:hAnsi="Calibri" w:cs="Arial"/>
          <w:color w:val="000000" w:themeColor="text1"/>
          <w:spacing w:val="-5"/>
        </w:rPr>
        <w:t xml:space="preserve">complete </w:t>
      </w:r>
      <w:r w:rsidRPr="006C0A9E">
        <w:rPr>
          <w:rFonts w:ascii="Calibri" w:hAnsi="Calibri" w:cs="Arial"/>
          <w:color w:val="000000" w:themeColor="text1"/>
        </w:rPr>
        <w:t xml:space="preserve">a </w:t>
      </w:r>
      <w:r w:rsidRPr="006C0A9E">
        <w:rPr>
          <w:rFonts w:ascii="Calibri" w:hAnsi="Calibri" w:cs="Arial"/>
          <w:color w:val="000000" w:themeColor="text1"/>
          <w:spacing w:val="-5"/>
        </w:rPr>
        <w:t>purchase of ordinary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shares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in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pursuance</w:t>
      </w:r>
      <w:r w:rsidRPr="006C0A9E">
        <w:rPr>
          <w:rFonts w:ascii="Calibri" w:hAnsi="Calibri" w:cs="Arial"/>
          <w:color w:val="000000" w:themeColor="text1"/>
          <w:spacing w:val="-20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of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any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such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contract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as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3"/>
        </w:rPr>
        <w:t>if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the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authority</w:t>
      </w:r>
      <w:r w:rsidRPr="006C0A9E">
        <w:rPr>
          <w:rFonts w:ascii="Calibri" w:hAnsi="Calibri" w:cs="Arial"/>
          <w:color w:val="000000" w:themeColor="text1"/>
          <w:spacing w:val="-18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had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4"/>
        </w:rPr>
        <w:t>not</w:t>
      </w:r>
      <w:r w:rsidRPr="006C0A9E">
        <w:rPr>
          <w:rFonts w:ascii="Calibri" w:hAnsi="Calibri" w:cs="Arial"/>
          <w:color w:val="000000" w:themeColor="text1"/>
          <w:spacing w:val="-19"/>
        </w:rPr>
        <w:t xml:space="preserve"> </w:t>
      </w:r>
      <w:r w:rsidRPr="006C0A9E">
        <w:rPr>
          <w:rFonts w:ascii="Calibri" w:hAnsi="Calibri" w:cs="Arial"/>
          <w:color w:val="000000" w:themeColor="text1"/>
          <w:spacing w:val="-5"/>
        </w:rPr>
        <w:t>expired.</w:t>
      </w:r>
    </w:p>
    <w:p w:rsidR="00B92D6D" w:rsidRPr="006C0A9E" w:rsidRDefault="00B92D6D" w:rsidP="0005431E">
      <w:pPr>
        <w:autoSpaceDE w:val="0"/>
        <w:autoSpaceDN w:val="0"/>
        <w:adjustRightInd w:val="0"/>
        <w:spacing w:after="120" w:line="240" w:lineRule="exact"/>
        <w:rPr>
          <w:rFonts w:ascii="Calibri" w:hAnsi="Calibri" w:cs="Arial"/>
          <w:color w:val="000000" w:themeColor="text1"/>
        </w:rPr>
      </w:pPr>
    </w:p>
    <w:p w:rsidR="002E22AC" w:rsidRPr="006C0A9E" w:rsidRDefault="002E22AC" w:rsidP="0005431E">
      <w:pPr>
        <w:autoSpaceDE w:val="0"/>
        <w:autoSpaceDN w:val="0"/>
        <w:adjustRightInd w:val="0"/>
        <w:spacing w:after="120" w:line="240" w:lineRule="exact"/>
        <w:rPr>
          <w:rFonts w:ascii="Calibri" w:hAnsi="Calibri" w:cs="Arial"/>
          <w:b/>
          <w:color w:val="000000" w:themeColor="text1"/>
        </w:rPr>
      </w:pPr>
      <w:r w:rsidRPr="006C0A9E">
        <w:rPr>
          <w:rFonts w:ascii="Calibri" w:hAnsi="Calibri" w:cs="Arial"/>
          <w:b/>
          <w:color w:val="000000" w:themeColor="text1"/>
        </w:rPr>
        <w:t>Authority for the convening of general meetings of the company on at least 14 clear days’ notice</w:t>
      </w:r>
    </w:p>
    <w:p w:rsidR="002E22AC" w:rsidRPr="0005431E" w:rsidRDefault="002E22AC" w:rsidP="00A329E5">
      <w:pPr>
        <w:pStyle w:val="ListParagraph"/>
        <w:numPr>
          <w:ilvl w:val="0"/>
          <w:numId w:val="8"/>
        </w:numPr>
        <w:adjustRightInd w:val="0"/>
        <w:spacing w:after="120" w:line="240" w:lineRule="exact"/>
        <w:ind w:left="567" w:hanging="567"/>
        <w:jc w:val="both"/>
        <w:rPr>
          <w:rFonts w:ascii="Calibri" w:hAnsi="Calibri" w:cs="Arial"/>
          <w:color w:val="000000" w:themeColor="text1"/>
        </w:rPr>
      </w:pPr>
      <w:r w:rsidRPr="0005431E">
        <w:rPr>
          <w:rFonts w:ascii="Calibri" w:hAnsi="Calibri" w:cs="Arial"/>
          <w:color w:val="000000" w:themeColor="text1"/>
        </w:rPr>
        <w:t>That any general meeting of the company, other than an annual general meeting, may be convened by the giving of not less than 14 clear days’ notice.</w:t>
      </w:r>
    </w:p>
    <w:p w:rsidR="0005431E" w:rsidRDefault="0005431E" w:rsidP="0005431E">
      <w:pPr>
        <w:pStyle w:val="ListParagraph"/>
        <w:adjustRightInd w:val="0"/>
        <w:spacing w:after="120" w:line="240" w:lineRule="exact"/>
        <w:ind w:left="720" w:firstLine="0"/>
        <w:jc w:val="both"/>
        <w:rPr>
          <w:rFonts w:ascii="Calibri" w:hAnsi="Calibri" w:cs="Arial"/>
          <w:color w:val="000000" w:themeColor="text1"/>
        </w:rPr>
      </w:pPr>
    </w:p>
    <w:p w:rsidR="000D69F6" w:rsidRDefault="000D69F6" w:rsidP="00D97B9C">
      <w:pPr>
        <w:spacing w:after="0"/>
        <w:rPr>
          <w:rFonts w:ascii="Calibri" w:hAnsi="Calibri" w:cs="Arial"/>
          <w:color w:val="000000" w:themeColor="text1"/>
        </w:rPr>
      </w:pPr>
    </w:p>
    <w:p w:rsidR="000D69F6" w:rsidRDefault="000D69F6" w:rsidP="00D97B9C">
      <w:pPr>
        <w:spacing w:after="0"/>
        <w:rPr>
          <w:rFonts w:ascii="Calibri" w:hAnsi="Calibri" w:cs="Arial"/>
          <w:color w:val="000000" w:themeColor="text1"/>
        </w:rPr>
      </w:pPr>
    </w:p>
    <w:p w:rsidR="00D97B9C" w:rsidRPr="006C0A9E" w:rsidRDefault="00D97B9C" w:rsidP="00D97B9C">
      <w:pPr>
        <w:spacing w:after="0"/>
        <w:rPr>
          <w:rFonts w:ascii="Calibri" w:hAnsi="Calibri" w:cs="Arial"/>
          <w:color w:val="000000" w:themeColor="text1"/>
        </w:rPr>
      </w:pPr>
      <w:bookmarkStart w:id="0" w:name="_GoBack"/>
      <w:bookmarkEnd w:id="0"/>
      <w:r w:rsidRPr="006C0A9E">
        <w:rPr>
          <w:rFonts w:ascii="Calibri" w:hAnsi="Calibri" w:cs="Arial"/>
          <w:color w:val="000000" w:themeColor="text1"/>
        </w:rPr>
        <w:t>Ali Johnson</w:t>
      </w:r>
    </w:p>
    <w:p w:rsidR="00D97B9C" w:rsidRPr="006C0A9E" w:rsidRDefault="00D97B9C" w:rsidP="00D97B9C">
      <w:pPr>
        <w:spacing w:after="0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</w:rPr>
        <w:t>Company Secretary</w:t>
      </w:r>
    </w:p>
    <w:p w:rsidR="006C0A9E" w:rsidRPr="006C0A9E" w:rsidRDefault="006C0A9E" w:rsidP="00D97B9C">
      <w:pPr>
        <w:spacing w:after="0"/>
        <w:rPr>
          <w:rFonts w:ascii="Calibri" w:hAnsi="Calibri" w:cs="Arial"/>
          <w:color w:val="000000" w:themeColor="text1"/>
        </w:rPr>
      </w:pPr>
      <w:r w:rsidRPr="006C0A9E">
        <w:rPr>
          <w:rFonts w:ascii="Calibri" w:hAnsi="Calibri" w:cs="Arial"/>
          <w:color w:val="000000" w:themeColor="text1"/>
        </w:rPr>
        <w:t>Registered office: Rathbone Brothers Plc, 8 Finsbury Circus, London, EC2M 7AZ</w:t>
      </w:r>
    </w:p>
    <w:sectPr w:rsidR="006C0A9E" w:rsidRPr="006C0A9E" w:rsidSect="006C0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481" w:rsidRDefault="00FE7481" w:rsidP="001752AF">
      <w:pPr>
        <w:spacing w:after="0" w:line="240" w:lineRule="auto"/>
      </w:pPr>
      <w:r>
        <w:separator/>
      </w:r>
    </w:p>
  </w:endnote>
  <w:endnote w:type="continuationSeparator" w:id="0">
    <w:p w:rsidR="00FE7481" w:rsidRDefault="00FE7481" w:rsidP="0017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81" w:rsidRDefault="00FE74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81" w:rsidRDefault="00FE74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81" w:rsidRDefault="00FE74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481" w:rsidRDefault="00FE7481" w:rsidP="001752AF">
      <w:pPr>
        <w:spacing w:after="0" w:line="240" w:lineRule="auto"/>
      </w:pPr>
      <w:r>
        <w:separator/>
      </w:r>
    </w:p>
  </w:footnote>
  <w:footnote w:type="continuationSeparator" w:id="0">
    <w:p w:rsidR="00FE7481" w:rsidRDefault="00FE7481" w:rsidP="0017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81" w:rsidRDefault="00FE74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81" w:rsidRDefault="00FE74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81" w:rsidRDefault="00FE74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27049"/>
    <w:multiLevelType w:val="hybridMultilevel"/>
    <w:tmpl w:val="4DEA94C8"/>
    <w:lvl w:ilvl="0" w:tplc="75303D1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226A7"/>
    <w:multiLevelType w:val="hybridMultilevel"/>
    <w:tmpl w:val="3F1806A8"/>
    <w:lvl w:ilvl="0" w:tplc="D3B2F5B8">
      <w:start w:val="1"/>
      <w:numFmt w:val="decimal"/>
      <w:lvlText w:val="%1."/>
      <w:lvlJc w:val="left"/>
      <w:pPr>
        <w:ind w:left="450" w:hanging="340"/>
        <w:jc w:val="left"/>
      </w:pPr>
      <w:rPr>
        <w:rFonts w:hint="default"/>
        <w:spacing w:val="-6"/>
        <w:w w:val="84"/>
      </w:rPr>
    </w:lvl>
    <w:lvl w:ilvl="1" w:tplc="4CB05ECA">
      <w:start w:val="1"/>
      <w:numFmt w:val="lowerLetter"/>
      <w:lvlText w:val="(%2)"/>
      <w:lvlJc w:val="left"/>
      <w:pPr>
        <w:ind w:left="801" w:hanging="360"/>
        <w:jc w:val="left"/>
      </w:pPr>
      <w:rPr>
        <w:rFonts w:hint="default"/>
        <w:spacing w:val="-6"/>
        <w:w w:val="96"/>
      </w:rPr>
    </w:lvl>
    <w:lvl w:ilvl="2" w:tplc="C3F87752">
      <w:numFmt w:val="bullet"/>
      <w:lvlText w:val="•"/>
      <w:lvlJc w:val="left"/>
      <w:pPr>
        <w:ind w:left="1901" w:hanging="360"/>
      </w:pPr>
      <w:rPr>
        <w:rFonts w:hint="default"/>
      </w:rPr>
    </w:lvl>
    <w:lvl w:ilvl="3" w:tplc="F492358E">
      <w:numFmt w:val="bullet"/>
      <w:lvlText w:val="•"/>
      <w:lvlJc w:val="left"/>
      <w:pPr>
        <w:ind w:left="3002" w:hanging="360"/>
      </w:pPr>
      <w:rPr>
        <w:rFonts w:hint="default"/>
      </w:rPr>
    </w:lvl>
    <w:lvl w:ilvl="4" w:tplc="F5323CC4">
      <w:numFmt w:val="bullet"/>
      <w:lvlText w:val="•"/>
      <w:lvlJc w:val="left"/>
      <w:pPr>
        <w:ind w:left="4104" w:hanging="360"/>
      </w:pPr>
      <w:rPr>
        <w:rFonts w:hint="default"/>
      </w:rPr>
    </w:lvl>
    <w:lvl w:ilvl="5" w:tplc="9E521BD4">
      <w:numFmt w:val="bullet"/>
      <w:lvlText w:val="•"/>
      <w:lvlJc w:val="left"/>
      <w:pPr>
        <w:ind w:left="5205" w:hanging="360"/>
      </w:pPr>
      <w:rPr>
        <w:rFonts w:hint="default"/>
      </w:rPr>
    </w:lvl>
    <w:lvl w:ilvl="6" w:tplc="E6F60686">
      <w:numFmt w:val="bullet"/>
      <w:lvlText w:val="•"/>
      <w:lvlJc w:val="left"/>
      <w:pPr>
        <w:ind w:left="6306" w:hanging="360"/>
      </w:pPr>
      <w:rPr>
        <w:rFonts w:hint="default"/>
      </w:rPr>
    </w:lvl>
    <w:lvl w:ilvl="7" w:tplc="AF9EC394">
      <w:numFmt w:val="bullet"/>
      <w:lvlText w:val="•"/>
      <w:lvlJc w:val="left"/>
      <w:pPr>
        <w:ind w:left="7408" w:hanging="360"/>
      </w:pPr>
      <w:rPr>
        <w:rFonts w:hint="default"/>
      </w:rPr>
    </w:lvl>
    <w:lvl w:ilvl="8" w:tplc="B6F8E6FE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2" w15:restartNumberingAfterBreak="0">
    <w:nsid w:val="65041987"/>
    <w:multiLevelType w:val="hybridMultilevel"/>
    <w:tmpl w:val="027A46AE"/>
    <w:lvl w:ilvl="0" w:tplc="0D96AB3A">
      <w:start w:val="1"/>
      <w:numFmt w:val="lowerRoman"/>
      <w:lvlText w:val="(%1)"/>
      <w:lvlJc w:val="left"/>
      <w:pPr>
        <w:ind w:left="1928" w:hanging="341"/>
        <w:jc w:val="right"/>
      </w:pPr>
      <w:rPr>
        <w:rFonts w:ascii="Book Antiqua" w:eastAsia="Book Antiqua" w:hAnsi="Book Antiqua" w:cs="Book Antiqua" w:hint="default"/>
        <w:spacing w:val="-6"/>
        <w:w w:val="95"/>
        <w:sz w:val="18"/>
        <w:szCs w:val="18"/>
      </w:rPr>
    </w:lvl>
    <w:lvl w:ilvl="1" w:tplc="67382E26">
      <w:numFmt w:val="bullet"/>
      <w:lvlText w:val="•"/>
      <w:lvlJc w:val="left"/>
      <w:pPr>
        <w:ind w:left="2925" w:hanging="341"/>
      </w:pPr>
      <w:rPr>
        <w:rFonts w:hint="default"/>
      </w:rPr>
    </w:lvl>
    <w:lvl w:ilvl="2" w:tplc="C01ED764">
      <w:numFmt w:val="bullet"/>
      <w:lvlText w:val="•"/>
      <w:lvlJc w:val="left"/>
      <w:pPr>
        <w:ind w:left="3916" w:hanging="341"/>
      </w:pPr>
      <w:rPr>
        <w:rFonts w:hint="default"/>
      </w:rPr>
    </w:lvl>
    <w:lvl w:ilvl="3" w:tplc="AE8CA98E">
      <w:numFmt w:val="bullet"/>
      <w:lvlText w:val="•"/>
      <w:lvlJc w:val="left"/>
      <w:pPr>
        <w:ind w:left="4907" w:hanging="341"/>
      </w:pPr>
      <w:rPr>
        <w:rFonts w:hint="default"/>
      </w:rPr>
    </w:lvl>
    <w:lvl w:ilvl="4" w:tplc="30BABD26">
      <w:numFmt w:val="bullet"/>
      <w:lvlText w:val="•"/>
      <w:lvlJc w:val="left"/>
      <w:pPr>
        <w:ind w:left="5898" w:hanging="341"/>
      </w:pPr>
      <w:rPr>
        <w:rFonts w:hint="default"/>
      </w:rPr>
    </w:lvl>
    <w:lvl w:ilvl="5" w:tplc="F288D7BA">
      <w:numFmt w:val="bullet"/>
      <w:lvlText w:val="•"/>
      <w:lvlJc w:val="left"/>
      <w:pPr>
        <w:ind w:left="6890" w:hanging="341"/>
      </w:pPr>
      <w:rPr>
        <w:rFonts w:hint="default"/>
      </w:rPr>
    </w:lvl>
    <w:lvl w:ilvl="6" w:tplc="9164340C">
      <w:numFmt w:val="bullet"/>
      <w:lvlText w:val="•"/>
      <w:lvlJc w:val="left"/>
      <w:pPr>
        <w:ind w:left="7881" w:hanging="341"/>
      </w:pPr>
      <w:rPr>
        <w:rFonts w:hint="default"/>
      </w:rPr>
    </w:lvl>
    <w:lvl w:ilvl="7" w:tplc="3DBA9678">
      <w:numFmt w:val="bullet"/>
      <w:lvlText w:val="•"/>
      <w:lvlJc w:val="left"/>
      <w:pPr>
        <w:ind w:left="8872" w:hanging="341"/>
      </w:pPr>
      <w:rPr>
        <w:rFonts w:hint="default"/>
      </w:rPr>
    </w:lvl>
    <w:lvl w:ilvl="8" w:tplc="E12E38CC">
      <w:numFmt w:val="bullet"/>
      <w:lvlText w:val="•"/>
      <w:lvlJc w:val="left"/>
      <w:pPr>
        <w:ind w:left="9863" w:hanging="341"/>
      </w:pPr>
      <w:rPr>
        <w:rFonts w:hint="default"/>
      </w:rPr>
    </w:lvl>
  </w:abstractNum>
  <w:abstractNum w:abstractNumId="3" w15:restartNumberingAfterBreak="0">
    <w:nsid w:val="68FF529F"/>
    <w:multiLevelType w:val="hybridMultilevel"/>
    <w:tmpl w:val="D2189F88"/>
    <w:lvl w:ilvl="0" w:tplc="08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52057"/>
    <w:multiLevelType w:val="hybridMultilevel"/>
    <w:tmpl w:val="BBE0003E"/>
    <w:lvl w:ilvl="0" w:tplc="BD4CAE20">
      <w:start w:val="1"/>
      <w:numFmt w:val="lowerRoman"/>
      <w:lvlText w:val="(%1)"/>
      <w:lvlJc w:val="left"/>
      <w:pPr>
        <w:ind w:left="720" w:hanging="360"/>
      </w:pPr>
      <w:rPr>
        <w:rFonts w:ascii="Calibri" w:eastAsia="Georgia" w:hAnsi="Calibri" w:cs="Arial" w:hint="default"/>
        <w:spacing w:val="-6"/>
        <w:w w:val="87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843CC"/>
    <w:multiLevelType w:val="hybridMultilevel"/>
    <w:tmpl w:val="484047C4"/>
    <w:lvl w:ilvl="0" w:tplc="81FE9306">
      <w:start w:val="1"/>
      <w:numFmt w:val="lowerRoman"/>
      <w:lvlText w:val="(%1)"/>
      <w:lvlJc w:val="left"/>
      <w:pPr>
        <w:ind w:left="794" w:hanging="341"/>
        <w:jc w:val="left"/>
      </w:pPr>
      <w:rPr>
        <w:rFonts w:ascii="Book Antiqua" w:eastAsia="Book Antiqua" w:hAnsi="Book Antiqua" w:cs="Book Antiqua" w:hint="default"/>
        <w:spacing w:val="-6"/>
        <w:w w:val="95"/>
        <w:sz w:val="18"/>
        <w:szCs w:val="18"/>
      </w:rPr>
    </w:lvl>
    <w:lvl w:ilvl="1" w:tplc="C5361C86">
      <w:numFmt w:val="bullet"/>
      <w:lvlText w:val="•"/>
      <w:lvlJc w:val="left"/>
      <w:pPr>
        <w:ind w:left="1791" w:hanging="341"/>
      </w:pPr>
      <w:rPr>
        <w:rFonts w:hint="default"/>
      </w:rPr>
    </w:lvl>
    <w:lvl w:ilvl="2" w:tplc="A0D216C0">
      <w:numFmt w:val="bullet"/>
      <w:lvlText w:val="•"/>
      <w:lvlJc w:val="left"/>
      <w:pPr>
        <w:ind w:left="2782" w:hanging="341"/>
      </w:pPr>
      <w:rPr>
        <w:rFonts w:hint="default"/>
      </w:rPr>
    </w:lvl>
    <w:lvl w:ilvl="3" w:tplc="05B09174">
      <w:numFmt w:val="bullet"/>
      <w:lvlText w:val="•"/>
      <w:lvlJc w:val="left"/>
      <w:pPr>
        <w:ind w:left="3773" w:hanging="341"/>
      </w:pPr>
      <w:rPr>
        <w:rFonts w:hint="default"/>
      </w:rPr>
    </w:lvl>
    <w:lvl w:ilvl="4" w:tplc="A71C6840">
      <w:numFmt w:val="bullet"/>
      <w:lvlText w:val="•"/>
      <w:lvlJc w:val="left"/>
      <w:pPr>
        <w:ind w:left="4764" w:hanging="341"/>
      </w:pPr>
      <w:rPr>
        <w:rFonts w:hint="default"/>
      </w:rPr>
    </w:lvl>
    <w:lvl w:ilvl="5" w:tplc="BB88017A">
      <w:numFmt w:val="bullet"/>
      <w:lvlText w:val="•"/>
      <w:lvlJc w:val="left"/>
      <w:pPr>
        <w:ind w:left="5756" w:hanging="341"/>
      </w:pPr>
      <w:rPr>
        <w:rFonts w:hint="default"/>
      </w:rPr>
    </w:lvl>
    <w:lvl w:ilvl="6" w:tplc="DDE8C13E">
      <w:numFmt w:val="bullet"/>
      <w:lvlText w:val="•"/>
      <w:lvlJc w:val="left"/>
      <w:pPr>
        <w:ind w:left="6747" w:hanging="341"/>
      </w:pPr>
      <w:rPr>
        <w:rFonts w:hint="default"/>
      </w:rPr>
    </w:lvl>
    <w:lvl w:ilvl="7" w:tplc="DA3A8D0A">
      <w:numFmt w:val="bullet"/>
      <w:lvlText w:val="•"/>
      <w:lvlJc w:val="left"/>
      <w:pPr>
        <w:ind w:left="7738" w:hanging="341"/>
      </w:pPr>
      <w:rPr>
        <w:rFonts w:hint="default"/>
      </w:rPr>
    </w:lvl>
    <w:lvl w:ilvl="8" w:tplc="25408CFA">
      <w:numFmt w:val="bullet"/>
      <w:lvlText w:val="•"/>
      <w:lvlJc w:val="left"/>
      <w:pPr>
        <w:ind w:left="8729" w:hanging="341"/>
      </w:pPr>
      <w:rPr>
        <w:rFonts w:hint="default"/>
      </w:rPr>
    </w:lvl>
  </w:abstractNum>
  <w:abstractNum w:abstractNumId="6" w15:restartNumberingAfterBreak="0">
    <w:nsid w:val="78CD3100"/>
    <w:multiLevelType w:val="hybridMultilevel"/>
    <w:tmpl w:val="E89EB4B0"/>
    <w:lvl w:ilvl="0" w:tplc="7B4EF398">
      <w:start w:val="1"/>
      <w:numFmt w:val="lowerRoman"/>
      <w:lvlText w:val="(%1)"/>
      <w:lvlJc w:val="left"/>
      <w:pPr>
        <w:ind w:left="720" w:hanging="360"/>
      </w:pPr>
      <w:rPr>
        <w:rFonts w:ascii="Calibri" w:eastAsia="Georgia" w:hAnsi="Calibri" w:cs="Arial" w:hint="default"/>
        <w:spacing w:val="-6"/>
        <w:w w:val="87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33091"/>
    <w:multiLevelType w:val="hybridMultilevel"/>
    <w:tmpl w:val="4ED6D8C6"/>
    <w:lvl w:ilvl="0" w:tplc="CE7A9C3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2AC"/>
    <w:rsid w:val="0005431E"/>
    <w:rsid w:val="0008134E"/>
    <w:rsid w:val="000D69F6"/>
    <w:rsid w:val="001752AF"/>
    <w:rsid w:val="00214C0E"/>
    <w:rsid w:val="002A36FC"/>
    <w:rsid w:val="002E22AC"/>
    <w:rsid w:val="00337ADF"/>
    <w:rsid w:val="003C66BB"/>
    <w:rsid w:val="00607D10"/>
    <w:rsid w:val="006C0A9E"/>
    <w:rsid w:val="00731D64"/>
    <w:rsid w:val="007E0875"/>
    <w:rsid w:val="008A1E79"/>
    <w:rsid w:val="009A5114"/>
    <w:rsid w:val="00A329E5"/>
    <w:rsid w:val="00B92D6D"/>
    <w:rsid w:val="00BA77FC"/>
    <w:rsid w:val="00D97B9C"/>
    <w:rsid w:val="00FA231F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CE5AD3E-BA57-4370-B461-AF6EAA3F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C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2AF"/>
  </w:style>
  <w:style w:type="paragraph" w:styleId="Footer">
    <w:name w:val="footer"/>
    <w:basedOn w:val="Normal"/>
    <w:link w:val="FooterChar"/>
    <w:uiPriority w:val="99"/>
    <w:unhideWhenUsed/>
    <w:rsid w:val="00175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AF"/>
  </w:style>
  <w:style w:type="paragraph" w:styleId="BodyText">
    <w:name w:val="Body Text"/>
    <w:basedOn w:val="Normal"/>
    <w:link w:val="BodyTextChar"/>
    <w:uiPriority w:val="1"/>
    <w:qFormat/>
    <w:rsid w:val="00731D64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31D64"/>
    <w:rPr>
      <w:rFonts w:ascii="Book Antiqua" w:eastAsia="Book Antiqua" w:hAnsi="Book Antiqua" w:cs="Book Antiqua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731D64"/>
    <w:pPr>
      <w:widowControl w:val="0"/>
      <w:autoSpaceDE w:val="0"/>
      <w:autoSpaceDN w:val="0"/>
      <w:spacing w:before="120" w:after="0" w:line="240" w:lineRule="auto"/>
      <w:ind w:left="450" w:hanging="340"/>
    </w:pPr>
    <w:rPr>
      <w:rFonts w:ascii="Book Antiqua" w:eastAsia="Book Antiqua" w:hAnsi="Book Antiqua" w:cs="Book Antiqu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AD91B2CB</Template>
  <TotalTime>0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Rathbone Brothers plc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Lee</dc:creator>
  <cp:keywords/>
  <dc:description/>
  <cp:lastModifiedBy>Manjula Patel</cp:lastModifiedBy>
  <cp:revision>3</cp:revision>
  <cp:lastPrinted>2018-05-10T10:03:00Z</cp:lastPrinted>
  <dcterms:created xsi:type="dcterms:W3CDTF">2020-04-28T14:16:00Z</dcterms:created>
  <dcterms:modified xsi:type="dcterms:W3CDTF">2020-04-28T14:16:00Z</dcterms:modified>
</cp:coreProperties>
</file>