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E2E8" w14:textId="5170E92E"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DISCOVERIE GROUP PLC</w:t>
      </w:r>
    </w:p>
    <w:p w14:paraId="28C08E0C"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1B283018" w14:textId="4E83938E" w:rsidR="006858E9" w:rsidRPr="006858E9" w:rsidRDefault="006858E9" w:rsidP="006858E9">
      <w:pPr>
        <w:tabs>
          <w:tab w:val="left" w:pos="567"/>
        </w:tabs>
        <w:ind w:left="567" w:hanging="567"/>
        <w:jc w:val="center"/>
        <w:rPr>
          <w:rFonts w:asciiTheme="minorHAnsi" w:eastAsia="Calibri" w:hAnsiTheme="minorHAnsi" w:cstheme="minorHAnsi"/>
          <w:b/>
          <w:lang w:val="en-GB"/>
        </w:rPr>
      </w:pPr>
      <w:r w:rsidRPr="006858E9">
        <w:rPr>
          <w:rFonts w:asciiTheme="minorHAnsi" w:hAnsiTheme="minorHAnsi" w:cstheme="minorHAnsi"/>
          <w:b/>
          <w:lang w:val="en-GB"/>
        </w:rPr>
        <w:t>ANNUAL GENERAL MEETING</w:t>
      </w:r>
    </w:p>
    <w:p w14:paraId="6FC9DA03"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2DBDA85E" w14:textId="57F3BEAE" w:rsidR="006858E9" w:rsidRPr="006858E9" w:rsidRDefault="000D29C3" w:rsidP="006858E9">
      <w:pPr>
        <w:tabs>
          <w:tab w:val="left" w:pos="567"/>
        </w:tabs>
        <w:ind w:left="567" w:hanging="567"/>
        <w:jc w:val="center"/>
        <w:rPr>
          <w:rFonts w:asciiTheme="minorHAnsi" w:hAnsiTheme="minorHAnsi" w:cstheme="minorHAnsi"/>
          <w:b/>
          <w:lang w:val="en-GB"/>
        </w:rPr>
      </w:pPr>
      <w:r>
        <w:rPr>
          <w:rFonts w:asciiTheme="minorHAnsi" w:hAnsiTheme="minorHAnsi" w:cstheme="minorHAnsi"/>
          <w:b/>
          <w:lang w:val="en-GB"/>
        </w:rPr>
        <w:t>2</w:t>
      </w:r>
      <w:r w:rsidR="004A5260">
        <w:rPr>
          <w:rFonts w:asciiTheme="minorHAnsi" w:hAnsiTheme="minorHAnsi" w:cstheme="minorHAnsi"/>
          <w:b/>
          <w:lang w:val="en-GB"/>
        </w:rPr>
        <w:t>8</w:t>
      </w:r>
      <w:r w:rsidR="006858E9" w:rsidRPr="006858E9">
        <w:rPr>
          <w:rFonts w:asciiTheme="minorHAnsi" w:hAnsiTheme="minorHAnsi" w:cstheme="minorHAnsi"/>
          <w:b/>
          <w:lang w:val="en-GB"/>
        </w:rPr>
        <w:t xml:space="preserve"> </w:t>
      </w:r>
      <w:r>
        <w:rPr>
          <w:rFonts w:asciiTheme="minorHAnsi" w:hAnsiTheme="minorHAnsi" w:cstheme="minorHAnsi"/>
          <w:b/>
          <w:lang w:val="en-GB"/>
        </w:rPr>
        <w:t>July 202</w:t>
      </w:r>
      <w:r w:rsidR="004A5260">
        <w:rPr>
          <w:rFonts w:asciiTheme="minorHAnsi" w:hAnsiTheme="minorHAnsi" w:cstheme="minorHAnsi"/>
          <w:b/>
          <w:lang w:val="en-GB"/>
        </w:rPr>
        <w:t>2</w:t>
      </w:r>
    </w:p>
    <w:p w14:paraId="5FF0DA9D"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35FFA947" w14:textId="77777777" w:rsidR="006858E9" w:rsidRPr="006858E9" w:rsidRDefault="006858E9" w:rsidP="006858E9">
      <w:pPr>
        <w:tabs>
          <w:tab w:val="left" w:pos="567"/>
        </w:tabs>
        <w:ind w:left="567" w:hanging="567"/>
        <w:jc w:val="both"/>
        <w:rPr>
          <w:rFonts w:asciiTheme="minorHAnsi" w:hAnsiTheme="minorHAnsi" w:cstheme="minorHAnsi"/>
          <w:b/>
          <w:lang w:val="en-GB"/>
        </w:rPr>
      </w:pPr>
      <w:r w:rsidRPr="006858E9">
        <w:rPr>
          <w:rFonts w:asciiTheme="minorHAnsi" w:hAnsiTheme="minorHAnsi" w:cstheme="minorHAnsi"/>
          <w:b/>
          <w:lang w:val="en-GB"/>
        </w:rPr>
        <w:t>Resolutions</w:t>
      </w:r>
    </w:p>
    <w:p w14:paraId="353110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248A11A" w14:textId="67D394CB" w:rsidR="006858E9" w:rsidRPr="006858E9" w:rsidRDefault="006858E9" w:rsidP="006858E9">
      <w:pPr>
        <w:jc w:val="both"/>
        <w:rPr>
          <w:rFonts w:asciiTheme="minorHAnsi" w:eastAsia="Calibri" w:hAnsiTheme="minorHAnsi" w:cstheme="minorHAnsi"/>
          <w:lang w:val="en-GB"/>
        </w:rPr>
      </w:pPr>
      <w:r w:rsidRPr="006858E9">
        <w:rPr>
          <w:rFonts w:asciiTheme="minorHAnsi" w:hAnsiTheme="minorHAnsi" w:cstheme="minorHAnsi"/>
          <w:lang w:val="en-GB"/>
        </w:rPr>
        <w:t xml:space="preserve">The following resolutions were passed at the Annual General Meeting of discoverIE Group plc held on </w:t>
      </w:r>
      <w:r w:rsidR="000D29C3">
        <w:rPr>
          <w:rFonts w:asciiTheme="minorHAnsi" w:hAnsiTheme="minorHAnsi" w:cstheme="minorHAnsi"/>
          <w:lang w:val="en-GB"/>
        </w:rPr>
        <w:t>2</w:t>
      </w:r>
      <w:r w:rsidR="004A5260">
        <w:rPr>
          <w:rFonts w:asciiTheme="minorHAnsi" w:hAnsiTheme="minorHAnsi" w:cstheme="minorHAnsi"/>
          <w:lang w:val="en-GB"/>
        </w:rPr>
        <w:t>8</w:t>
      </w:r>
      <w:r w:rsidRPr="006858E9">
        <w:rPr>
          <w:rFonts w:asciiTheme="minorHAnsi" w:hAnsiTheme="minorHAnsi" w:cstheme="minorHAnsi"/>
          <w:lang w:val="en-GB"/>
        </w:rPr>
        <w:t xml:space="preserve"> </w:t>
      </w:r>
      <w:r w:rsidR="000D29C3">
        <w:rPr>
          <w:rFonts w:asciiTheme="minorHAnsi" w:hAnsiTheme="minorHAnsi" w:cstheme="minorHAnsi"/>
          <w:lang w:val="en-GB"/>
        </w:rPr>
        <w:t>July 202</w:t>
      </w:r>
      <w:r w:rsidR="004A5260">
        <w:rPr>
          <w:rFonts w:asciiTheme="minorHAnsi" w:hAnsiTheme="minorHAnsi" w:cstheme="minorHAnsi"/>
          <w:lang w:val="en-GB"/>
        </w:rPr>
        <w:t>2</w:t>
      </w:r>
      <w:r w:rsidRPr="006858E9">
        <w:rPr>
          <w:rFonts w:asciiTheme="minorHAnsi" w:hAnsiTheme="minorHAnsi" w:cstheme="minorHAnsi"/>
          <w:lang w:val="en-GB"/>
        </w:rPr>
        <w:t>.</w:t>
      </w:r>
    </w:p>
    <w:p w14:paraId="14DFEBB1" w14:textId="38B88E22" w:rsidR="00C34C51" w:rsidRPr="006858E9" w:rsidRDefault="00C34C51" w:rsidP="006858E9">
      <w:pPr>
        <w:tabs>
          <w:tab w:val="left" w:pos="567"/>
        </w:tabs>
        <w:ind w:left="567" w:hanging="567"/>
        <w:jc w:val="both"/>
        <w:rPr>
          <w:rFonts w:asciiTheme="minorHAnsi" w:hAnsiTheme="minorHAnsi" w:cstheme="minorHAnsi"/>
          <w:b/>
        </w:rPr>
      </w:pPr>
    </w:p>
    <w:p w14:paraId="62706DBF" w14:textId="77777777"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receive and adopt the Financial Statements for the year ended 31 March 2022, together with the Reports of the Directors and the Auditor thereon (the “Annual Report and Accounts”).</w:t>
      </w:r>
    </w:p>
    <w:p w14:paraId="7590CDD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E2F2077" w14:textId="7367F0E1"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approve the ﬁnal dividend of 7.45 pence per ordinary share recommended by the Directors in respect of the year ended 31 March 2022, payable on 2 August 2022 to holders of ordinary shares on the Register of Members at the close of business on 24 June 2022.</w:t>
      </w:r>
    </w:p>
    <w:p w14:paraId="79F18417"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40FD342C" w14:textId="4F36874D"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approve the Directors’ Remuneration Report as set out on pages 109 to 132 of the Company’s Annual Report and Accounts for the year ended 31 March 2022 (other than the part containing the Directors’ Remuneration Policy).</w:t>
      </w:r>
    </w:p>
    <w:p w14:paraId="66819748"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4CC745A3" w14:textId="41654E82"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Malcolm Diamond as a Director.</w:t>
      </w:r>
    </w:p>
    <w:p w14:paraId="4B013716"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3C76D43" w14:textId="14959EFE"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Nick Jefferies as a Director.</w:t>
      </w:r>
    </w:p>
    <w:p w14:paraId="28C6B52A"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4B75E28" w14:textId="08AB256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Simon Gibbins as a Director.</w:t>
      </w:r>
    </w:p>
    <w:p w14:paraId="07E96422"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9A414EC" w14:textId="6A20D071"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Bruce Thompson as a Director.</w:t>
      </w:r>
    </w:p>
    <w:p w14:paraId="3609B77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56C38D41" w14:textId="1FB3211A"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Tracey Graham as a Director.</w:t>
      </w:r>
    </w:p>
    <w:p w14:paraId="4957CE30"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70EE98E" w14:textId="2DD1167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Clive Watson as a Director.</w:t>
      </w:r>
    </w:p>
    <w:p w14:paraId="06728DAF"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222B87E" w14:textId="488DE40C"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elect Rosalind Kainyah as a Director.</w:t>
      </w:r>
    </w:p>
    <w:p w14:paraId="147EB17E"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90C6D54" w14:textId="73B22692"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re-appoint PricewaterhouseCoopers LLP as Auditor of the Company to hold ofﬁce from the conclusion of this Meeting until the conclusion of the next general meeting at which accounts are laid before the Company.</w:t>
      </w:r>
    </w:p>
    <w:p w14:paraId="56323325"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3CCAE1CC" w14:textId="5B6BEB64"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w:t>
      </w:r>
      <w:proofErr w:type="spellStart"/>
      <w:r w:rsidRPr="004A5260">
        <w:rPr>
          <w:rFonts w:asciiTheme="minorHAnsi" w:hAnsiTheme="minorHAnsi" w:cstheme="minorHAnsi"/>
          <w:color w:val="231F20"/>
        </w:rPr>
        <w:t>authorise</w:t>
      </w:r>
      <w:proofErr w:type="spellEnd"/>
      <w:r w:rsidRPr="004A5260">
        <w:rPr>
          <w:rFonts w:asciiTheme="minorHAnsi" w:hAnsiTheme="minorHAnsi" w:cstheme="minorHAnsi"/>
          <w:color w:val="231F20"/>
        </w:rPr>
        <w:t xml:space="preserve"> the Directors to determine the remuneration of the Auditor.</w:t>
      </w:r>
    </w:p>
    <w:p w14:paraId="1C97C7F1" w14:textId="05DE3116" w:rsidR="004A5260" w:rsidRDefault="004A5260" w:rsidP="004A5260">
      <w:pPr>
        <w:pStyle w:val="ListParagraph"/>
        <w:tabs>
          <w:tab w:val="left" w:pos="1276"/>
        </w:tabs>
        <w:ind w:left="567" w:firstLine="0"/>
        <w:jc w:val="both"/>
        <w:rPr>
          <w:rFonts w:asciiTheme="minorHAnsi" w:hAnsiTheme="minorHAnsi" w:cstheme="minorHAnsi"/>
          <w:color w:val="231F20"/>
        </w:rPr>
      </w:pPr>
    </w:p>
    <w:p w14:paraId="73018C7C" w14:textId="77777777"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That, in substitution for all existing unexercised authorities, the authority conferred on the Directors by Article 7.2 of the Company’s Articles of Association be renewed (unless previously renewed, varied or revoked) for a period ending on the earlier of the date of the Company’s next Annual General Meeting or 27 October 2023 and, for that period, the Section 551 Amount is £1,590,935.</w:t>
      </w:r>
    </w:p>
    <w:p w14:paraId="04A1A599"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D776797" w14:textId="4CE4E7E9"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That, in addition and without prejudice to the authority renewed in Resolution 13 above, the Directors be and are hereby generally and unconditionally </w:t>
      </w:r>
      <w:proofErr w:type="spellStart"/>
      <w:r w:rsidRPr="004A5260">
        <w:rPr>
          <w:rFonts w:asciiTheme="minorHAnsi" w:hAnsiTheme="minorHAnsi" w:cstheme="minorHAnsi"/>
          <w:color w:val="231F20"/>
        </w:rPr>
        <w:t>authorised</w:t>
      </w:r>
      <w:proofErr w:type="spellEnd"/>
      <w:r w:rsidRPr="004A5260">
        <w:rPr>
          <w:rFonts w:asciiTheme="minorHAnsi" w:hAnsiTheme="minorHAnsi" w:cstheme="minorHAnsi"/>
          <w:color w:val="231F20"/>
        </w:rPr>
        <w:t xml:space="preserve"> pursuant to and in </w:t>
      </w:r>
      <w:r w:rsidRPr="004A5260">
        <w:rPr>
          <w:rFonts w:asciiTheme="minorHAnsi" w:hAnsiTheme="minorHAnsi" w:cstheme="minorHAnsi"/>
          <w:color w:val="231F20"/>
        </w:rPr>
        <w:lastRenderedPageBreak/>
        <w:t>accordance with Section 551 of the Companies Act 2006 to exercise all the powers of the Company to allot or grant rights to subscribe for or to convert any security into shares in the Company comprising equity securities (as deﬁned in Section 560 of the Companies Act 2006) in connection with a rights issue by the Company of ordinary shares up to an aggregate nominal amount of £1,590,935 provided that this authority shall expire on the earlier of the date of the Company’s next Annual General Meeting or 27 October 2023 save that the Company may, before such expiry, make an offer or agreement which would or might require shares to be allotted or rights to be granted after such expiry and the Board may allot shares or grant such rights in pursuance of those offers or agreements, as if this authority had not expired.</w:t>
      </w:r>
    </w:p>
    <w:p w14:paraId="248B950E"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8CDBDB0" w14:textId="72222FAB"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proofErr w:type="gramStart"/>
      <w:r w:rsidRPr="004A5260">
        <w:rPr>
          <w:rFonts w:asciiTheme="minorHAnsi" w:hAnsiTheme="minorHAnsi" w:cstheme="minorHAnsi"/>
          <w:color w:val="231F20"/>
        </w:rPr>
        <w:t>For the purpose of</w:t>
      </w:r>
      <w:proofErr w:type="gramEnd"/>
      <w:r w:rsidRPr="004A5260">
        <w:rPr>
          <w:rFonts w:asciiTheme="minorHAnsi" w:hAnsiTheme="minorHAnsi" w:cstheme="minorHAnsi"/>
          <w:color w:val="231F20"/>
        </w:rPr>
        <w:t xml:space="preserve"> this Resolution a “rights issue” means an offer to:</w:t>
      </w:r>
    </w:p>
    <w:p w14:paraId="380DC5E0" w14:textId="77777777"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p>
    <w:p w14:paraId="62DBC4BD" w14:textId="3114ABD1" w:rsidR="004A5260" w:rsidRPr="004A5260" w:rsidRDefault="004A5260" w:rsidP="004A5260">
      <w:pPr>
        <w:pStyle w:val="ListParagraph"/>
        <w:numPr>
          <w:ilvl w:val="0"/>
          <w:numId w:val="12"/>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ordinary shareholders in proportion (as nearly as may be practicable) to their existing holdings; and</w:t>
      </w:r>
    </w:p>
    <w:p w14:paraId="551B4181" w14:textId="77777777" w:rsidR="004A5260" w:rsidRDefault="004A5260" w:rsidP="004A5260">
      <w:pPr>
        <w:pStyle w:val="ListParagraph"/>
        <w:tabs>
          <w:tab w:val="left" w:pos="1276"/>
        </w:tabs>
        <w:ind w:left="927" w:firstLine="0"/>
        <w:jc w:val="both"/>
        <w:rPr>
          <w:rFonts w:asciiTheme="minorHAnsi" w:hAnsiTheme="minorHAnsi" w:cstheme="minorHAnsi"/>
          <w:color w:val="231F20"/>
        </w:rPr>
      </w:pPr>
    </w:p>
    <w:p w14:paraId="241769B8" w14:textId="5728D90A" w:rsidR="004A5260" w:rsidRPr="004A5260" w:rsidRDefault="004A5260" w:rsidP="004A5260">
      <w:pPr>
        <w:pStyle w:val="ListParagraph"/>
        <w:numPr>
          <w:ilvl w:val="0"/>
          <w:numId w:val="12"/>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people who are holders of other equity securities if this is required by the rights of those securities or, if the Directors consider it necessary, as permitted by the rights of those securities,</w:t>
      </w:r>
    </w:p>
    <w:p w14:paraId="6365E5AC"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9C2B1EC" w14:textId="2C9F6F1C"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r w:rsidRPr="004A5260">
        <w:rPr>
          <w:rFonts w:asciiTheme="minorHAnsi" w:hAnsiTheme="minorHAnsi" w:cstheme="minorHAnsi"/>
          <w:color w:val="231F20"/>
        </w:rPr>
        <w:t>to subscribe for further securities by means of the crediting of entitlements to rights or the issue of a renounceable letter (or other negotiable document) which may be traded for a period before payment for the securities is due, but subject to such exclusions or other arrangements as the Directors may deem necessary or expedient in relation to treasury shares,</w:t>
      </w:r>
      <w:r>
        <w:rPr>
          <w:rFonts w:asciiTheme="minorHAnsi" w:hAnsiTheme="minorHAnsi" w:cstheme="minorHAnsi"/>
          <w:color w:val="231F20"/>
        </w:rPr>
        <w:t xml:space="preserve"> </w:t>
      </w:r>
      <w:r w:rsidRPr="004A5260">
        <w:rPr>
          <w:rFonts w:asciiTheme="minorHAnsi" w:hAnsiTheme="minorHAnsi" w:cstheme="minorHAnsi"/>
          <w:color w:val="231F20"/>
        </w:rPr>
        <w:t>fractional entitlements, record dates or legal, regulatory or practical problems in, or under the laws of, any territory, or any other matter.</w:t>
      </w:r>
    </w:p>
    <w:p w14:paraId="14E08997" w14:textId="77777777"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p>
    <w:p w14:paraId="078216DD" w14:textId="77777777"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That, subject to the passing of Resolution 13 above, in substitution for all existing authorities, the authority conferred on the Directors by Article 7.3 of the Company’s Articles of Association be renewed (unless previously renewed, varied or revoked) for a period ending on the earlier of the date of the Company’s next Annual General Meeting or on 27 October 2023 and, for that period, the Section 561 Amount is £238,640.</w:t>
      </w:r>
    </w:p>
    <w:p w14:paraId="54AEA4D7"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4B3DF7F" w14:textId="71B555EF"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That, subject to the passing of Resolution 13 above, in addition and without prejudice to the authority renewed in Resolution 15 above, the Directors be and are unconditionally </w:t>
      </w:r>
      <w:proofErr w:type="spellStart"/>
      <w:r w:rsidRPr="004A5260">
        <w:rPr>
          <w:rFonts w:asciiTheme="minorHAnsi" w:hAnsiTheme="minorHAnsi" w:cstheme="minorHAnsi"/>
          <w:color w:val="231F20"/>
        </w:rPr>
        <w:t>authorised</w:t>
      </w:r>
      <w:proofErr w:type="spellEnd"/>
      <w:r w:rsidRPr="004A5260">
        <w:rPr>
          <w:rFonts w:asciiTheme="minorHAnsi" w:hAnsiTheme="minorHAnsi" w:cstheme="minorHAnsi"/>
          <w:color w:val="231F20"/>
        </w:rPr>
        <w:t xml:space="preserve"> to exercise all the powers of the Company to allot or grant rights to subscribe for or to convert any security into shares in the Company comprising equity securities (as deﬁned in Section 560 of the Companies Act 2006) for cash, and/or sell ordinary shares held by the Company as treasury shares for cash as if Section 561 of the Companies Act 2006 did not apply to any such allotment or sale, provided that this authority shall be in connection with an acquisition by the Company or speciﬁed capital investment up to an aggregate nominal amount of £238,640, and provided that this authority shall expire on the earlier of the date of the Company’s next Annual General Meeting or 27 October 2023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2391E25B" w14:textId="77777777"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p>
    <w:p w14:paraId="2EA58105" w14:textId="77777777" w:rsidR="004A5260" w:rsidRPr="004A5260" w:rsidRDefault="004A5260" w:rsidP="004A5260">
      <w:pPr>
        <w:pStyle w:val="ListParagraph"/>
        <w:tabs>
          <w:tab w:val="left" w:pos="1276"/>
        </w:tabs>
        <w:ind w:left="567" w:firstLine="0"/>
        <w:jc w:val="both"/>
        <w:rPr>
          <w:rFonts w:asciiTheme="minorHAnsi" w:hAnsiTheme="minorHAnsi" w:cstheme="minorHAnsi"/>
          <w:color w:val="231F20"/>
        </w:rPr>
      </w:pPr>
      <w:proofErr w:type="gramStart"/>
      <w:r w:rsidRPr="004A5260">
        <w:rPr>
          <w:rFonts w:asciiTheme="minorHAnsi" w:hAnsiTheme="minorHAnsi" w:cstheme="minorHAnsi"/>
          <w:color w:val="231F20"/>
        </w:rPr>
        <w:t>For the purpose of</w:t>
      </w:r>
      <w:proofErr w:type="gramEnd"/>
      <w:r w:rsidRPr="004A5260">
        <w:rPr>
          <w:rFonts w:asciiTheme="minorHAnsi" w:hAnsiTheme="minorHAnsi" w:cstheme="minorHAnsi"/>
          <w:color w:val="231F20"/>
        </w:rPr>
        <w:t xml:space="preserve"> this Resolution ‘speciﬁed capital investment’ means: one or more speciﬁc capital investment related uses for the proceeds of an issuance of equity securities, in respect of which sufﬁcient information regarding the effect of the transaction on the Company, the </w:t>
      </w:r>
      <w:r w:rsidRPr="004A5260">
        <w:rPr>
          <w:rFonts w:asciiTheme="minorHAnsi" w:hAnsiTheme="minorHAnsi" w:cstheme="minorHAnsi"/>
          <w:color w:val="231F20"/>
        </w:rPr>
        <w:lastRenderedPageBreak/>
        <w:t>assets the subject of the transaction and (where appropriate) the proﬁts attributable to them is made available to shareholders to enable them to reach an assessment of the potential return.</w:t>
      </w:r>
    </w:p>
    <w:p w14:paraId="7240927B"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E536CFE" w14:textId="4AF69F0D"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That, subject to the passing of Resolution 14 above, the Directors be and are hereby empowered pursuant to Section 570 of the Companies Act 2006 to allot equity securities (within the meaning of Section 560 of the said Act) for cash pursuant to the authority conferred by Resolution 14 above as if sub-section (1) of Section 561 of the said Act did not apply to any such allotment provided that this power shall expire on the earlier of the date of the Company’s next Annual General Meeting or 27 October 2023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6DACB6BF"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1890D64" w14:textId="324073F1"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That, subject to the provisos hereto, the Company be and is hereby generally </w:t>
      </w:r>
      <w:proofErr w:type="spellStart"/>
      <w:r w:rsidRPr="004A5260">
        <w:rPr>
          <w:rFonts w:asciiTheme="minorHAnsi" w:hAnsiTheme="minorHAnsi" w:cstheme="minorHAnsi"/>
          <w:color w:val="231F20"/>
        </w:rPr>
        <w:t>authorised</w:t>
      </w:r>
      <w:proofErr w:type="spellEnd"/>
      <w:r w:rsidRPr="004A5260">
        <w:rPr>
          <w:rFonts w:asciiTheme="minorHAnsi" w:hAnsiTheme="minorHAnsi" w:cstheme="minorHAnsi"/>
          <w:color w:val="231F20"/>
        </w:rPr>
        <w:t xml:space="preserve"> to purchase any of its own ordinary shares of ﬁve pence each by a market purchase (as deﬁned by Section 693(4) of the Companies Act 2006) provided always that this power shall:</w:t>
      </w:r>
    </w:p>
    <w:p w14:paraId="40B3692B" w14:textId="15EBA132" w:rsidR="004A5260" w:rsidRDefault="004A5260" w:rsidP="004A5260">
      <w:pPr>
        <w:pStyle w:val="ListParagraph"/>
        <w:tabs>
          <w:tab w:val="left" w:pos="1276"/>
        </w:tabs>
        <w:ind w:left="567" w:firstLine="0"/>
        <w:jc w:val="both"/>
        <w:rPr>
          <w:rFonts w:asciiTheme="minorHAnsi" w:hAnsiTheme="minorHAnsi" w:cstheme="minorHAnsi"/>
          <w:color w:val="231F20"/>
        </w:rPr>
      </w:pPr>
    </w:p>
    <w:p w14:paraId="18274524" w14:textId="4769D583" w:rsidR="004A5260" w:rsidRPr="004A5260" w:rsidRDefault="004A5260" w:rsidP="004A5260">
      <w:pPr>
        <w:pStyle w:val="ListParagraph"/>
        <w:numPr>
          <w:ilvl w:val="0"/>
          <w:numId w:val="13"/>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 xml:space="preserve">be limited to a purchase or purchases up to an aggregate of 9,545,610 issued ordinary shares of ﬁve pence each of the Company, representing approximately 10 per cent. of the Company’s issued share </w:t>
      </w:r>
      <w:proofErr w:type="gramStart"/>
      <w:r w:rsidRPr="004A5260">
        <w:rPr>
          <w:rFonts w:asciiTheme="minorHAnsi" w:hAnsiTheme="minorHAnsi" w:cstheme="minorHAnsi"/>
          <w:color w:val="231F20"/>
        </w:rPr>
        <w:t>capital;</w:t>
      </w:r>
      <w:proofErr w:type="gramEnd"/>
    </w:p>
    <w:p w14:paraId="0213D25B" w14:textId="77777777" w:rsidR="004A5260" w:rsidRDefault="004A5260" w:rsidP="004A5260">
      <w:pPr>
        <w:pStyle w:val="ListParagraph"/>
        <w:tabs>
          <w:tab w:val="left" w:pos="1276"/>
        </w:tabs>
        <w:ind w:left="927" w:firstLine="0"/>
        <w:jc w:val="both"/>
        <w:rPr>
          <w:rFonts w:asciiTheme="minorHAnsi" w:hAnsiTheme="minorHAnsi" w:cstheme="minorHAnsi"/>
          <w:color w:val="231F20"/>
        </w:rPr>
      </w:pPr>
    </w:p>
    <w:p w14:paraId="26122764" w14:textId="239DBEC9" w:rsidR="004A5260" w:rsidRPr="004A5260" w:rsidRDefault="004A5260" w:rsidP="004A5260">
      <w:pPr>
        <w:pStyle w:val="ListParagraph"/>
        <w:numPr>
          <w:ilvl w:val="0"/>
          <w:numId w:val="13"/>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be limited to a purchase or purchases at a price per ordinary share (exclusive of dealing and other incidental costs and stamp duty) not below ﬁve pence and not above an amount equal to the higher of: (</w:t>
      </w:r>
      <w:proofErr w:type="spellStart"/>
      <w:r w:rsidRPr="004A5260">
        <w:rPr>
          <w:rFonts w:asciiTheme="minorHAnsi" w:hAnsiTheme="minorHAnsi" w:cstheme="minorHAnsi"/>
          <w:color w:val="231F20"/>
        </w:rPr>
        <w:t>i</w:t>
      </w:r>
      <w:proofErr w:type="spellEnd"/>
      <w:r w:rsidRPr="004A5260">
        <w:rPr>
          <w:rFonts w:asciiTheme="minorHAnsi" w:hAnsiTheme="minorHAnsi" w:cstheme="minorHAnsi"/>
          <w:color w:val="231F20"/>
        </w:rPr>
        <w:t>) 105 per cent. of the average of the middle market quotations for an ordinary share as derived from the London Stock Exchange Daily Ofﬁcial List for the ﬁve business days immediately preceding the day on which the ordinary share is contracted to be purchased; and</w:t>
      </w:r>
      <w:r>
        <w:rPr>
          <w:rFonts w:asciiTheme="minorHAnsi" w:hAnsiTheme="minorHAnsi" w:cstheme="minorHAnsi"/>
          <w:color w:val="231F20"/>
        </w:rPr>
        <w:t xml:space="preserve"> </w:t>
      </w:r>
      <w:r w:rsidRPr="004A5260">
        <w:rPr>
          <w:rFonts w:asciiTheme="minorHAnsi" w:hAnsiTheme="minorHAnsi" w:cstheme="minorHAnsi"/>
          <w:color w:val="231F20"/>
        </w:rPr>
        <w:t>(ii) the price of the last independent trade and the highest current independent bid on the London Stock Exchange as stipulated by Regulation (EU) 2016/1052 as it forms part of English law by virtue of the European Union (Withdrawal)</w:t>
      </w:r>
      <w:r>
        <w:rPr>
          <w:rFonts w:asciiTheme="minorHAnsi" w:hAnsiTheme="minorHAnsi" w:cstheme="minorHAnsi"/>
          <w:color w:val="231F20"/>
        </w:rPr>
        <w:t xml:space="preserve"> </w:t>
      </w:r>
      <w:r w:rsidRPr="004A5260">
        <w:rPr>
          <w:rFonts w:asciiTheme="minorHAnsi" w:hAnsiTheme="minorHAnsi" w:cstheme="minorHAnsi"/>
          <w:color w:val="231F20"/>
        </w:rPr>
        <w:t>Act 2018; and</w:t>
      </w:r>
    </w:p>
    <w:p w14:paraId="107C4EA5" w14:textId="77777777" w:rsidR="004A5260" w:rsidRDefault="004A5260" w:rsidP="004A5260">
      <w:pPr>
        <w:pStyle w:val="ListParagraph"/>
        <w:tabs>
          <w:tab w:val="left" w:pos="1276"/>
        </w:tabs>
        <w:ind w:left="927" w:firstLine="0"/>
        <w:jc w:val="both"/>
        <w:rPr>
          <w:rFonts w:asciiTheme="minorHAnsi" w:hAnsiTheme="minorHAnsi" w:cstheme="minorHAnsi"/>
          <w:color w:val="231F20"/>
        </w:rPr>
      </w:pPr>
    </w:p>
    <w:p w14:paraId="217DF422" w14:textId="2E04FD75" w:rsidR="004A5260" w:rsidRPr="004A5260" w:rsidRDefault="004A5260" w:rsidP="004A5260">
      <w:pPr>
        <w:pStyle w:val="ListParagraph"/>
        <w:numPr>
          <w:ilvl w:val="0"/>
          <w:numId w:val="13"/>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unless renewed, varied or revoked by the Company in general meeting, expire on the earlier of the date of the Company’s next Annual General Meeting or 27 October 2023 and the Company may make a purchase of its own shares in accordance with this authority after the expiry of the said time limit imposed above where the contract of purchase is concluded before such authority expires and the Company is hereby permitted to make a contract of purchase which would or might be executed wholly or partly after the authority shall have expired.</w:t>
      </w:r>
    </w:p>
    <w:p w14:paraId="0B93AC8C" w14:textId="3B4F1EDF" w:rsidR="004A5260" w:rsidRDefault="004A5260" w:rsidP="004A5260">
      <w:pPr>
        <w:pStyle w:val="ListParagraph"/>
        <w:tabs>
          <w:tab w:val="left" w:pos="1276"/>
        </w:tabs>
        <w:ind w:left="567" w:firstLine="0"/>
        <w:jc w:val="both"/>
        <w:rPr>
          <w:rFonts w:asciiTheme="minorHAnsi" w:hAnsiTheme="minorHAnsi" w:cstheme="minorHAnsi"/>
          <w:color w:val="231F20"/>
        </w:rPr>
      </w:pPr>
    </w:p>
    <w:p w14:paraId="76244B27" w14:textId="77777777"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That a general meeting other than an Annual General Meeting may be called on not less than 14 clear days’ notice.</w:t>
      </w:r>
    </w:p>
    <w:p w14:paraId="6A29F1C9"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964133F" w14:textId="7224003C"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That the Company and all companies that are its subsidiaries at any time during the period for which this Resolution is effective are generally and unconditionally </w:t>
      </w:r>
      <w:proofErr w:type="spellStart"/>
      <w:r w:rsidRPr="004A5260">
        <w:rPr>
          <w:rFonts w:asciiTheme="minorHAnsi" w:hAnsiTheme="minorHAnsi" w:cstheme="minorHAnsi"/>
          <w:color w:val="231F20"/>
        </w:rPr>
        <w:t>authorised</w:t>
      </w:r>
      <w:proofErr w:type="spellEnd"/>
      <w:r w:rsidRPr="004A5260">
        <w:rPr>
          <w:rFonts w:asciiTheme="minorHAnsi" w:hAnsiTheme="minorHAnsi" w:cstheme="minorHAnsi"/>
          <w:color w:val="231F20"/>
        </w:rPr>
        <w:t>, in accordance with Section 366 of the Companies Act 2006, to:</w:t>
      </w:r>
    </w:p>
    <w:p w14:paraId="65602AB3"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DBA8501" w14:textId="7848CD52" w:rsidR="004A5260" w:rsidRPr="004A5260" w:rsidRDefault="004A5260" w:rsidP="004A5260">
      <w:pPr>
        <w:pStyle w:val="ListParagraph"/>
        <w:numPr>
          <w:ilvl w:val="0"/>
          <w:numId w:val="14"/>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 xml:space="preserve">make political donations to political parties or independent election candidates not exceeding £100,000 in aggregate for all such companies taken </w:t>
      </w:r>
      <w:proofErr w:type="gramStart"/>
      <w:r w:rsidRPr="004A5260">
        <w:rPr>
          <w:rFonts w:asciiTheme="minorHAnsi" w:hAnsiTheme="minorHAnsi" w:cstheme="minorHAnsi"/>
          <w:color w:val="231F20"/>
        </w:rPr>
        <w:t>together;</w:t>
      </w:r>
      <w:proofErr w:type="gramEnd"/>
    </w:p>
    <w:p w14:paraId="1283ABC9" w14:textId="77777777" w:rsidR="004A5260" w:rsidRDefault="004A5260" w:rsidP="004A5260">
      <w:pPr>
        <w:pStyle w:val="ListParagraph"/>
        <w:tabs>
          <w:tab w:val="left" w:pos="1276"/>
        </w:tabs>
        <w:ind w:left="927" w:firstLine="0"/>
        <w:jc w:val="both"/>
        <w:rPr>
          <w:rFonts w:asciiTheme="minorHAnsi" w:hAnsiTheme="minorHAnsi" w:cstheme="minorHAnsi"/>
          <w:color w:val="231F20"/>
        </w:rPr>
      </w:pPr>
    </w:p>
    <w:p w14:paraId="678D45E3" w14:textId="08B7E974" w:rsidR="004A5260" w:rsidRPr="004A5260" w:rsidRDefault="004A5260" w:rsidP="004A5260">
      <w:pPr>
        <w:pStyle w:val="ListParagraph"/>
        <w:numPr>
          <w:ilvl w:val="0"/>
          <w:numId w:val="14"/>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lastRenderedPageBreak/>
        <w:t xml:space="preserve">make political donations to political </w:t>
      </w:r>
      <w:proofErr w:type="spellStart"/>
      <w:r w:rsidRPr="004A5260">
        <w:rPr>
          <w:rFonts w:asciiTheme="minorHAnsi" w:hAnsiTheme="minorHAnsi" w:cstheme="minorHAnsi"/>
          <w:color w:val="231F20"/>
        </w:rPr>
        <w:t>organisations</w:t>
      </w:r>
      <w:proofErr w:type="spellEnd"/>
      <w:r w:rsidRPr="004A5260">
        <w:rPr>
          <w:rFonts w:asciiTheme="minorHAnsi" w:hAnsiTheme="minorHAnsi" w:cstheme="minorHAnsi"/>
          <w:color w:val="231F20"/>
        </w:rPr>
        <w:t xml:space="preserve"> other than political parties not exceeding £100,000 in aggregate for all such companies taken together; and</w:t>
      </w:r>
    </w:p>
    <w:p w14:paraId="43796A14" w14:textId="77777777" w:rsidR="00763B8E" w:rsidRDefault="00763B8E" w:rsidP="00763B8E">
      <w:pPr>
        <w:pStyle w:val="ListParagraph"/>
        <w:tabs>
          <w:tab w:val="left" w:pos="1276"/>
        </w:tabs>
        <w:ind w:left="927" w:firstLine="0"/>
        <w:jc w:val="both"/>
        <w:rPr>
          <w:rFonts w:asciiTheme="minorHAnsi" w:hAnsiTheme="minorHAnsi" w:cstheme="minorHAnsi"/>
          <w:color w:val="231F20"/>
        </w:rPr>
      </w:pPr>
    </w:p>
    <w:p w14:paraId="31BEFD18" w14:textId="761CA1D5" w:rsidR="004A5260" w:rsidRPr="00763B8E" w:rsidRDefault="004A5260" w:rsidP="00763B8E">
      <w:pPr>
        <w:pStyle w:val="ListParagraph"/>
        <w:numPr>
          <w:ilvl w:val="0"/>
          <w:numId w:val="14"/>
        </w:numPr>
        <w:tabs>
          <w:tab w:val="left" w:pos="1276"/>
        </w:tabs>
        <w:jc w:val="both"/>
        <w:rPr>
          <w:rFonts w:asciiTheme="minorHAnsi" w:hAnsiTheme="minorHAnsi" w:cstheme="minorHAnsi"/>
          <w:color w:val="231F20"/>
        </w:rPr>
      </w:pPr>
      <w:r w:rsidRPr="00763B8E">
        <w:rPr>
          <w:rFonts w:asciiTheme="minorHAnsi" w:hAnsiTheme="minorHAnsi" w:cstheme="minorHAnsi"/>
          <w:color w:val="231F20"/>
        </w:rPr>
        <w:t>incur political expenditure not exceeding £100,000 in aggregate for all such companies taken together,</w:t>
      </w:r>
    </w:p>
    <w:p w14:paraId="000BD08D" w14:textId="77777777" w:rsidR="00763B8E" w:rsidRDefault="00763B8E" w:rsidP="00763B8E">
      <w:pPr>
        <w:pStyle w:val="ListParagraph"/>
        <w:tabs>
          <w:tab w:val="left" w:pos="1276"/>
        </w:tabs>
        <w:ind w:left="567" w:firstLine="0"/>
        <w:jc w:val="both"/>
        <w:rPr>
          <w:rFonts w:asciiTheme="minorHAnsi" w:hAnsiTheme="minorHAnsi" w:cstheme="minorHAnsi"/>
          <w:color w:val="231F20"/>
        </w:rPr>
      </w:pPr>
    </w:p>
    <w:p w14:paraId="07003D37" w14:textId="23E76B4B" w:rsidR="004A5260" w:rsidRPr="00763B8E" w:rsidRDefault="004A5260" w:rsidP="00763B8E">
      <w:pPr>
        <w:pStyle w:val="ListParagraph"/>
        <w:tabs>
          <w:tab w:val="left" w:pos="1276"/>
        </w:tabs>
        <w:ind w:left="567" w:firstLine="0"/>
        <w:jc w:val="both"/>
        <w:rPr>
          <w:rFonts w:asciiTheme="minorHAnsi" w:hAnsiTheme="minorHAnsi" w:cstheme="minorHAnsi"/>
          <w:color w:val="231F20"/>
        </w:rPr>
      </w:pPr>
      <w:r w:rsidRPr="00763B8E">
        <w:rPr>
          <w:rFonts w:asciiTheme="minorHAnsi" w:hAnsiTheme="minorHAnsi" w:cstheme="minorHAnsi"/>
          <w:color w:val="231F20"/>
        </w:rPr>
        <w:t>during the period beginning on the date of this Resolution and ending at the conclusion of the Company’s next Annual General Meeting or, if earlier, on 27 October 2023.</w:t>
      </w:r>
    </w:p>
    <w:p w14:paraId="6C83C6ED" w14:textId="77777777" w:rsidR="00763B8E" w:rsidRDefault="00763B8E" w:rsidP="00763B8E">
      <w:pPr>
        <w:pStyle w:val="ListParagraph"/>
        <w:tabs>
          <w:tab w:val="left" w:pos="1276"/>
        </w:tabs>
        <w:ind w:left="567" w:firstLine="0"/>
        <w:jc w:val="both"/>
        <w:rPr>
          <w:rFonts w:asciiTheme="minorHAnsi" w:hAnsiTheme="minorHAnsi" w:cstheme="minorHAnsi"/>
          <w:color w:val="231F20"/>
        </w:rPr>
      </w:pPr>
    </w:p>
    <w:p w14:paraId="2F392300" w14:textId="604C5C74" w:rsidR="004A5260" w:rsidRPr="00763B8E" w:rsidRDefault="004A5260" w:rsidP="00763B8E">
      <w:pPr>
        <w:pStyle w:val="ListParagraph"/>
        <w:tabs>
          <w:tab w:val="left" w:pos="1276"/>
        </w:tabs>
        <w:ind w:left="567" w:firstLine="0"/>
        <w:jc w:val="both"/>
        <w:rPr>
          <w:rFonts w:asciiTheme="minorHAnsi" w:hAnsiTheme="minorHAnsi" w:cstheme="minorHAnsi"/>
          <w:color w:val="231F20"/>
        </w:rPr>
      </w:pPr>
      <w:r w:rsidRPr="00763B8E">
        <w:rPr>
          <w:rFonts w:asciiTheme="minorHAnsi" w:hAnsiTheme="minorHAnsi" w:cstheme="minorHAnsi"/>
          <w:color w:val="231F20"/>
        </w:rPr>
        <w:t xml:space="preserve">For the purposes of this Resolution, ‘political donation’, ‘political parties’, ‘independent election candidates’, ‘political </w:t>
      </w:r>
      <w:proofErr w:type="spellStart"/>
      <w:r w:rsidRPr="00763B8E">
        <w:rPr>
          <w:rFonts w:asciiTheme="minorHAnsi" w:hAnsiTheme="minorHAnsi" w:cstheme="minorHAnsi"/>
          <w:color w:val="231F20"/>
        </w:rPr>
        <w:t>organisation</w:t>
      </w:r>
      <w:proofErr w:type="spellEnd"/>
      <w:r w:rsidRPr="00763B8E">
        <w:rPr>
          <w:rFonts w:asciiTheme="minorHAnsi" w:hAnsiTheme="minorHAnsi" w:cstheme="minorHAnsi"/>
          <w:color w:val="231F20"/>
        </w:rPr>
        <w:t>’ and ‘political expenditure’ have the meanings given to them in Part 14 of the Companies Act 2006.</w:t>
      </w:r>
    </w:p>
    <w:p w14:paraId="1FC8997C"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8FD5C6B" w14:textId="4A7ACB51" w:rsidR="006858E9" w:rsidRPr="006858E9" w:rsidRDefault="006858E9" w:rsidP="006858E9">
      <w:pPr>
        <w:tabs>
          <w:tab w:val="left" w:pos="567"/>
        </w:tabs>
        <w:ind w:left="567" w:hanging="567"/>
        <w:jc w:val="both"/>
        <w:rPr>
          <w:rFonts w:asciiTheme="minorHAnsi" w:eastAsia="Calibri" w:hAnsiTheme="minorHAnsi" w:cstheme="minorHAnsi"/>
          <w:lang w:val="en-GB"/>
        </w:rPr>
      </w:pPr>
      <w:r w:rsidRPr="006858E9">
        <w:rPr>
          <w:rFonts w:asciiTheme="minorHAnsi" w:hAnsiTheme="minorHAnsi" w:cstheme="minorHAnsi"/>
          <w:lang w:val="en-GB"/>
        </w:rPr>
        <w:t>Resolutions 1</w:t>
      </w:r>
      <w:r w:rsidR="004A5260">
        <w:rPr>
          <w:rFonts w:asciiTheme="minorHAnsi" w:hAnsiTheme="minorHAnsi" w:cstheme="minorHAnsi"/>
          <w:lang w:val="en-GB"/>
        </w:rPr>
        <w:t>4</w:t>
      </w:r>
      <w:r w:rsidRPr="006858E9">
        <w:rPr>
          <w:rFonts w:asciiTheme="minorHAnsi" w:hAnsiTheme="minorHAnsi" w:cstheme="minorHAnsi"/>
          <w:lang w:val="en-GB"/>
        </w:rPr>
        <w:t xml:space="preserve"> to 1</w:t>
      </w:r>
      <w:r w:rsidR="004A5260">
        <w:rPr>
          <w:rFonts w:asciiTheme="minorHAnsi" w:hAnsiTheme="minorHAnsi" w:cstheme="minorHAnsi"/>
          <w:lang w:val="en-GB"/>
        </w:rPr>
        <w:t>9</w:t>
      </w:r>
      <w:r w:rsidRPr="006858E9">
        <w:rPr>
          <w:rFonts w:asciiTheme="minorHAnsi" w:hAnsiTheme="minorHAnsi" w:cstheme="minorHAnsi"/>
          <w:lang w:val="en-GB"/>
        </w:rPr>
        <w:t xml:space="preserve"> were passed as special resolutions.</w:t>
      </w:r>
    </w:p>
    <w:p w14:paraId="07461B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27A44BB4"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4F90AE2"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1237FC8" w14:textId="138F3E6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w:t>
      </w:r>
    </w:p>
    <w:p w14:paraId="09E9E2EB" w14:textId="3102E03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Greg Davidson</w:t>
      </w:r>
    </w:p>
    <w:p w14:paraId="3D01D37F" w14:textId="77777777"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Group General Counsel &amp;</w:t>
      </w:r>
    </w:p>
    <w:p w14:paraId="6CB2FAE1" w14:textId="02E241C5"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Company Secretary</w:t>
      </w:r>
    </w:p>
    <w:p w14:paraId="294F7BB5"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9498CDE" w14:textId="5415EFCE" w:rsidR="006858E9" w:rsidRPr="006858E9" w:rsidRDefault="000D29C3" w:rsidP="006858E9">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2</w:t>
      </w:r>
      <w:r w:rsidR="004A5260">
        <w:rPr>
          <w:rFonts w:asciiTheme="minorHAnsi" w:hAnsiTheme="minorHAnsi" w:cstheme="minorHAnsi"/>
          <w:lang w:val="en-GB"/>
        </w:rPr>
        <w:t>8</w:t>
      </w:r>
      <w:r>
        <w:rPr>
          <w:rFonts w:asciiTheme="minorHAnsi" w:hAnsiTheme="minorHAnsi" w:cstheme="minorHAnsi"/>
          <w:lang w:val="en-GB"/>
        </w:rPr>
        <w:t xml:space="preserve"> July 202</w:t>
      </w:r>
      <w:r w:rsidR="004A5260">
        <w:rPr>
          <w:rFonts w:asciiTheme="minorHAnsi" w:hAnsiTheme="minorHAnsi" w:cstheme="minorHAnsi"/>
          <w:lang w:val="en-GB"/>
        </w:rPr>
        <w:t>2</w:t>
      </w:r>
    </w:p>
    <w:sectPr w:rsidR="006858E9" w:rsidRPr="006858E9" w:rsidSect="006858E9">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007" w:usb1="00000001" w:usb2="00000000" w:usb3="00000000" w:csb0="00000193" w:csb1="00000000"/>
  </w:font>
  <w:font w:name="Montserrat Light">
    <w:altName w:val="Montserrat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36282"/>
    <w:multiLevelType w:val="hybridMultilevel"/>
    <w:tmpl w:val="A8C289A4"/>
    <w:lvl w:ilvl="0" w:tplc="CC788B4C">
      <w:start w:val="1"/>
      <w:numFmt w:val="decimal"/>
      <w:lvlText w:val="%1"/>
      <w:lvlJc w:val="left"/>
      <w:pPr>
        <w:ind w:left="393" w:hanging="284"/>
        <w:jc w:val="right"/>
      </w:pPr>
      <w:rPr>
        <w:rFonts w:hint="default"/>
        <w:w w:val="99"/>
      </w:rPr>
    </w:lvl>
    <w:lvl w:ilvl="1" w:tplc="752806F6">
      <w:start w:val="1"/>
      <w:numFmt w:val="lowerLetter"/>
      <w:lvlText w:val="(%2)"/>
      <w:lvlJc w:val="left"/>
      <w:pPr>
        <w:ind w:left="677" w:hanging="284"/>
        <w:jc w:val="left"/>
      </w:pPr>
      <w:rPr>
        <w:rFonts w:hint="default"/>
        <w:w w:val="80"/>
      </w:rPr>
    </w:lvl>
    <w:lvl w:ilvl="2" w:tplc="779CFAB4">
      <w:numFmt w:val="bullet"/>
      <w:lvlText w:val="•"/>
      <w:lvlJc w:val="left"/>
      <w:pPr>
        <w:ind w:left="960" w:hanging="284"/>
      </w:pPr>
      <w:rPr>
        <w:rFonts w:hint="default"/>
      </w:rPr>
    </w:lvl>
    <w:lvl w:ilvl="3" w:tplc="94BED7B0">
      <w:numFmt w:val="bullet"/>
      <w:lvlText w:val="•"/>
      <w:lvlJc w:val="left"/>
      <w:pPr>
        <w:ind w:left="2140" w:hanging="284"/>
      </w:pPr>
      <w:rPr>
        <w:rFonts w:hint="default"/>
      </w:rPr>
    </w:lvl>
    <w:lvl w:ilvl="4" w:tplc="F7586F48">
      <w:numFmt w:val="bullet"/>
      <w:lvlText w:val="•"/>
      <w:lvlJc w:val="left"/>
      <w:pPr>
        <w:ind w:left="3321" w:hanging="284"/>
      </w:pPr>
      <w:rPr>
        <w:rFonts w:hint="default"/>
      </w:rPr>
    </w:lvl>
    <w:lvl w:ilvl="5" w:tplc="B2EED8F2">
      <w:numFmt w:val="bullet"/>
      <w:lvlText w:val="•"/>
      <w:lvlJc w:val="left"/>
      <w:pPr>
        <w:ind w:left="4502" w:hanging="284"/>
      </w:pPr>
      <w:rPr>
        <w:rFonts w:hint="default"/>
      </w:rPr>
    </w:lvl>
    <w:lvl w:ilvl="6" w:tplc="5694F388">
      <w:numFmt w:val="bullet"/>
      <w:lvlText w:val="•"/>
      <w:lvlJc w:val="left"/>
      <w:pPr>
        <w:ind w:left="5682" w:hanging="284"/>
      </w:pPr>
      <w:rPr>
        <w:rFonts w:hint="default"/>
      </w:rPr>
    </w:lvl>
    <w:lvl w:ilvl="7" w:tplc="52AE3392">
      <w:numFmt w:val="bullet"/>
      <w:lvlText w:val="•"/>
      <w:lvlJc w:val="left"/>
      <w:pPr>
        <w:ind w:left="6863" w:hanging="284"/>
      </w:pPr>
      <w:rPr>
        <w:rFonts w:hint="default"/>
      </w:rPr>
    </w:lvl>
    <w:lvl w:ilvl="8" w:tplc="AE62976C">
      <w:numFmt w:val="bullet"/>
      <w:lvlText w:val="•"/>
      <w:lvlJc w:val="left"/>
      <w:pPr>
        <w:ind w:left="8044" w:hanging="284"/>
      </w:pPr>
      <w:rPr>
        <w:rFonts w:hint="default"/>
      </w:rPr>
    </w:lvl>
  </w:abstractNum>
  <w:abstractNum w:abstractNumId="1" w15:restartNumberingAfterBreak="0">
    <w:nsid w:val="2BB87FF4"/>
    <w:multiLevelType w:val="hybridMultilevel"/>
    <w:tmpl w:val="1CDEE334"/>
    <w:lvl w:ilvl="0" w:tplc="7B34E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FB00014"/>
    <w:multiLevelType w:val="hybridMultilevel"/>
    <w:tmpl w:val="7DCC974E"/>
    <w:lvl w:ilvl="0" w:tplc="F1001C6C">
      <w:start w:val="1"/>
      <w:numFmt w:val="decimal"/>
      <w:lvlText w:val="%1"/>
      <w:lvlJc w:val="left"/>
      <w:pPr>
        <w:ind w:left="393" w:hanging="284"/>
      </w:pPr>
      <w:rPr>
        <w:rFonts w:ascii="Montserrat" w:eastAsia="Montserrat" w:hAnsi="Montserrat" w:cs="Montserrat" w:hint="default"/>
        <w:b/>
        <w:bCs/>
        <w:i w:val="0"/>
        <w:iCs w:val="0"/>
        <w:color w:val="231F20"/>
        <w:w w:val="97"/>
        <w:sz w:val="16"/>
        <w:szCs w:val="16"/>
        <w:lang w:val="en-US" w:eastAsia="en-US" w:bidi="ar-SA"/>
      </w:rPr>
    </w:lvl>
    <w:lvl w:ilvl="1" w:tplc="DD966A36">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lang w:val="en-US" w:eastAsia="en-US" w:bidi="ar-SA"/>
      </w:rPr>
    </w:lvl>
    <w:lvl w:ilvl="2" w:tplc="3872D626">
      <w:numFmt w:val="bullet"/>
      <w:lvlText w:val="•"/>
      <w:lvlJc w:val="left"/>
      <w:pPr>
        <w:ind w:left="960" w:hanging="284"/>
      </w:pPr>
      <w:rPr>
        <w:lang w:val="en-US" w:eastAsia="en-US" w:bidi="ar-SA"/>
      </w:rPr>
    </w:lvl>
    <w:lvl w:ilvl="3" w:tplc="F31E8806">
      <w:numFmt w:val="bullet"/>
      <w:lvlText w:val="•"/>
      <w:lvlJc w:val="left"/>
      <w:pPr>
        <w:ind w:left="2143" w:hanging="284"/>
      </w:pPr>
      <w:rPr>
        <w:lang w:val="en-US" w:eastAsia="en-US" w:bidi="ar-SA"/>
      </w:rPr>
    </w:lvl>
    <w:lvl w:ilvl="4" w:tplc="BA18B828">
      <w:numFmt w:val="bullet"/>
      <w:lvlText w:val="•"/>
      <w:lvlJc w:val="left"/>
      <w:pPr>
        <w:ind w:left="3326" w:hanging="284"/>
      </w:pPr>
      <w:rPr>
        <w:lang w:val="en-US" w:eastAsia="en-US" w:bidi="ar-SA"/>
      </w:rPr>
    </w:lvl>
    <w:lvl w:ilvl="5" w:tplc="6BF27AEE">
      <w:numFmt w:val="bullet"/>
      <w:lvlText w:val="•"/>
      <w:lvlJc w:val="left"/>
      <w:pPr>
        <w:ind w:left="4509" w:hanging="284"/>
      </w:pPr>
      <w:rPr>
        <w:lang w:val="en-US" w:eastAsia="en-US" w:bidi="ar-SA"/>
      </w:rPr>
    </w:lvl>
    <w:lvl w:ilvl="6" w:tplc="68CE0124">
      <w:numFmt w:val="bullet"/>
      <w:lvlText w:val="•"/>
      <w:lvlJc w:val="left"/>
      <w:pPr>
        <w:ind w:left="5692" w:hanging="284"/>
      </w:pPr>
      <w:rPr>
        <w:lang w:val="en-US" w:eastAsia="en-US" w:bidi="ar-SA"/>
      </w:rPr>
    </w:lvl>
    <w:lvl w:ilvl="7" w:tplc="420C4E12">
      <w:numFmt w:val="bullet"/>
      <w:lvlText w:val="•"/>
      <w:lvlJc w:val="left"/>
      <w:pPr>
        <w:ind w:left="6875" w:hanging="284"/>
      </w:pPr>
      <w:rPr>
        <w:lang w:val="en-US" w:eastAsia="en-US" w:bidi="ar-SA"/>
      </w:rPr>
    </w:lvl>
    <w:lvl w:ilvl="8" w:tplc="8AAED0F6">
      <w:numFmt w:val="bullet"/>
      <w:lvlText w:val="•"/>
      <w:lvlJc w:val="left"/>
      <w:pPr>
        <w:ind w:left="8059" w:hanging="284"/>
      </w:pPr>
      <w:rPr>
        <w:lang w:val="en-US" w:eastAsia="en-US" w:bidi="ar-SA"/>
      </w:rPr>
    </w:lvl>
  </w:abstractNum>
  <w:abstractNum w:abstractNumId="3" w15:restartNumberingAfterBreak="0">
    <w:nsid w:val="422F4E11"/>
    <w:multiLevelType w:val="hybridMultilevel"/>
    <w:tmpl w:val="DAFA2F1E"/>
    <w:lvl w:ilvl="0" w:tplc="966AEB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38B78BF"/>
    <w:multiLevelType w:val="hybridMultilevel"/>
    <w:tmpl w:val="F84E6F38"/>
    <w:lvl w:ilvl="0" w:tplc="50F8B5B0">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AB0EC410">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rPr>
    </w:lvl>
    <w:lvl w:ilvl="2" w:tplc="48ECEBCA">
      <w:numFmt w:val="bullet"/>
      <w:lvlText w:val="•"/>
      <w:lvlJc w:val="left"/>
      <w:pPr>
        <w:ind w:left="960" w:hanging="284"/>
      </w:pPr>
    </w:lvl>
    <w:lvl w:ilvl="3" w:tplc="54A84D2E">
      <w:numFmt w:val="bullet"/>
      <w:lvlText w:val="•"/>
      <w:lvlJc w:val="left"/>
      <w:pPr>
        <w:ind w:left="2143" w:hanging="284"/>
      </w:pPr>
    </w:lvl>
    <w:lvl w:ilvl="4" w:tplc="5CE67AEC">
      <w:numFmt w:val="bullet"/>
      <w:lvlText w:val="•"/>
      <w:lvlJc w:val="left"/>
      <w:pPr>
        <w:ind w:left="3326" w:hanging="284"/>
      </w:pPr>
    </w:lvl>
    <w:lvl w:ilvl="5" w:tplc="14E8845E">
      <w:numFmt w:val="bullet"/>
      <w:lvlText w:val="•"/>
      <w:lvlJc w:val="left"/>
      <w:pPr>
        <w:ind w:left="4509" w:hanging="284"/>
      </w:pPr>
    </w:lvl>
    <w:lvl w:ilvl="6" w:tplc="69CE83BC">
      <w:numFmt w:val="bullet"/>
      <w:lvlText w:val="•"/>
      <w:lvlJc w:val="left"/>
      <w:pPr>
        <w:ind w:left="5692" w:hanging="284"/>
      </w:pPr>
    </w:lvl>
    <w:lvl w:ilvl="7" w:tplc="3398D504">
      <w:numFmt w:val="bullet"/>
      <w:lvlText w:val="•"/>
      <w:lvlJc w:val="left"/>
      <w:pPr>
        <w:ind w:left="6875" w:hanging="284"/>
      </w:pPr>
    </w:lvl>
    <w:lvl w:ilvl="8" w:tplc="7BFE5DB8">
      <w:numFmt w:val="bullet"/>
      <w:lvlText w:val="•"/>
      <w:lvlJc w:val="left"/>
      <w:pPr>
        <w:ind w:left="8059" w:hanging="284"/>
      </w:pPr>
    </w:lvl>
  </w:abstractNum>
  <w:abstractNum w:abstractNumId="5" w15:restartNumberingAfterBreak="0">
    <w:nsid w:val="49690A15"/>
    <w:multiLevelType w:val="hybridMultilevel"/>
    <w:tmpl w:val="E28246E0"/>
    <w:lvl w:ilvl="0" w:tplc="2A92A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F2C7F32"/>
    <w:multiLevelType w:val="hybridMultilevel"/>
    <w:tmpl w:val="4086B146"/>
    <w:lvl w:ilvl="0" w:tplc="43E4E7D4">
      <w:start w:val="1"/>
      <w:numFmt w:val="lowerLetter"/>
      <w:lvlText w:val="(%1)"/>
      <w:lvlJc w:val="left"/>
      <w:pPr>
        <w:ind w:left="1320" w:hanging="360"/>
      </w:pPr>
      <w:rPr>
        <w:color w:val="231F20"/>
      </w:r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start w:val="1"/>
      <w:numFmt w:val="lowerRoman"/>
      <w:lvlText w:val="%6."/>
      <w:lvlJc w:val="right"/>
      <w:pPr>
        <w:ind w:left="4920" w:hanging="180"/>
      </w:pPr>
    </w:lvl>
    <w:lvl w:ilvl="6" w:tplc="0809000F">
      <w:start w:val="1"/>
      <w:numFmt w:val="decimal"/>
      <w:lvlText w:val="%7."/>
      <w:lvlJc w:val="left"/>
      <w:pPr>
        <w:ind w:left="5640" w:hanging="360"/>
      </w:pPr>
    </w:lvl>
    <w:lvl w:ilvl="7" w:tplc="08090019">
      <w:start w:val="1"/>
      <w:numFmt w:val="lowerLetter"/>
      <w:lvlText w:val="%8."/>
      <w:lvlJc w:val="left"/>
      <w:pPr>
        <w:ind w:left="6360" w:hanging="360"/>
      </w:pPr>
    </w:lvl>
    <w:lvl w:ilvl="8" w:tplc="0809001B">
      <w:start w:val="1"/>
      <w:numFmt w:val="lowerRoman"/>
      <w:lvlText w:val="%9."/>
      <w:lvlJc w:val="right"/>
      <w:pPr>
        <w:ind w:left="7080" w:hanging="180"/>
      </w:pPr>
    </w:lvl>
  </w:abstractNum>
  <w:abstractNum w:abstractNumId="7" w15:restartNumberingAfterBreak="0">
    <w:nsid w:val="577D2378"/>
    <w:multiLevelType w:val="hybridMultilevel"/>
    <w:tmpl w:val="98022B0A"/>
    <w:lvl w:ilvl="0" w:tplc="C2B053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0ED39F4"/>
    <w:multiLevelType w:val="hybridMultilevel"/>
    <w:tmpl w:val="07AA5C60"/>
    <w:lvl w:ilvl="0" w:tplc="C46E2918">
      <w:start w:val="1"/>
      <w:numFmt w:val="decimal"/>
      <w:lvlText w:val="%1."/>
      <w:lvlJc w:val="left"/>
      <w:pPr>
        <w:ind w:left="720" w:hanging="360"/>
      </w:pPr>
      <w:rPr>
        <w:rFonts w:asciiTheme="minorHAnsi" w:eastAsia="Arial" w:hAnsiTheme="minorHAnsi" w:cstheme="minorHAnsi" w:hint="default"/>
        <w:color w:val="231F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9FA5E02"/>
    <w:multiLevelType w:val="hybridMultilevel"/>
    <w:tmpl w:val="FB70AAB2"/>
    <w:lvl w:ilvl="0" w:tplc="FC142984">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EBAE1F96">
      <w:start w:val="1"/>
      <w:numFmt w:val="lowerLetter"/>
      <w:lvlText w:val="(%2)"/>
      <w:lvlJc w:val="left"/>
      <w:pPr>
        <w:ind w:left="677" w:hanging="284"/>
      </w:pPr>
      <w:rPr>
        <w:rFonts w:asciiTheme="minorHAnsi" w:eastAsia="Montserrat Light" w:hAnsiTheme="minorHAnsi" w:cstheme="minorHAnsi" w:hint="default"/>
        <w:b w:val="0"/>
        <w:bCs w:val="0"/>
        <w:i w:val="0"/>
        <w:iCs w:val="0"/>
        <w:color w:val="231F20"/>
        <w:w w:val="105"/>
        <w:sz w:val="22"/>
        <w:szCs w:val="22"/>
      </w:rPr>
    </w:lvl>
    <w:lvl w:ilvl="2" w:tplc="1AE2C90C">
      <w:numFmt w:val="bullet"/>
      <w:lvlText w:val="•"/>
      <w:lvlJc w:val="left"/>
      <w:pPr>
        <w:ind w:left="960" w:hanging="284"/>
      </w:pPr>
    </w:lvl>
    <w:lvl w:ilvl="3" w:tplc="765E93E2">
      <w:numFmt w:val="bullet"/>
      <w:lvlText w:val="•"/>
      <w:lvlJc w:val="left"/>
      <w:pPr>
        <w:ind w:left="2143" w:hanging="284"/>
      </w:pPr>
    </w:lvl>
    <w:lvl w:ilvl="4" w:tplc="C874A54C">
      <w:numFmt w:val="bullet"/>
      <w:lvlText w:val="•"/>
      <w:lvlJc w:val="left"/>
      <w:pPr>
        <w:ind w:left="3326" w:hanging="284"/>
      </w:pPr>
    </w:lvl>
    <w:lvl w:ilvl="5" w:tplc="F9C6DC82">
      <w:numFmt w:val="bullet"/>
      <w:lvlText w:val="•"/>
      <w:lvlJc w:val="left"/>
      <w:pPr>
        <w:ind w:left="4509" w:hanging="284"/>
      </w:pPr>
    </w:lvl>
    <w:lvl w:ilvl="6" w:tplc="05B8D440">
      <w:numFmt w:val="bullet"/>
      <w:lvlText w:val="•"/>
      <w:lvlJc w:val="left"/>
      <w:pPr>
        <w:ind w:left="5692" w:hanging="284"/>
      </w:pPr>
    </w:lvl>
    <w:lvl w:ilvl="7" w:tplc="486CA6BE">
      <w:numFmt w:val="bullet"/>
      <w:lvlText w:val="•"/>
      <w:lvlJc w:val="left"/>
      <w:pPr>
        <w:ind w:left="6875" w:hanging="284"/>
      </w:pPr>
    </w:lvl>
    <w:lvl w:ilvl="8" w:tplc="65922450">
      <w:numFmt w:val="bullet"/>
      <w:lvlText w:val="•"/>
      <w:lvlJc w:val="left"/>
      <w:pPr>
        <w:ind w:left="8059" w:hanging="284"/>
      </w:pPr>
    </w:lvl>
  </w:abstractNum>
  <w:abstractNum w:abstractNumId="10" w15:restartNumberingAfterBreak="0">
    <w:nsid w:val="6D6E7654"/>
    <w:multiLevelType w:val="hybridMultilevel"/>
    <w:tmpl w:val="6C08CCA2"/>
    <w:lvl w:ilvl="0" w:tplc="F4A041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9992668">
    <w:abstractNumId w:val="0"/>
  </w:num>
  <w:num w:numId="2" w16cid:durableId="384262404">
    <w:abstractNumId w:val="8"/>
  </w:num>
  <w:num w:numId="3" w16cid:durableId="156849173">
    <w:abstractNumId w:val="8"/>
  </w:num>
  <w:num w:numId="4" w16cid:durableId="941650553">
    <w:abstractNumId w:val="9"/>
  </w:num>
  <w:num w:numId="5" w16cid:durableId="107022807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84625114">
    <w:abstractNumId w:val="6"/>
  </w:num>
  <w:num w:numId="7" w16cid:durableId="1520314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22464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52915269">
    <w:abstractNumId w:val="10"/>
  </w:num>
  <w:num w:numId="10" w16cid:durableId="357194098">
    <w:abstractNumId w:val="1"/>
  </w:num>
  <w:num w:numId="11" w16cid:durableId="57332136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43480700">
    <w:abstractNumId w:val="7"/>
  </w:num>
  <w:num w:numId="13" w16cid:durableId="507257309">
    <w:abstractNumId w:val="3"/>
  </w:num>
  <w:num w:numId="14" w16cid:durableId="603147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34C51"/>
    <w:rsid w:val="000D29C3"/>
    <w:rsid w:val="003B3541"/>
    <w:rsid w:val="004A5260"/>
    <w:rsid w:val="004E228C"/>
    <w:rsid w:val="006858E9"/>
    <w:rsid w:val="006D1113"/>
    <w:rsid w:val="00763B8E"/>
    <w:rsid w:val="00C3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FA97"/>
  <w15:docId w15:val="{43F7DA99-73D8-4D8E-A223-A4BD7C0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right="371"/>
      <w:jc w:val="right"/>
      <w:outlineLvl w:val="0"/>
    </w:pPr>
    <w:rPr>
      <w:rFonts w:ascii="Microsoft Yi Baiti" w:eastAsia="Microsoft Yi Baiti" w:hAnsi="Microsoft Yi Baiti" w:cs="Microsoft Yi Baiti"/>
      <w:sz w:val="20"/>
      <w:szCs w:val="20"/>
    </w:rPr>
  </w:style>
  <w:style w:type="paragraph" w:styleId="Heading2">
    <w:name w:val="heading 2"/>
    <w:basedOn w:val="Normal"/>
    <w:link w:val="Heading2Char"/>
    <w:uiPriority w:val="9"/>
    <w:semiHidden/>
    <w:unhideWhenUsed/>
    <w:qFormat/>
    <w:rsid w:val="000D29C3"/>
    <w:pPr>
      <w:spacing w:before="85" w:line="324" w:lineRule="exact"/>
      <w:ind w:left="393"/>
      <w:outlineLvl w:val="1"/>
    </w:pPr>
    <w:rPr>
      <w:rFonts w:ascii="Montserrat" w:eastAsia="Montserrat" w:hAnsi="Montserrat" w:cs="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link w:val="TitleChar"/>
    <w:uiPriority w:val="10"/>
    <w:qFormat/>
    <w:pPr>
      <w:spacing w:before="45"/>
      <w:ind w:left="110"/>
    </w:pPr>
    <w:rPr>
      <w:rFonts w:ascii="Calibri" w:eastAsia="Calibri" w:hAnsi="Calibri" w:cs="Calibri"/>
      <w:sz w:val="48"/>
      <w:szCs w:val="48"/>
    </w:rPr>
  </w:style>
  <w:style w:type="paragraph" w:styleId="ListParagraph">
    <w:name w:val="List Paragraph"/>
    <w:basedOn w:val="Normal"/>
    <w:uiPriority w:val="1"/>
    <w:qFormat/>
    <w:pPr>
      <w:ind w:left="393"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D29C3"/>
    <w:rPr>
      <w:rFonts w:ascii="Montserrat" w:eastAsia="Montserrat" w:hAnsi="Montserrat" w:cs="Montserrat"/>
      <w:b/>
      <w:bCs/>
      <w:sz w:val="20"/>
      <w:szCs w:val="20"/>
    </w:rPr>
  </w:style>
  <w:style w:type="character" w:customStyle="1" w:styleId="Heading1Char">
    <w:name w:val="Heading 1 Char"/>
    <w:basedOn w:val="DefaultParagraphFont"/>
    <w:link w:val="Heading1"/>
    <w:uiPriority w:val="9"/>
    <w:rsid w:val="000D29C3"/>
    <w:rPr>
      <w:rFonts w:ascii="Microsoft Yi Baiti" w:eastAsia="Microsoft Yi Baiti" w:hAnsi="Microsoft Yi Baiti" w:cs="Microsoft Yi Baiti"/>
      <w:sz w:val="20"/>
      <w:szCs w:val="20"/>
    </w:rPr>
  </w:style>
  <w:style w:type="paragraph" w:customStyle="1" w:styleId="msonormal0">
    <w:name w:val="msonormal"/>
    <w:basedOn w:val="Normal"/>
    <w:rsid w:val="000D2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uiPriority w:val="10"/>
    <w:rsid w:val="000D29C3"/>
    <w:rPr>
      <w:rFonts w:ascii="Calibri" w:eastAsia="Calibri" w:hAnsi="Calibri" w:cs="Calibri"/>
      <w:sz w:val="48"/>
      <w:szCs w:val="48"/>
    </w:rPr>
  </w:style>
  <w:style w:type="character" w:customStyle="1" w:styleId="BodyTextChar">
    <w:name w:val="Body Text Char"/>
    <w:basedOn w:val="DefaultParagraphFont"/>
    <w:link w:val="BodyText"/>
    <w:uiPriority w:val="1"/>
    <w:rsid w:val="000D29C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6192">
      <w:bodyDiv w:val="1"/>
      <w:marLeft w:val="0"/>
      <w:marRight w:val="0"/>
      <w:marTop w:val="0"/>
      <w:marBottom w:val="0"/>
      <w:divBdr>
        <w:top w:val="none" w:sz="0" w:space="0" w:color="auto"/>
        <w:left w:val="none" w:sz="0" w:space="0" w:color="auto"/>
        <w:bottom w:val="none" w:sz="0" w:space="0" w:color="auto"/>
        <w:right w:val="none" w:sz="0" w:space="0" w:color="auto"/>
      </w:divBdr>
    </w:div>
    <w:div w:id="146560952">
      <w:bodyDiv w:val="1"/>
      <w:marLeft w:val="0"/>
      <w:marRight w:val="0"/>
      <w:marTop w:val="0"/>
      <w:marBottom w:val="0"/>
      <w:divBdr>
        <w:top w:val="none" w:sz="0" w:space="0" w:color="auto"/>
        <w:left w:val="none" w:sz="0" w:space="0" w:color="auto"/>
        <w:bottom w:val="none" w:sz="0" w:space="0" w:color="auto"/>
        <w:right w:val="none" w:sz="0" w:space="0" w:color="auto"/>
      </w:divBdr>
    </w:div>
    <w:div w:id="213735013">
      <w:bodyDiv w:val="1"/>
      <w:marLeft w:val="0"/>
      <w:marRight w:val="0"/>
      <w:marTop w:val="0"/>
      <w:marBottom w:val="0"/>
      <w:divBdr>
        <w:top w:val="none" w:sz="0" w:space="0" w:color="auto"/>
        <w:left w:val="none" w:sz="0" w:space="0" w:color="auto"/>
        <w:bottom w:val="none" w:sz="0" w:space="0" w:color="auto"/>
        <w:right w:val="none" w:sz="0" w:space="0" w:color="auto"/>
      </w:divBdr>
    </w:div>
    <w:div w:id="464785429">
      <w:bodyDiv w:val="1"/>
      <w:marLeft w:val="0"/>
      <w:marRight w:val="0"/>
      <w:marTop w:val="0"/>
      <w:marBottom w:val="0"/>
      <w:divBdr>
        <w:top w:val="none" w:sz="0" w:space="0" w:color="auto"/>
        <w:left w:val="none" w:sz="0" w:space="0" w:color="auto"/>
        <w:bottom w:val="none" w:sz="0" w:space="0" w:color="auto"/>
        <w:right w:val="none" w:sz="0" w:space="0" w:color="auto"/>
      </w:divBdr>
    </w:div>
    <w:div w:id="700937834">
      <w:bodyDiv w:val="1"/>
      <w:marLeft w:val="0"/>
      <w:marRight w:val="0"/>
      <w:marTop w:val="0"/>
      <w:marBottom w:val="0"/>
      <w:divBdr>
        <w:top w:val="none" w:sz="0" w:space="0" w:color="auto"/>
        <w:left w:val="none" w:sz="0" w:space="0" w:color="auto"/>
        <w:bottom w:val="none" w:sz="0" w:space="0" w:color="auto"/>
        <w:right w:val="none" w:sz="0" w:space="0" w:color="auto"/>
      </w:divBdr>
    </w:div>
    <w:div w:id="905650227">
      <w:bodyDiv w:val="1"/>
      <w:marLeft w:val="0"/>
      <w:marRight w:val="0"/>
      <w:marTop w:val="0"/>
      <w:marBottom w:val="0"/>
      <w:divBdr>
        <w:top w:val="none" w:sz="0" w:space="0" w:color="auto"/>
        <w:left w:val="none" w:sz="0" w:space="0" w:color="auto"/>
        <w:bottom w:val="none" w:sz="0" w:space="0" w:color="auto"/>
        <w:right w:val="none" w:sz="0" w:space="0" w:color="auto"/>
      </w:divBdr>
    </w:div>
    <w:div w:id="917786172">
      <w:bodyDiv w:val="1"/>
      <w:marLeft w:val="0"/>
      <w:marRight w:val="0"/>
      <w:marTop w:val="0"/>
      <w:marBottom w:val="0"/>
      <w:divBdr>
        <w:top w:val="none" w:sz="0" w:space="0" w:color="auto"/>
        <w:left w:val="none" w:sz="0" w:space="0" w:color="auto"/>
        <w:bottom w:val="none" w:sz="0" w:space="0" w:color="auto"/>
        <w:right w:val="none" w:sz="0" w:space="0" w:color="auto"/>
      </w:divBdr>
    </w:div>
    <w:div w:id="1246839747">
      <w:bodyDiv w:val="1"/>
      <w:marLeft w:val="0"/>
      <w:marRight w:val="0"/>
      <w:marTop w:val="0"/>
      <w:marBottom w:val="0"/>
      <w:divBdr>
        <w:top w:val="none" w:sz="0" w:space="0" w:color="auto"/>
        <w:left w:val="none" w:sz="0" w:space="0" w:color="auto"/>
        <w:bottom w:val="none" w:sz="0" w:space="0" w:color="auto"/>
        <w:right w:val="none" w:sz="0" w:space="0" w:color="auto"/>
      </w:divBdr>
    </w:div>
    <w:div w:id="1468082536">
      <w:bodyDiv w:val="1"/>
      <w:marLeft w:val="0"/>
      <w:marRight w:val="0"/>
      <w:marTop w:val="0"/>
      <w:marBottom w:val="0"/>
      <w:divBdr>
        <w:top w:val="none" w:sz="0" w:space="0" w:color="auto"/>
        <w:left w:val="none" w:sz="0" w:space="0" w:color="auto"/>
        <w:bottom w:val="none" w:sz="0" w:space="0" w:color="auto"/>
        <w:right w:val="none" w:sz="0" w:space="0" w:color="auto"/>
      </w:divBdr>
    </w:div>
    <w:div w:id="1493789508">
      <w:bodyDiv w:val="1"/>
      <w:marLeft w:val="0"/>
      <w:marRight w:val="0"/>
      <w:marTop w:val="0"/>
      <w:marBottom w:val="0"/>
      <w:divBdr>
        <w:top w:val="none" w:sz="0" w:space="0" w:color="auto"/>
        <w:left w:val="none" w:sz="0" w:space="0" w:color="auto"/>
        <w:bottom w:val="none" w:sz="0" w:space="0" w:color="auto"/>
        <w:right w:val="none" w:sz="0" w:space="0" w:color="auto"/>
      </w:divBdr>
    </w:div>
    <w:div w:id="1617252957">
      <w:bodyDiv w:val="1"/>
      <w:marLeft w:val="0"/>
      <w:marRight w:val="0"/>
      <w:marTop w:val="0"/>
      <w:marBottom w:val="0"/>
      <w:divBdr>
        <w:top w:val="none" w:sz="0" w:space="0" w:color="auto"/>
        <w:left w:val="none" w:sz="0" w:space="0" w:color="auto"/>
        <w:bottom w:val="none" w:sz="0" w:space="0" w:color="auto"/>
        <w:right w:val="none" w:sz="0" w:space="0" w:color="auto"/>
      </w:divBdr>
    </w:div>
    <w:div w:id="1662199338">
      <w:bodyDiv w:val="1"/>
      <w:marLeft w:val="0"/>
      <w:marRight w:val="0"/>
      <w:marTop w:val="0"/>
      <w:marBottom w:val="0"/>
      <w:divBdr>
        <w:top w:val="none" w:sz="0" w:space="0" w:color="auto"/>
        <w:left w:val="none" w:sz="0" w:space="0" w:color="auto"/>
        <w:bottom w:val="none" w:sz="0" w:space="0" w:color="auto"/>
        <w:right w:val="none" w:sz="0" w:space="0" w:color="auto"/>
      </w:divBdr>
    </w:div>
    <w:div w:id="1941990566">
      <w:bodyDiv w:val="1"/>
      <w:marLeft w:val="0"/>
      <w:marRight w:val="0"/>
      <w:marTop w:val="0"/>
      <w:marBottom w:val="0"/>
      <w:divBdr>
        <w:top w:val="none" w:sz="0" w:space="0" w:color="auto"/>
        <w:left w:val="none" w:sz="0" w:space="0" w:color="auto"/>
        <w:bottom w:val="none" w:sz="0" w:space="0" w:color="auto"/>
        <w:right w:val="none" w:sz="0" w:space="0" w:color="auto"/>
      </w:divBdr>
    </w:div>
    <w:div w:id="203935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Davidson</cp:lastModifiedBy>
  <cp:revision>5</cp:revision>
  <dcterms:created xsi:type="dcterms:W3CDTF">2020-08-19T08:56:00Z</dcterms:created>
  <dcterms:modified xsi:type="dcterms:W3CDTF">2022-07-27T16:15:00Z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LastSaved">
    <vt:filetime>2020-08-19T00:00:00Z</vt:filetime>
  </property>
</Properties>
</file>