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F5DED" w14:textId="77777777" w:rsidR="001831BB" w:rsidRDefault="001831BB" w:rsidP="001831BB">
      <w:pPr>
        <w:jc w:val="both"/>
        <w:rPr>
          <w:rFonts w:ascii="Calibri" w:hAnsi="Calibri" w:cs="Calibri"/>
          <w:b/>
          <w:bCs/>
          <w:sz w:val="22"/>
          <w:szCs w:val="22"/>
        </w:rPr>
      </w:pPr>
      <w:r w:rsidRPr="001831BB">
        <w:rPr>
          <w:rFonts w:ascii="Calibri" w:hAnsi="Calibri" w:cs="Calibri"/>
          <w:b/>
          <w:bCs/>
          <w:sz w:val="22"/>
          <w:szCs w:val="22"/>
        </w:rPr>
        <w:t>THIS DOCUMENT IS IMPORTANT AND REQUIRES YOUR IMMEDIATE ATTENTION</w:t>
      </w:r>
    </w:p>
    <w:p w14:paraId="2719864F" w14:textId="77777777" w:rsidR="001831BB" w:rsidRDefault="001831BB" w:rsidP="001831BB">
      <w:pPr>
        <w:jc w:val="both"/>
        <w:rPr>
          <w:rFonts w:ascii="Calibri" w:hAnsi="Calibri" w:cs="Calibri"/>
          <w:b/>
          <w:bCs/>
          <w:sz w:val="22"/>
          <w:szCs w:val="22"/>
        </w:rPr>
      </w:pPr>
    </w:p>
    <w:p w14:paraId="60C4E974" w14:textId="50C3D70E" w:rsidR="001831BB" w:rsidRDefault="001831BB" w:rsidP="001831BB">
      <w:pPr>
        <w:jc w:val="both"/>
        <w:rPr>
          <w:rFonts w:ascii="Calibri" w:hAnsi="Calibri" w:cs="Calibri"/>
          <w:b/>
          <w:bCs/>
          <w:sz w:val="22"/>
          <w:szCs w:val="22"/>
        </w:rPr>
      </w:pPr>
      <w:r w:rsidRPr="001831BB">
        <w:rPr>
          <w:rFonts w:ascii="Calibri" w:hAnsi="Calibri" w:cs="Calibri"/>
          <w:b/>
          <w:bCs/>
          <w:sz w:val="22"/>
          <w:szCs w:val="22"/>
        </w:rPr>
        <w:t>IF YOU ARE IN ANY DOUBT ABOUT THE CONTENTS OF THIS DOCUMENT OR AS TO WHAT ACTION YOU SHOULD TAKE, YOU ARE RECOMMENDED TO SEEK YOUR OWN FINANCIAL ADVICE IMMEDIATELY FROM YOUR STOCKBROKER, BANK MANAGER, SOLICITOR, ACCOUNTANT OR OTHER INDEPENDENT FINANCIAL ADVISER</w:t>
      </w:r>
      <w:r>
        <w:rPr>
          <w:rFonts w:ascii="Calibri" w:hAnsi="Calibri" w:cs="Calibri"/>
          <w:b/>
          <w:bCs/>
          <w:sz w:val="22"/>
          <w:szCs w:val="22"/>
        </w:rPr>
        <w:t xml:space="preserve"> </w:t>
      </w:r>
      <w:r w:rsidRPr="001831BB">
        <w:rPr>
          <w:rFonts w:ascii="Calibri" w:hAnsi="Calibri" w:cs="Calibri"/>
          <w:b/>
          <w:bCs/>
          <w:sz w:val="22"/>
          <w:szCs w:val="22"/>
        </w:rPr>
        <w:t>AUTHORISED UNDER THE FINANCIAL SERVICES AND MARKETS ACT 2000 ("FSMA</w:t>
      </w:r>
      <w:r w:rsidR="000F7359">
        <w:rPr>
          <w:rFonts w:ascii="Calibri" w:hAnsi="Calibri" w:cs="Calibri"/>
          <w:b/>
          <w:bCs/>
          <w:sz w:val="22"/>
          <w:szCs w:val="22"/>
        </w:rPr>
        <w:t>"</w:t>
      </w:r>
      <w:r w:rsidRPr="001831BB">
        <w:rPr>
          <w:rFonts w:ascii="Calibri" w:hAnsi="Calibri" w:cs="Calibri"/>
          <w:b/>
          <w:bCs/>
          <w:sz w:val="22"/>
          <w:szCs w:val="22"/>
        </w:rPr>
        <w:t>).</w:t>
      </w:r>
    </w:p>
    <w:p w14:paraId="2433A77C" w14:textId="77777777" w:rsidR="001831BB" w:rsidRDefault="001831BB" w:rsidP="001831BB">
      <w:pPr>
        <w:jc w:val="both"/>
        <w:rPr>
          <w:rFonts w:ascii="Calibri" w:hAnsi="Calibri" w:cs="Calibri"/>
          <w:b/>
          <w:bCs/>
          <w:sz w:val="22"/>
          <w:szCs w:val="22"/>
        </w:rPr>
      </w:pPr>
    </w:p>
    <w:p w14:paraId="16E29ED8" w14:textId="1612ADFF" w:rsidR="001831BB" w:rsidRDefault="001831BB" w:rsidP="001831BB">
      <w:pPr>
        <w:jc w:val="both"/>
        <w:rPr>
          <w:rFonts w:ascii="Calibri" w:hAnsi="Calibri" w:cs="Calibri"/>
          <w:b/>
          <w:bCs/>
          <w:sz w:val="22"/>
          <w:szCs w:val="22"/>
        </w:rPr>
      </w:pPr>
      <w:r w:rsidRPr="001831BB">
        <w:rPr>
          <w:rFonts w:ascii="Calibri" w:hAnsi="Calibri" w:cs="Calibri"/>
          <w:b/>
          <w:bCs/>
          <w:sz w:val="22"/>
          <w:szCs w:val="22"/>
        </w:rPr>
        <w:t>THIS DOCUMENT HAS BEEN PREPARED IN ACCORDANCE WITH THE PROSPECTUS REGULATION RULES MADE UNDER FSMA ("PROSPECTUS REGULATION RULES") AND HAS BEEN APPROVED BY THE FINANCIAL CONDUCT</w:t>
      </w:r>
      <w:r>
        <w:rPr>
          <w:rFonts w:ascii="Calibri" w:hAnsi="Calibri" w:cs="Calibri"/>
          <w:b/>
          <w:bCs/>
          <w:sz w:val="22"/>
          <w:szCs w:val="22"/>
        </w:rPr>
        <w:t xml:space="preserve"> </w:t>
      </w:r>
      <w:r w:rsidRPr="001831BB">
        <w:rPr>
          <w:rFonts w:ascii="Calibri" w:hAnsi="Calibri" w:cs="Calibri"/>
          <w:b/>
          <w:bCs/>
          <w:sz w:val="22"/>
          <w:szCs w:val="22"/>
        </w:rPr>
        <w:t>AUTHORITY ("F</w:t>
      </w:r>
      <w:r>
        <w:rPr>
          <w:rFonts w:ascii="Calibri" w:hAnsi="Calibri" w:cs="Calibri"/>
          <w:b/>
          <w:bCs/>
          <w:sz w:val="22"/>
          <w:szCs w:val="22"/>
        </w:rPr>
        <w:t>C</w:t>
      </w:r>
      <w:r w:rsidRPr="001831BB">
        <w:rPr>
          <w:rFonts w:ascii="Calibri" w:hAnsi="Calibri" w:cs="Calibri"/>
          <w:b/>
          <w:bCs/>
          <w:sz w:val="22"/>
          <w:szCs w:val="22"/>
        </w:rPr>
        <w:t>A</w:t>
      </w:r>
      <w:r w:rsidR="008F2FFB">
        <w:rPr>
          <w:rFonts w:ascii="Calibri" w:hAnsi="Calibri" w:cs="Calibri"/>
          <w:b/>
          <w:bCs/>
          <w:sz w:val="22"/>
          <w:szCs w:val="22"/>
        </w:rPr>
        <w:t>"</w:t>
      </w:r>
      <w:r w:rsidRPr="001831BB">
        <w:rPr>
          <w:rFonts w:ascii="Calibri" w:hAnsi="Calibri" w:cs="Calibri"/>
          <w:b/>
          <w:bCs/>
          <w:sz w:val="22"/>
          <w:szCs w:val="22"/>
        </w:rPr>
        <w:t xml:space="preserve">) IN ACCORDANCE WITH FSMA AND CONSTITUTES A SUPPLEMENTARY PROSPECTUS (THE "SUPPLEMENTARY PROSPECTUS") ISSUED BY </w:t>
      </w:r>
      <w:r>
        <w:rPr>
          <w:rFonts w:ascii="Calibri" w:hAnsi="Calibri" w:cs="Calibri"/>
          <w:b/>
          <w:bCs/>
          <w:sz w:val="22"/>
          <w:szCs w:val="22"/>
        </w:rPr>
        <w:t>FORESIGHT VENTURES VCT PLC (UNDER ITS FORMER NAME THAMES VENTURES VCT 1 PLC)</w:t>
      </w:r>
      <w:r w:rsidRPr="001831BB">
        <w:rPr>
          <w:rFonts w:ascii="Calibri" w:hAnsi="Calibri" w:cs="Calibri"/>
          <w:b/>
          <w:bCs/>
          <w:sz w:val="22"/>
          <w:szCs w:val="22"/>
        </w:rPr>
        <w:t xml:space="preserve"> (THE "COMPANY"). THIS SUPPLEMENTARY PROSPECTUS IS SUPPLEMENTAL TO AND SHOULD BE READ IN CONJUNCTION WITH THE PROSPECTUS ISSUED BY THE COMPANY DATED </w:t>
      </w:r>
      <w:r>
        <w:rPr>
          <w:rFonts w:ascii="Calibri" w:hAnsi="Calibri" w:cs="Calibri"/>
          <w:b/>
          <w:bCs/>
          <w:sz w:val="22"/>
          <w:szCs w:val="22"/>
        </w:rPr>
        <w:t>11 OCTOBER 2024</w:t>
      </w:r>
      <w:r w:rsidRPr="001831BB">
        <w:rPr>
          <w:rFonts w:ascii="Calibri" w:hAnsi="Calibri" w:cs="Calibri"/>
          <w:b/>
          <w:bCs/>
          <w:sz w:val="22"/>
          <w:szCs w:val="22"/>
        </w:rPr>
        <w:t xml:space="preserve"> (THE "PROSPECTUS"), SUCH PROSPECTUS CONTAINING AN OFFER FOR SUBSCRIPTION OF ORDINARY SHARES IN THE CAPITAL OF THE COMPANY TO RAISE UP TO £</w:t>
      </w:r>
      <w:r>
        <w:rPr>
          <w:rFonts w:ascii="Calibri" w:hAnsi="Calibri" w:cs="Calibri"/>
          <w:b/>
          <w:bCs/>
          <w:sz w:val="22"/>
          <w:szCs w:val="22"/>
        </w:rPr>
        <w:t>5</w:t>
      </w:r>
      <w:r w:rsidRPr="001831BB">
        <w:rPr>
          <w:rFonts w:ascii="Calibri" w:hAnsi="Calibri" w:cs="Calibri"/>
          <w:b/>
          <w:bCs/>
          <w:sz w:val="22"/>
          <w:szCs w:val="22"/>
        </w:rPr>
        <w:t xml:space="preserve"> MILLION WITH AN OVER-ALLOTMENT FACILITY OF A FURTHER £</w:t>
      </w:r>
      <w:r>
        <w:rPr>
          <w:rFonts w:ascii="Calibri" w:hAnsi="Calibri" w:cs="Calibri"/>
          <w:b/>
          <w:bCs/>
          <w:sz w:val="22"/>
          <w:szCs w:val="22"/>
        </w:rPr>
        <w:t>5</w:t>
      </w:r>
      <w:r w:rsidRPr="001831BB">
        <w:rPr>
          <w:rFonts w:ascii="Calibri" w:hAnsi="Calibri" w:cs="Calibri"/>
          <w:b/>
          <w:bCs/>
          <w:sz w:val="22"/>
          <w:szCs w:val="22"/>
        </w:rPr>
        <w:t xml:space="preserve"> MILLION (THE "OFFER"). EXCEPT AS EXPRESSLY STATED HEREIN, OR UNLESS THE CONTEXT OTHERWISE REQUIRES, THE DEFINITIONS USED OR</w:t>
      </w:r>
      <w:r>
        <w:rPr>
          <w:rFonts w:ascii="Calibri" w:hAnsi="Calibri" w:cs="Calibri"/>
          <w:b/>
          <w:bCs/>
          <w:sz w:val="22"/>
          <w:szCs w:val="22"/>
        </w:rPr>
        <w:t xml:space="preserve"> </w:t>
      </w:r>
      <w:r w:rsidRPr="001831BB">
        <w:rPr>
          <w:rFonts w:ascii="Calibri" w:hAnsi="Calibri" w:cs="Calibri"/>
          <w:b/>
          <w:bCs/>
          <w:sz w:val="22"/>
          <w:szCs w:val="22"/>
        </w:rPr>
        <w:t>REFERRED TO IN THE PROSPECTUS ALSO APPLY IN THIS SUPPLEMENTARY PROSPECTUS.</w:t>
      </w:r>
    </w:p>
    <w:p w14:paraId="52EF78FE" w14:textId="77777777" w:rsidR="001831BB" w:rsidRDefault="001831BB" w:rsidP="001831BB">
      <w:pPr>
        <w:jc w:val="both"/>
        <w:rPr>
          <w:rFonts w:ascii="Calibri" w:hAnsi="Calibri" w:cs="Calibri"/>
          <w:b/>
          <w:bCs/>
          <w:sz w:val="22"/>
          <w:szCs w:val="22"/>
        </w:rPr>
      </w:pPr>
    </w:p>
    <w:p w14:paraId="1F795554" w14:textId="4F77A1AE" w:rsidR="001831BB" w:rsidRPr="001831BB" w:rsidRDefault="001831BB" w:rsidP="001831BB">
      <w:pPr>
        <w:jc w:val="both"/>
        <w:rPr>
          <w:rFonts w:ascii="Calibri" w:hAnsi="Calibri" w:cs="Calibri"/>
          <w:b/>
          <w:bCs/>
          <w:sz w:val="22"/>
          <w:szCs w:val="22"/>
        </w:rPr>
      </w:pPr>
      <w:r w:rsidRPr="008F2FFB">
        <w:rPr>
          <w:rFonts w:ascii="Calibri" w:hAnsi="Calibri" w:cs="Calibri"/>
          <w:b/>
          <w:bCs/>
          <w:sz w:val="22"/>
          <w:szCs w:val="22"/>
        </w:rPr>
        <w:t xml:space="preserve">PERSONS RECEIVING THIS DOCUMENT SHOULD NOTE THAT </w:t>
      </w:r>
      <w:r w:rsidR="00387B2E" w:rsidRPr="008F2FFB">
        <w:rPr>
          <w:rFonts w:ascii="Calibri" w:hAnsi="Calibri" w:cs="Calibri"/>
          <w:b/>
          <w:bCs/>
          <w:sz w:val="22"/>
          <w:szCs w:val="22"/>
        </w:rPr>
        <w:t>DICKSON MINTO ADVISERS LLP</w:t>
      </w:r>
      <w:r w:rsidRPr="008F2FFB">
        <w:rPr>
          <w:rFonts w:ascii="Calibri" w:hAnsi="Calibri" w:cs="Calibri"/>
          <w:b/>
          <w:bCs/>
          <w:sz w:val="22"/>
          <w:szCs w:val="22"/>
        </w:rPr>
        <w:t xml:space="preserve"> IS ACTING FOR THE COMPANY AND NO ONE ELSE IN CONNECTION WITH THE OFFER AND THIS SUPPLEMENTARY PROSPECTUS AND, SUBJECT TO ITS RESPONSIBILITIES AND LIABILITIES IMPOSED BY FSMA OR THE REGULATORY REGIME ESTABLISHED HEREUNDER, WILL NOT BE RESPONSIBLE TO ANY OTHER PERSON FOR PROVIDING THE PROTECTIONS AFFORDED TO CUSTOMERS OF </w:t>
      </w:r>
      <w:r w:rsidR="00983236" w:rsidRPr="008F2FFB">
        <w:rPr>
          <w:rFonts w:ascii="Calibri" w:hAnsi="Calibri" w:cs="Calibri"/>
          <w:b/>
          <w:bCs/>
          <w:sz w:val="22"/>
          <w:szCs w:val="22"/>
        </w:rPr>
        <w:t>DICKSON MINTO ADVISERS LLP</w:t>
      </w:r>
      <w:r w:rsidRPr="008F2FFB">
        <w:rPr>
          <w:rFonts w:ascii="Calibri" w:hAnsi="Calibri" w:cs="Calibri"/>
          <w:b/>
          <w:bCs/>
          <w:sz w:val="22"/>
          <w:szCs w:val="22"/>
        </w:rPr>
        <w:t xml:space="preserve"> OR FOR PROVIDING ADVICE IN CONNECTION WITH THE OFFER. </w:t>
      </w:r>
      <w:r w:rsidR="00983236" w:rsidRPr="008F2FFB">
        <w:rPr>
          <w:rFonts w:ascii="Calibri" w:hAnsi="Calibri" w:cs="Calibri"/>
          <w:b/>
          <w:bCs/>
          <w:sz w:val="22"/>
          <w:szCs w:val="22"/>
        </w:rPr>
        <w:t xml:space="preserve">DICKSON MINTO ADVISERS LLP </w:t>
      </w:r>
      <w:r w:rsidRPr="008F2FFB">
        <w:rPr>
          <w:rFonts w:ascii="Calibri" w:hAnsi="Calibri" w:cs="Calibri"/>
          <w:b/>
          <w:bCs/>
          <w:sz w:val="22"/>
          <w:szCs w:val="22"/>
        </w:rPr>
        <w:t>IS AUTHORISED AND REGULATED BY THE FCA. THIS DOCUMENT HAS BEEN PREPARED FOR THE PURPOSES OF COMPLYING WITH THE UK VERSION OF REGULATION (EU) 2017/1129 (THE "PROSPECTUS REGULATION"), ENGLISH LAW AND THE RULES OF THE FCA AND THE INFORMATION DISCLOSED MAY NOT BE THE SAME AS THAT WHICH WOULD BE DISCLOSED</w:t>
      </w:r>
      <w:r w:rsidRPr="001831BB">
        <w:rPr>
          <w:rFonts w:ascii="Calibri" w:hAnsi="Calibri" w:cs="Calibri"/>
          <w:b/>
          <w:bCs/>
          <w:sz w:val="22"/>
          <w:szCs w:val="22"/>
        </w:rPr>
        <w:t xml:space="preserve"> IF THIS</w:t>
      </w:r>
    </w:p>
    <w:p w14:paraId="313F35E9" w14:textId="77777777" w:rsidR="00F5417C" w:rsidRDefault="001831BB" w:rsidP="001831BB">
      <w:pPr>
        <w:jc w:val="both"/>
        <w:rPr>
          <w:rFonts w:ascii="Calibri" w:hAnsi="Calibri" w:cs="Calibri"/>
          <w:b/>
          <w:bCs/>
          <w:sz w:val="22"/>
          <w:szCs w:val="22"/>
        </w:rPr>
      </w:pPr>
      <w:r w:rsidRPr="001831BB">
        <w:rPr>
          <w:rFonts w:ascii="Calibri" w:hAnsi="Calibri" w:cs="Calibri"/>
          <w:b/>
          <w:bCs/>
          <w:sz w:val="22"/>
          <w:szCs w:val="22"/>
        </w:rPr>
        <w:t>DOCUMENT HAD BEEN PREPARED IN ACCORDANCE WITH THE LAWS OF A JURISDICTION OUTSIDE ENGLAND.</w:t>
      </w:r>
    </w:p>
    <w:p w14:paraId="6EDBA7D3" w14:textId="77777777" w:rsidR="008F2FFB" w:rsidRDefault="008F2FFB" w:rsidP="001831BB">
      <w:pPr>
        <w:jc w:val="both"/>
        <w:rPr>
          <w:rFonts w:ascii="Calibri" w:hAnsi="Calibri" w:cs="Calibri"/>
          <w:b/>
          <w:bCs/>
          <w:sz w:val="22"/>
          <w:szCs w:val="22"/>
        </w:rPr>
      </w:pPr>
    </w:p>
    <w:p w14:paraId="714BD302" w14:textId="77777777" w:rsidR="008F2FFB" w:rsidRDefault="008F2FFB" w:rsidP="008F2FFB">
      <w:pPr>
        <w:pBdr>
          <w:bottom w:val="single" w:sz="12" w:space="1" w:color="auto"/>
        </w:pBdr>
        <w:rPr>
          <w:rFonts w:ascii="Calibri" w:hAnsi="Calibri" w:cs="Calibri"/>
          <w:b/>
          <w:bCs/>
          <w:sz w:val="28"/>
          <w:szCs w:val="28"/>
        </w:rPr>
      </w:pPr>
    </w:p>
    <w:p w14:paraId="04EADDFB" w14:textId="77777777" w:rsidR="008F2FFB" w:rsidRPr="006B5F38" w:rsidRDefault="008F2FFB" w:rsidP="008F2FFB">
      <w:pPr>
        <w:rPr>
          <w:rFonts w:ascii="Calibri" w:hAnsi="Calibri" w:cs="Calibri"/>
          <w:b/>
          <w:bCs/>
          <w:sz w:val="28"/>
          <w:szCs w:val="28"/>
        </w:rPr>
      </w:pPr>
    </w:p>
    <w:p w14:paraId="41528907" w14:textId="77777777" w:rsidR="008F2FFB" w:rsidRPr="006B5F38" w:rsidRDefault="008F2FFB" w:rsidP="008F2FFB">
      <w:pPr>
        <w:jc w:val="center"/>
        <w:rPr>
          <w:rFonts w:ascii="Calibri" w:hAnsi="Calibri" w:cs="Calibri"/>
          <w:b/>
          <w:bCs/>
          <w:sz w:val="28"/>
          <w:szCs w:val="28"/>
        </w:rPr>
      </w:pPr>
      <w:r>
        <w:rPr>
          <w:rFonts w:ascii="Calibri" w:hAnsi="Calibri" w:cs="Calibri"/>
          <w:b/>
          <w:bCs/>
          <w:sz w:val="28"/>
          <w:szCs w:val="28"/>
        </w:rPr>
        <w:t>FORESIGHT</w:t>
      </w:r>
      <w:r w:rsidRPr="006B5F38">
        <w:rPr>
          <w:rFonts w:ascii="Calibri" w:hAnsi="Calibri" w:cs="Calibri"/>
          <w:b/>
          <w:bCs/>
          <w:sz w:val="28"/>
          <w:szCs w:val="28"/>
        </w:rPr>
        <w:t xml:space="preserve"> VENTURES VCT PLC</w:t>
      </w:r>
    </w:p>
    <w:p w14:paraId="165F96C8" w14:textId="77777777" w:rsidR="008F2FFB" w:rsidRDefault="008F2FFB" w:rsidP="000C7C16">
      <w:pPr>
        <w:pBdr>
          <w:bottom w:val="single" w:sz="12" w:space="1" w:color="auto"/>
        </w:pBdr>
        <w:jc w:val="center"/>
        <w:rPr>
          <w:rFonts w:ascii="Calibri" w:hAnsi="Calibri" w:cs="Calibri"/>
          <w:sz w:val="22"/>
          <w:szCs w:val="22"/>
        </w:rPr>
      </w:pPr>
      <w:r w:rsidRPr="006B5F38">
        <w:rPr>
          <w:rFonts w:ascii="Calibri" w:hAnsi="Calibri" w:cs="Calibri"/>
          <w:sz w:val="22"/>
          <w:szCs w:val="22"/>
        </w:rPr>
        <w:t>Registered in England and Wales under company number 03150868</w:t>
      </w:r>
    </w:p>
    <w:p w14:paraId="6C2823D6" w14:textId="77777777" w:rsidR="008F2FFB" w:rsidRPr="000C7C16" w:rsidRDefault="008F2FFB" w:rsidP="000C7C16">
      <w:pPr>
        <w:pBdr>
          <w:bottom w:val="single" w:sz="12" w:space="1" w:color="auto"/>
        </w:pBdr>
        <w:jc w:val="center"/>
        <w:rPr>
          <w:rFonts w:ascii="Calibri" w:hAnsi="Calibri"/>
          <w:b/>
          <w:sz w:val="28"/>
        </w:rPr>
      </w:pPr>
    </w:p>
    <w:p w14:paraId="64E64757" w14:textId="77777777" w:rsidR="008F2FFB" w:rsidRDefault="008F2FFB" w:rsidP="001831BB">
      <w:pPr>
        <w:jc w:val="both"/>
        <w:rPr>
          <w:rFonts w:ascii="Calibri" w:hAnsi="Calibri" w:cs="Calibri"/>
          <w:b/>
          <w:bCs/>
          <w:sz w:val="22"/>
          <w:szCs w:val="22"/>
        </w:rPr>
      </w:pPr>
    </w:p>
    <w:p w14:paraId="717021EF" w14:textId="77777777" w:rsidR="00F5417C" w:rsidRDefault="00F5417C" w:rsidP="001831BB">
      <w:pPr>
        <w:jc w:val="both"/>
        <w:rPr>
          <w:rFonts w:ascii="Calibri" w:hAnsi="Calibri" w:cs="Calibri"/>
          <w:b/>
          <w:bCs/>
          <w:sz w:val="22"/>
          <w:szCs w:val="22"/>
        </w:rPr>
      </w:pPr>
    </w:p>
    <w:p w14:paraId="390F27A6" w14:textId="71BD8F98" w:rsidR="007B41AA" w:rsidRPr="00C10EF7" w:rsidRDefault="001831BB" w:rsidP="00AD4F3E">
      <w:pPr>
        <w:jc w:val="both"/>
        <w:rPr>
          <w:rFonts w:ascii="Calibri" w:hAnsi="Calibri" w:cs="Calibri"/>
          <w:sz w:val="22"/>
          <w:szCs w:val="22"/>
        </w:rPr>
      </w:pPr>
      <w:r w:rsidRPr="00F5417C">
        <w:rPr>
          <w:rFonts w:ascii="Calibri" w:hAnsi="Calibri" w:cs="Calibri"/>
          <w:sz w:val="22"/>
          <w:szCs w:val="22"/>
        </w:rPr>
        <w:t xml:space="preserve">The Company </w:t>
      </w:r>
      <w:r w:rsidRPr="000C7C16">
        <w:rPr>
          <w:rFonts w:ascii="Calibri" w:hAnsi="Calibri"/>
          <w:sz w:val="22"/>
        </w:rPr>
        <w:t xml:space="preserve">and the </w:t>
      </w:r>
      <w:r w:rsidRPr="00F5417C">
        <w:rPr>
          <w:rFonts w:ascii="Calibri" w:hAnsi="Calibri" w:cs="Calibri"/>
          <w:sz w:val="22"/>
          <w:szCs w:val="22"/>
        </w:rPr>
        <w:t>Directors</w:t>
      </w:r>
      <w:r w:rsidRPr="000C7C16">
        <w:rPr>
          <w:rFonts w:ascii="Calibri" w:hAnsi="Calibri"/>
          <w:sz w:val="22"/>
        </w:rPr>
        <w:t xml:space="preserve"> of the Company</w:t>
      </w:r>
      <w:r w:rsidRPr="00F5417C">
        <w:rPr>
          <w:rFonts w:ascii="Calibri" w:hAnsi="Calibri" w:cs="Calibri"/>
          <w:sz w:val="22"/>
          <w:szCs w:val="22"/>
        </w:rPr>
        <w:t xml:space="preserve"> accept responsibility for the information contained in this Supplementary Prospectus. To the best of the knowledge of the Company and its Directors, the information contained in this Supplementary Prospectus is in accordance with the facts and this Supplementary Prospectus</w:t>
      </w:r>
      <w:r w:rsidR="00F5417C">
        <w:rPr>
          <w:rFonts w:ascii="Calibri" w:hAnsi="Calibri" w:cs="Calibri"/>
          <w:sz w:val="22"/>
          <w:szCs w:val="22"/>
        </w:rPr>
        <w:t xml:space="preserve"> </w:t>
      </w:r>
      <w:r w:rsidRPr="00F5417C">
        <w:rPr>
          <w:rFonts w:ascii="Calibri" w:hAnsi="Calibri" w:cs="Calibri"/>
          <w:sz w:val="22"/>
          <w:szCs w:val="22"/>
        </w:rPr>
        <w:t>makes no omission likely to affect its import.</w:t>
      </w:r>
    </w:p>
    <w:p w14:paraId="2516C502" w14:textId="77777777" w:rsidR="007B41AA" w:rsidRPr="007B41AA" w:rsidRDefault="007B41AA" w:rsidP="001B790C">
      <w:pPr>
        <w:rPr>
          <w:rFonts w:ascii="Calibri" w:hAnsi="Calibri" w:cs="Calibri"/>
          <w:b/>
          <w:bCs/>
          <w:sz w:val="28"/>
          <w:szCs w:val="28"/>
        </w:rPr>
      </w:pPr>
    </w:p>
    <w:p w14:paraId="4FE3C6D6" w14:textId="13708990" w:rsidR="009A7A80" w:rsidRPr="006B5F38" w:rsidRDefault="009A7A80" w:rsidP="009A7A80">
      <w:pPr>
        <w:jc w:val="both"/>
        <w:rPr>
          <w:rFonts w:ascii="Calibri" w:hAnsi="Calibri" w:cs="Calibri"/>
          <w:b/>
          <w:bCs/>
          <w:sz w:val="22"/>
          <w:szCs w:val="22"/>
        </w:rPr>
      </w:pPr>
      <w:r w:rsidRPr="006B5F38">
        <w:rPr>
          <w:rFonts w:ascii="Calibri" w:hAnsi="Calibri" w:cs="Calibri"/>
          <w:b/>
          <w:bCs/>
          <w:sz w:val="22"/>
          <w:szCs w:val="22"/>
        </w:rPr>
        <w:t xml:space="preserve">PURPOSE OF THE SUPPLEMENT </w:t>
      </w:r>
    </w:p>
    <w:p w14:paraId="72A9B4D7" w14:textId="77777777" w:rsidR="00F272BD" w:rsidRPr="006B5F38" w:rsidRDefault="00F272BD" w:rsidP="009A7A80">
      <w:pPr>
        <w:jc w:val="both"/>
        <w:rPr>
          <w:rFonts w:ascii="Calibri" w:hAnsi="Calibri" w:cs="Calibri"/>
          <w:b/>
          <w:bCs/>
          <w:sz w:val="22"/>
          <w:szCs w:val="22"/>
        </w:rPr>
      </w:pPr>
    </w:p>
    <w:p w14:paraId="7ECAC791" w14:textId="5F38BFAB" w:rsidR="00B77184" w:rsidRDefault="00B77184" w:rsidP="009A7A80">
      <w:pPr>
        <w:jc w:val="both"/>
        <w:rPr>
          <w:rFonts w:ascii="Calibri" w:hAnsi="Calibri" w:cs="Calibri"/>
          <w:sz w:val="22"/>
          <w:szCs w:val="22"/>
        </w:rPr>
      </w:pPr>
      <w:r>
        <w:rPr>
          <w:rFonts w:ascii="Calibri" w:hAnsi="Calibri" w:cs="Calibri"/>
          <w:sz w:val="22"/>
          <w:szCs w:val="22"/>
        </w:rPr>
        <w:t xml:space="preserve">The publication of this Supplementary Prospectus is a regulatory requirement under the Prospectus Regulation Rules and Section 87G FSMA following </w:t>
      </w:r>
      <w:r w:rsidR="008F2FFB">
        <w:rPr>
          <w:rFonts w:ascii="Calibri" w:hAnsi="Calibri" w:cs="Calibri"/>
          <w:sz w:val="22"/>
          <w:szCs w:val="22"/>
        </w:rPr>
        <w:t>(</w:t>
      </w:r>
      <w:proofErr w:type="spellStart"/>
      <w:r w:rsidR="008F2FFB">
        <w:rPr>
          <w:rFonts w:ascii="Calibri" w:hAnsi="Calibri" w:cs="Calibri"/>
          <w:sz w:val="22"/>
          <w:szCs w:val="22"/>
        </w:rPr>
        <w:t>i</w:t>
      </w:r>
      <w:proofErr w:type="spellEnd"/>
      <w:r w:rsidR="008F2FFB">
        <w:rPr>
          <w:rFonts w:ascii="Calibri" w:hAnsi="Calibri" w:cs="Calibri"/>
          <w:sz w:val="22"/>
          <w:szCs w:val="22"/>
        </w:rPr>
        <w:t xml:space="preserve">) </w:t>
      </w:r>
      <w:r>
        <w:rPr>
          <w:rFonts w:ascii="Calibri" w:hAnsi="Calibri" w:cs="Calibri"/>
          <w:sz w:val="22"/>
          <w:szCs w:val="22"/>
        </w:rPr>
        <w:t>the publication on 15 November 2024 by the Company of its unaudited NAV as at</w:t>
      </w:r>
      <w:r w:rsidR="008F2FFB">
        <w:rPr>
          <w:rFonts w:ascii="Calibri" w:hAnsi="Calibri" w:cs="Calibri"/>
          <w:sz w:val="22"/>
          <w:szCs w:val="22"/>
        </w:rPr>
        <w:t xml:space="preserve"> 30 September 2024 and</w:t>
      </w:r>
      <w:r>
        <w:rPr>
          <w:rFonts w:ascii="Calibri" w:hAnsi="Calibri" w:cs="Calibri"/>
          <w:sz w:val="22"/>
          <w:szCs w:val="22"/>
        </w:rPr>
        <w:t xml:space="preserve"> 15 November 2024</w:t>
      </w:r>
      <w:r w:rsidR="008F2FFB">
        <w:rPr>
          <w:rFonts w:ascii="Calibri" w:hAnsi="Calibri" w:cs="Calibri"/>
          <w:sz w:val="22"/>
          <w:szCs w:val="22"/>
        </w:rPr>
        <w:t xml:space="preserve"> and (ii) the </w:t>
      </w:r>
      <w:r w:rsidR="008F2FFB">
        <w:rPr>
          <w:rFonts w:ascii="Calibri" w:hAnsi="Calibri" w:cs="Calibri"/>
          <w:sz w:val="22"/>
          <w:szCs w:val="22"/>
        </w:rPr>
        <w:lastRenderedPageBreak/>
        <w:t>identification of a material mistake in the Prospectus</w:t>
      </w:r>
      <w:r>
        <w:rPr>
          <w:rFonts w:ascii="Calibri" w:hAnsi="Calibri" w:cs="Calibri"/>
          <w:sz w:val="22"/>
          <w:szCs w:val="22"/>
        </w:rPr>
        <w:t>. The Prospectus Regulation Rules and section 87G FSMA require the issue of a supplementary prospectus if, in the relevant period (being, for these purposes, the later of the closure of the Offer and the time when trading in the Offer Shares issued under the Offer on the London Stock Exchange begins), there exists or is noted a significant new factor, material mistake or inaccuracy relating to the information included in the Prospectus. This Supplementary Prospectus has been approved for publication by the FCA.</w:t>
      </w:r>
    </w:p>
    <w:p w14:paraId="106F718A" w14:textId="77777777" w:rsidR="005E381B" w:rsidRDefault="005E381B" w:rsidP="009A7A80">
      <w:pPr>
        <w:jc w:val="both"/>
        <w:rPr>
          <w:rFonts w:ascii="Calibri" w:hAnsi="Calibri" w:cs="Calibri"/>
          <w:sz w:val="22"/>
          <w:szCs w:val="22"/>
        </w:rPr>
      </w:pPr>
    </w:p>
    <w:p w14:paraId="6AC1C3DF" w14:textId="5115488B" w:rsidR="005E381B" w:rsidRDefault="005E381B" w:rsidP="005E381B">
      <w:pPr>
        <w:jc w:val="both"/>
        <w:rPr>
          <w:rFonts w:ascii="Calibri" w:hAnsi="Calibri" w:cs="Calibri"/>
          <w:sz w:val="22"/>
          <w:szCs w:val="22"/>
        </w:rPr>
      </w:pPr>
      <w:r w:rsidRPr="00DB5C6A">
        <w:rPr>
          <w:rFonts w:ascii="Calibri" w:hAnsi="Calibri" w:cs="Calibri"/>
          <w:sz w:val="22"/>
          <w:szCs w:val="22"/>
        </w:rPr>
        <w:t>This Supplementary Prospectus has been prepared in accordance with the Prospectus Regulation and has bee</w:t>
      </w:r>
      <w:r>
        <w:rPr>
          <w:rFonts w:ascii="Calibri" w:hAnsi="Calibri" w:cs="Calibri"/>
          <w:sz w:val="22"/>
          <w:szCs w:val="22"/>
        </w:rPr>
        <w:t xml:space="preserve">n </w:t>
      </w:r>
      <w:r w:rsidRPr="00DB5C6A">
        <w:rPr>
          <w:rFonts w:ascii="Calibri" w:hAnsi="Calibri" w:cs="Calibri"/>
          <w:sz w:val="22"/>
          <w:szCs w:val="22"/>
        </w:rPr>
        <w:t>approved by the FCA, as competent authority under the Prospectus Regulation. The FCA only approves this</w:t>
      </w:r>
      <w:r>
        <w:rPr>
          <w:rFonts w:ascii="Calibri" w:hAnsi="Calibri" w:cs="Calibri"/>
          <w:sz w:val="22"/>
          <w:szCs w:val="22"/>
        </w:rPr>
        <w:t xml:space="preserve"> </w:t>
      </w:r>
      <w:r w:rsidRPr="00DB5C6A">
        <w:rPr>
          <w:rFonts w:ascii="Calibri" w:hAnsi="Calibri" w:cs="Calibri"/>
          <w:sz w:val="22"/>
          <w:szCs w:val="22"/>
        </w:rPr>
        <w:t>Supplementary Prospectus as meeting the standards of completeness, comprehensibility and consistency</w:t>
      </w:r>
      <w:r>
        <w:rPr>
          <w:rFonts w:ascii="Calibri" w:hAnsi="Calibri" w:cs="Calibri"/>
          <w:sz w:val="22"/>
          <w:szCs w:val="22"/>
        </w:rPr>
        <w:t xml:space="preserve"> </w:t>
      </w:r>
      <w:r w:rsidRPr="00DB5C6A">
        <w:rPr>
          <w:rFonts w:ascii="Calibri" w:hAnsi="Calibri" w:cs="Calibri"/>
          <w:sz w:val="22"/>
          <w:szCs w:val="22"/>
        </w:rPr>
        <w:t>imposed by the Prospectus Regulation and such approval shall not be considered as an endorsement of the</w:t>
      </w:r>
      <w:r>
        <w:rPr>
          <w:rFonts w:ascii="Calibri" w:hAnsi="Calibri" w:cs="Calibri"/>
          <w:sz w:val="22"/>
          <w:szCs w:val="22"/>
        </w:rPr>
        <w:t xml:space="preserve"> </w:t>
      </w:r>
      <w:r w:rsidRPr="00DB5C6A">
        <w:rPr>
          <w:rFonts w:ascii="Calibri" w:hAnsi="Calibri" w:cs="Calibri"/>
          <w:sz w:val="22"/>
          <w:szCs w:val="22"/>
        </w:rPr>
        <w:t>securities or the issuers that are the subject of the Prospectus and this Supplementary Prospectus.</w:t>
      </w:r>
    </w:p>
    <w:p w14:paraId="322E4F0A" w14:textId="77777777" w:rsidR="00A65683" w:rsidRDefault="00A65683" w:rsidP="005E381B">
      <w:pPr>
        <w:jc w:val="both"/>
        <w:rPr>
          <w:rFonts w:ascii="Calibri" w:hAnsi="Calibri" w:cs="Calibri"/>
          <w:sz w:val="22"/>
          <w:szCs w:val="22"/>
        </w:rPr>
      </w:pPr>
    </w:p>
    <w:p w14:paraId="5EAD5360" w14:textId="25AF185C" w:rsidR="00A65683" w:rsidRDefault="00A65683" w:rsidP="00A65683">
      <w:pPr>
        <w:jc w:val="both"/>
        <w:rPr>
          <w:rFonts w:ascii="Calibri" w:hAnsi="Calibri" w:cs="Calibri"/>
          <w:sz w:val="22"/>
          <w:szCs w:val="22"/>
        </w:rPr>
      </w:pPr>
      <w:r w:rsidRPr="00DB5C6A">
        <w:rPr>
          <w:rFonts w:ascii="Calibri" w:hAnsi="Calibri" w:cs="Calibri"/>
          <w:sz w:val="22"/>
          <w:szCs w:val="22"/>
        </w:rPr>
        <w:t>Save as otherwise amended in this Supplementary Prospectus, the Offer is being made on the terms and subject</w:t>
      </w:r>
      <w:r>
        <w:rPr>
          <w:rFonts w:ascii="Calibri" w:hAnsi="Calibri" w:cs="Calibri"/>
          <w:sz w:val="22"/>
          <w:szCs w:val="22"/>
        </w:rPr>
        <w:t xml:space="preserve"> </w:t>
      </w:r>
      <w:r w:rsidRPr="00DB5C6A">
        <w:rPr>
          <w:rFonts w:ascii="Calibri" w:hAnsi="Calibri" w:cs="Calibri"/>
          <w:sz w:val="22"/>
          <w:szCs w:val="22"/>
        </w:rPr>
        <w:t>to the conditions set out in full in the Prospectus. Investors who have already submitted Application Forms for</w:t>
      </w:r>
      <w:r>
        <w:rPr>
          <w:rFonts w:ascii="Calibri" w:hAnsi="Calibri" w:cs="Calibri"/>
          <w:sz w:val="22"/>
          <w:szCs w:val="22"/>
        </w:rPr>
        <w:t xml:space="preserve"> </w:t>
      </w:r>
      <w:r w:rsidRPr="00DB5C6A">
        <w:rPr>
          <w:rFonts w:ascii="Calibri" w:hAnsi="Calibri" w:cs="Calibri"/>
          <w:sz w:val="22"/>
          <w:szCs w:val="22"/>
        </w:rPr>
        <w:t>shares in the Company, and who have not yet received an allotment of those shares, may withdraw such</w:t>
      </w:r>
      <w:r>
        <w:rPr>
          <w:rFonts w:ascii="Calibri" w:hAnsi="Calibri" w:cs="Calibri"/>
          <w:sz w:val="22"/>
          <w:szCs w:val="22"/>
        </w:rPr>
        <w:t xml:space="preserve"> </w:t>
      </w:r>
      <w:r w:rsidRPr="00DB5C6A">
        <w:rPr>
          <w:rFonts w:ascii="Calibri" w:hAnsi="Calibri" w:cs="Calibri"/>
          <w:sz w:val="22"/>
          <w:szCs w:val="22"/>
        </w:rPr>
        <w:t>applications under Prospectus Regulation Rule 3.4.1UK and Article 23 of the Prospectus Regulation, with the</w:t>
      </w:r>
      <w:r>
        <w:rPr>
          <w:rFonts w:ascii="Calibri" w:hAnsi="Calibri" w:cs="Calibri"/>
          <w:sz w:val="22"/>
          <w:szCs w:val="22"/>
        </w:rPr>
        <w:t xml:space="preserve"> </w:t>
      </w:r>
      <w:r w:rsidRPr="00DB5C6A">
        <w:rPr>
          <w:rFonts w:ascii="Calibri" w:hAnsi="Calibri" w:cs="Calibri"/>
          <w:sz w:val="22"/>
          <w:szCs w:val="22"/>
        </w:rPr>
        <w:t>Company accepting withdrawals of such applications until 5</w:t>
      </w:r>
      <w:r w:rsidR="00ED5C3C">
        <w:rPr>
          <w:rFonts w:ascii="Calibri" w:hAnsi="Calibri" w:cs="Calibri"/>
          <w:sz w:val="22"/>
          <w:szCs w:val="22"/>
        </w:rPr>
        <w:t xml:space="preserve">.00 </w:t>
      </w:r>
      <w:r w:rsidRPr="00DB5C6A">
        <w:rPr>
          <w:rFonts w:ascii="Calibri" w:hAnsi="Calibri" w:cs="Calibri"/>
          <w:sz w:val="22"/>
          <w:szCs w:val="22"/>
        </w:rPr>
        <w:t>p</w:t>
      </w:r>
      <w:r w:rsidR="00ED5C3C">
        <w:rPr>
          <w:rFonts w:ascii="Calibri" w:hAnsi="Calibri" w:cs="Calibri"/>
          <w:sz w:val="22"/>
          <w:szCs w:val="22"/>
        </w:rPr>
        <w:t>.</w:t>
      </w:r>
      <w:r w:rsidRPr="00DB5C6A">
        <w:rPr>
          <w:rFonts w:ascii="Calibri" w:hAnsi="Calibri" w:cs="Calibri"/>
          <w:sz w:val="22"/>
          <w:szCs w:val="22"/>
        </w:rPr>
        <w:t>m</w:t>
      </w:r>
      <w:r w:rsidR="00ED5C3C">
        <w:rPr>
          <w:rFonts w:ascii="Calibri" w:hAnsi="Calibri" w:cs="Calibri"/>
          <w:sz w:val="22"/>
          <w:szCs w:val="22"/>
        </w:rPr>
        <w:t>.</w:t>
      </w:r>
      <w:r w:rsidRPr="00DB5C6A">
        <w:rPr>
          <w:rFonts w:ascii="Calibri" w:hAnsi="Calibri" w:cs="Calibri"/>
          <w:sz w:val="22"/>
          <w:szCs w:val="22"/>
        </w:rPr>
        <w:t xml:space="preserve"> on </w:t>
      </w:r>
      <w:r w:rsidR="00B569D9">
        <w:rPr>
          <w:rFonts w:ascii="Calibri" w:hAnsi="Calibri" w:cs="Calibri"/>
          <w:sz w:val="22"/>
          <w:szCs w:val="22"/>
        </w:rPr>
        <w:t>2</w:t>
      </w:r>
      <w:r w:rsidR="00EB1ED6">
        <w:rPr>
          <w:rFonts w:ascii="Calibri" w:hAnsi="Calibri" w:cs="Calibri"/>
          <w:sz w:val="22"/>
          <w:szCs w:val="22"/>
        </w:rPr>
        <w:t>3</w:t>
      </w:r>
      <w:r w:rsidR="00B569D9" w:rsidRPr="008F2FFB">
        <w:rPr>
          <w:rFonts w:ascii="Calibri" w:hAnsi="Calibri" w:cs="Calibri"/>
          <w:sz w:val="22"/>
          <w:szCs w:val="22"/>
        </w:rPr>
        <w:t xml:space="preserve"> </w:t>
      </w:r>
      <w:r w:rsidR="008F2FFB" w:rsidRPr="008F2FFB">
        <w:rPr>
          <w:rFonts w:ascii="Calibri" w:hAnsi="Calibri" w:cs="Calibri"/>
          <w:sz w:val="22"/>
          <w:szCs w:val="22"/>
        </w:rPr>
        <w:t xml:space="preserve">December </w:t>
      </w:r>
      <w:r w:rsidRPr="008F2FFB">
        <w:rPr>
          <w:rFonts w:ascii="Calibri" w:hAnsi="Calibri" w:cs="Calibri"/>
          <w:sz w:val="22"/>
          <w:szCs w:val="22"/>
        </w:rPr>
        <w:t>2024.</w:t>
      </w:r>
      <w:r w:rsidRPr="00DB5C6A">
        <w:rPr>
          <w:rFonts w:ascii="Calibri" w:hAnsi="Calibri" w:cs="Calibri"/>
          <w:sz w:val="22"/>
          <w:szCs w:val="22"/>
        </w:rPr>
        <w:t xml:space="preserve"> Investors should seek their</w:t>
      </w:r>
      <w:r>
        <w:rPr>
          <w:rFonts w:ascii="Calibri" w:hAnsi="Calibri" w:cs="Calibri"/>
          <w:sz w:val="22"/>
          <w:szCs w:val="22"/>
        </w:rPr>
        <w:t xml:space="preserve"> </w:t>
      </w:r>
      <w:r w:rsidRPr="00DB5C6A">
        <w:rPr>
          <w:rFonts w:ascii="Calibri" w:hAnsi="Calibri" w:cs="Calibri"/>
          <w:sz w:val="22"/>
          <w:szCs w:val="22"/>
        </w:rPr>
        <w:t>own legal advice in regard to such withdrawal rights.</w:t>
      </w:r>
      <w:r>
        <w:rPr>
          <w:rFonts w:ascii="Calibri" w:hAnsi="Calibri" w:cs="Calibri"/>
          <w:sz w:val="22"/>
          <w:szCs w:val="22"/>
        </w:rPr>
        <w:t xml:space="preserve"> </w:t>
      </w:r>
      <w:r w:rsidRPr="00DB5C6A">
        <w:rPr>
          <w:rFonts w:ascii="Calibri" w:hAnsi="Calibri" w:cs="Calibri"/>
          <w:sz w:val="22"/>
          <w:szCs w:val="22"/>
        </w:rPr>
        <w:t>Investors who wish to withdraw their applications under</w:t>
      </w:r>
      <w:r>
        <w:rPr>
          <w:rFonts w:ascii="Calibri" w:hAnsi="Calibri" w:cs="Calibri"/>
          <w:sz w:val="22"/>
          <w:szCs w:val="22"/>
        </w:rPr>
        <w:t xml:space="preserve"> </w:t>
      </w:r>
      <w:r w:rsidRPr="00DB5C6A">
        <w:rPr>
          <w:rFonts w:ascii="Calibri" w:hAnsi="Calibri" w:cs="Calibri"/>
          <w:sz w:val="22"/>
          <w:szCs w:val="22"/>
        </w:rPr>
        <w:t xml:space="preserve">the Offer should contact </w:t>
      </w:r>
      <w:r w:rsidR="00D7014D" w:rsidRPr="00DB5C6A">
        <w:rPr>
          <w:rFonts w:ascii="Calibri" w:hAnsi="Calibri" w:cs="Calibri"/>
          <w:sz w:val="22"/>
          <w:szCs w:val="22"/>
        </w:rPr>
        <w:t>Foresight Group LLP</w:t>
      </w:r>
      <w:r w:rsidRPr="00DB5C6A">
        <w:rPr>
          <w:rFonts w:ascii="Calibri" w:hAnsi="Calibri" w:cs="Calibri"/>
          <w:sz w:val="22"/>
          <w:szCs w:val="22"/>
        </w:rPr>
        <w:t xml:space="preserve"> ("</w:t>
      </w:r>
      <w:r w:rsidR="00D7014D" w:rsidRPr="000F7359">
        <w:rPr>
          <w:rFonts w:ascii="Calibri" w:hAnsi="Calibri" w:cs="Calibri"/>
          <w:b/>
          <w:bCs/>
          <w:sz w:val="22"/>
          <w:szCs w:val="22"/>
        </w:rPr>
        <w:t>Foresight</w:t>
      </w:r>
      <w:r w:rsidRPr="00DB5C6A">
        <w:rPr>
          <w:rFonts w:ascii="Calibri" w:hAnsi="Calibri" w:cs="Calibri"/>
          <w:sz w:val="22"/>
          <w:szCs w:val="22"/>
        </w:rPr>
        <w:t xml:space="preserve">") at </w:t>
      </w:r>
      <w:r w:rsidR="00D7014D" w:rsidRPr="00DB5C6A">
        <w:rPr>
          <w:rFonts w:ascii="Calibri" w:hAnsi="Calibri" w:cs="Calibri"/>
          <w:sz w:val="22"/>
          <w:szCs w:val="22"/>
        </w:rPr>
        <w:t>The Shard, 32 London Bridge Street, London SE1 9SG</w:t>
      </w:r>
      <w:r w:rsidRPr="00DB5C6A">
        <w:rPr>
          <w:rFonts w:ascii="Calibri" w:hAnsi="Calibri" w:cs="Calibri"/>
          <w:sz w:val="22"/>
          <w:szCs w:val="22"/>
        </w:rPr>
        <w:t xml:space="preserve"> on telephone number </w:t>
      </w:r>
      <w:r w:rsidR="00D7014D" w:rsidRPr="00DB5C6A">
        <w:rPr>
          <w:rFonts w:ascii="Calibri" w:hAnsi="Calibri" w:cs="Calibri"/>
          <w:sz w:val="22"/>
          <w:szCs w:val="22"/>
        </w:rPr>
        <w:t>020 3667 8181</w:t>
      </w:r>
      <w:r w:rsidRPr="00DB5C6A">
        <w:rPr>
          <w:rFonts w:ascii="Calibri" w:hAnsi="Calibri" w:cs="Calibri"/>
          <w:sz w:val="22"/>
          <w:szCs w:val="22"/>
        </w:rPr>
        <w:t xml:space="preserve"> or by email on </w:t>
      </w:r>
      <w:r w:rsidR="00D7014D" w:rsidRPr="00D7014D">
        <w:rPr>
          <w:rFonts w:ascii="Calibri" w:hAnsi="Calibri" w:cs="Calibri"/>
          <w:sz w:val="22"/>
          <w:szCs w:val="22"/>
        </w:rPr>
        <w:t>inv</w:t>
      </w:r>
      <w:r w:rsidR="00D7014D">
        <w:rPr>
          <w:rFonts w:ascii="Calibri" w:hAnsi="Calibri" w:cs="Calibri"/>
          <w:sz w:val="22"/>
          <w:szCs w:val="22"/>
        </w:rPr>
        <w:t>estorrelations@foresightgroup.eu</w:t>
      </w:r>
      <w:r w:rsidRPr="00DB5C6A">
        <w:rPr>
          <w:rFonts w:ascii="Calibri" w:hAnsi="Calibri" w:cs="Calibri"/>
          <w:sz w:val="22"/>
          <w:szCs w:val="22"/>
        </w:rPr>
        <w:t xml:space="preserve"> (no investment advice can be given). Withdrawals of</w:t>
      </w:r>
      <w:r w:rsidR="00D7014D">
        <w:rPr>
          <w:rFonts w:ascii="Calibri" w:hAnsi="Calibri" w:cs="Calibri"/>
          <w:sz w:val="22"/>
          <w:szCs w:val="22"/>
        </w:rPr>
        <w:t xml:space="preserve"> </w:t>
      </w:r>
      <w:r w:rsidRPr="00DB5C6A">
        <w:rPr>
          <w:rFonts w:ascii="Calibri" w:hAnsi="Calibri" w:cs="Calibri"/>
          <w:sz w:val="22"/>
          <w:szCs w:val="22"/>
        </w:rPr>
        <w:t>applications can be made by telephone or by email.</w:t>
      </w:r>
    </w:p>
    <w:p w14:paraId="63FEF7F3" w14:textId="77777777" w:rsidR="00D7522D" w:rsidRDefault="00D7522D" w:rsidP="00A65683">
      <w:pPr>
        <w:jc w:val="both"/>
        <w:rPr>
          <w:rFonts w:ascii="Calibri" w:hAnsi="Calibri" w:cs="Calibri"/>
          <w:sz w:val="22"/>
          <w:szCs w:val="22"/>
        </w:rPr>
      </w:pPr>
    </w:p>
    <w:p w14:paraId="45E90242" w14:textId="210F020A" w:rsidR="00D7522D" w:rsidRDefault="00D7522D" w:rsidP="00D7522D">
      <w:pPr>
        <w:jc w:val="both"/>
        <w:rPr>
          <w:rFonts w:ascii="Calibri" w:hAnsi="Calibri" w:cs="Calibri"/>
          <w:sz w:val="22"/>
          <w:szCs w:val="22"/>
        </w:rPr>
      </w:pPr>
      <w:r w:rsidRPr="00DB5C6A">
        <w:rPr>
          <w:rFonts w:ascii="Calibri" w:hAnsi="Calibri" w:cs="Calibri"/>
          <w:sz w:val="22"/>
          <w:szCs w:val="22"/>
        </w:rPr>
        <w:t>Copies of this Supplementary Prospectus and the Prospectus may be viewed on the National Storage Mechanism</w:t>
      </w:r>
      <w:r>
        <w:rPr>
          <w:rFonts w:ascii="Calibri" w:hAnsi="Calibri" w:cs="Calibri"/>
          <w:sz w:val="22"/>
          <w:szCs w:val="22"/>
        </w:rPr>
        <w:t xml:space="preserve"> </w:t>
      </w:r>
      <w:r w:rsidRPr="00DB5C6A">
        <w:rPr>
          <w:rFonts w:ascii="Calibri" w:hAnsi="Calibri" w:cs="Calibri"/>
          <w:sz w:val="22"/>
          <w:szCs w:val="22"/>
        </w:rPr>
        <w:t>(NSM) of the FCA at https://data.fca.org.uk/#/nsm/nationalstoragemechanism, and this Supplementary</w:t>
      </w:r>
      <w:r>
        <w:rPr>
          <w:rFonts w:ascii="Calibri" w:hAnsi="Calibri" w:cs="Calibri"/>
          <w:sz w:val="22"/>
          <w:szCs w:val="22"/>
        </w:rPr>
        <w:t xml:space="preserve"> </w:t>
      </w:r>
      <w:r w:rsidRPr="00DB5C6A">
        <w:rPr>
          <w:rFonts w:ascii="Calibri" w:hAnsi="Calibri" w:cs="Calibri"/>
          <w:sz w:val="22"/>
          <w:szCs w:val="22"/>
        </w:rPr>
        <w:t>Prospectus and the Prospectus are available free of charge from the offices of the Company's investment</w:t>
      </w:r>
      <w:r>
        <w:rPr>
          <w:rFonts w:ascii="Calibri" w:hAnsi="Calibri" w:cs="Calibri"/>
          <w:sz w:val="22"/>
          <w:szCs w:val="22"/>
        </w:rPr>
        <w:t xml:space="preserve"> </w:t>
      </w:r>
      <w:r w:rsidRPr="00DB5C6A">
        <w:rPr>
          <w:rFonts w:ascii="Calibri" w:hAnsi="Calibri" w:cs="Calibri"/>
          <w:sz w:val="22"/>
          <w:szCs w:val="22"/>
        </w:rPr>
        <w:t xml:space="preserve">manager, </w:t>
      </w:r>
      <w:r w:rsidR="00BF79AB" w:rsidRPr="00DB5C6A">
        <w:rPr>
          <w:rFonts w:ascii="Calibri" w:hAnsi="Calibri" w:cs="Calibri"/>
          <w:sz w:val="22"/>
          <w:szCs w:val="22"/>
        </w:rPr>
        <w:t>Foresight</w:t>
      </w:r>
      <w:r w:rsidRPr="00DB5C6A">
        <w:rPr>
          <w:rFonts w:ascii="Calibri" w:hAnsi="Calibri" w:cs="Calibri"/>
          <w:sz w:val="22"/>
          <w:szCs w:val="22"/>
        </w:rPr>
        <w:t xml:space="preserve">, at </w:t>
      </w:r>
      <w:r w:rsidR="00BF79AB" w:rsidRPr="00A85A8C">
        <w:rPr>
          <w:rFonts w:ascii="Calibri" w:hAnsi="Calibri" w:cs="Calibri"/>
          <w:sz w:val="22"/>
          <w:szCs w:val="22"/>
        </w:rPr>
        <w:t>The</w:t>
      </w:r>
      <w:r w:rsidR="00BF79AB" w:rsidRPr="005E7856">
        <w:rPr>
          <w:rFonts w:ascii="Calibri" w:hAnsi="Calibri" w:cs="Calibri"/>
          <w:sz w:val="22"/>
          <w:szCs w:val="22"/>
        </w:rPr>
        <w:t xml:space="preserve"> Shard, 32 London Bridge Street, London SE1 9SG</w:t>
      </w:r>
      <w:r w:rsidRPr="00DB5C6A">
        <w:rPr>
          <w:rFonts w:ascii="Calibri" w:hAnsi="Calibri" w:cs="Calibri"/>
          <w:sz w:val="22"/>
          <w:szCs w:val="22"/>
          <w:highlight w:val="cyan"/>
        </w:rPr>
        <w:t xml:space="preserve"> </w:t>
      </w:r>
      <w:r w:rsidRPr="00DB5C6A">
        <w:rPr>
          <w:rFonts w:ascii="Calibri" w:hAnsi="Calibri" w:cs="Calibri"/>
          <w:sz w:val="22"/>
          <w:szCs w:val="22"/>
        </w:rPr>
        <w:t xml:space="preserve">and the Company's website: </w:t>
      </w:r>
      <w:hyperlink r:id="rId8" w:history="1">
        <w:r w:rsidR="004B322A" w:rsidRPr="004B322A">
          <w:rPr>
            <w:rStyle w:val="Hyperlink"/>
            <w:rFonts w:ascii="Calibri" w:hAnsi="Calibri" w:cs="Calibri"/>
            <w:sz w:val="22"/>
            <w:szCs w:val="22"/>
          </w:rPr>
          <w:t>https://www.foresight.group/products/foresight-ventures-vct-plc</w:t>
        </w:r>
      </w:hyperlink>
      <w:r w:rsidRPr="00DB5C6A">
        <w:rPr>
          <w:rFonts w:ascii="Calibri" w:hAnsi="Calibri" w:cs="Calibri"/>
          <w:sz w:val="22"/>
          <w:szCs w:val="22"/>
        </w:rPr>
        <w:t>.</w:t>
      </w:r>
    </w:p>
    <w:p w14:paraId="33230D1D" w14:textId="77777777" w:rsidR="00BF397F" w:rsidRDefault="00BF397F" w:rsidP="00D7522D">
      <w:pPr>
        <w:jc w:val="both"/>
        <w:rPr>
          <w:rFonts w:ascii="Calibri" w:hAnsi="Calibri" w:cs="Calibri"/>
          <w:sz w:val="22"/>
          <w:szCs w:val="22"/>
        </w:rPr>
      </w:pPr>
    </w:p>
    <w:p w14:paraId="3B156C9F" w14:textId="0F3A2DF7" w:rsidR="00BF397F" w:rsidRDefault="00BF397F" w:rsidP="00BF397F">
      <w:pPr>
        <w:pStyle w:val="ListParagraph"/>
        <w:numPr>
          <w:ilvl w:val="0"/>
          <w:numId w:val="1"/>
        </w:numPr>
        <w:ind w:left="357" w:hanging="357"/>
        <w:jc w:val="both"/>
        <w:rPr>
          <w:rFonts w:ascii="Calibri" w:hAnsi="Calibri" w:cs="Calibri"/>
          <w:b/>
          <w:bCs/>
          <w:sz w:val="22"/>
          <w:szCs w:val="22"/>
        </w:rPr>
      </w:pPr>
      <w:r>
        <w:rPr>
          <w:rFonts w:ascii="Calibri" w:hAnsi="Calibri" w:cs="Calibri"/>
          <w:b/>
          <w:bCs/>
          <w:sz w:val="22"/>
          <w:szCs w:val="22"/>
        </w:rPr>
        <w:t>Significant new factor</w:t>
      </w:r>
      <w:r w:rsidR="00ED5C3C">
        <w:rPr>
          <w:rFonts w:ascii="Calibri" w:hAnsi="Calibri" w:cs="Calibri"/>
          <w:b/>
          <w:bCs/>
          <w:sz w:val="22"/>
          <w:szCs w:val="22"/>
        </w:rPr>
        <w:t>s</w:t>
      </w:r>
    </w:p>
    <w:p w14:paraId="5F180126" w14:textId="77777777" w:rsidR="00BF397F" w:rsidRDefault="00BF397F" w:rsidP="00BF397F">
      <w:pPr>
        <w:jc w:val="both"/>
        <w:rPr>
          <w:rFonts w:ascii="Calibri" w:hAnsi="Calibri" w:cs="Calibri"/>
          <w:b/>
          <w:bCs/>
          <w:sz w:val="22"/>
          <w:szCs w:val="22"/>
        </w:rPr>
      </w:pPr>
    </w:p>
    <w:p w14:paraId="40953E72" w14:textId="25A73CD8" w:rsidR="00BF397F" w:rsidRDefault="00734D06" w:rsidP="008F2FFB">
      <w:pPr>
        <w:jc w:val="both"/>
        <w:rPr>
          <w:rFonts w:ascii="Calibri" w:hAnsi="Calibri" w:cs="Calibri"/>
          <w:sz w:val="22"/>
          <w:szCs w:val="22"/>
        </w:rPr>
      </w:pPr>
      <w:r w:rsidRPr="008F2FFB">
        <w:rPr>
          <w:rFonts w:ascii="Calibri" w:hAnsi="Calibri" w:cs="Calibri"/>
          <w:sz w:val="22"/>
          <w:szCs w:val="22"/>
        </w:rPr>
        <w:t>On 15 November 2024, the Company announced an unaudited NAV per Share of 42.1p as at 30 September 2024</w:t>
      </w:r>
      <w:r w:rsidR="008F2FFB">
        <w:rPr>
          <w:rFonts w:ascii="Calibri" w:hAnsi="Calibri" w:cs="Calibri"/>
          <w:sz w:val="22"/>
          <w:szCs w:val="22"/>
        </w:rPr>
        <w:t xml:space="preserve"> and, on the same day, announced its </w:t>
      </w:r>
      <w:r w:rsidR="008F2FFB" w:rsidRPr="008F2FFB">
        <w:rPr>
          <w:rFonts w:ascii="Calibri" w:hAnsi="Calibri" w:cs="Calibri"/>
          <w:sz w:val="22"/>
          <w:szCs w:val="22"/>
        </w:rPr>
        <w:t xml:space="preserve">unaudited NAV per Share </w:t>
      </w:r>
      <w:r w:rsidR="00BF397F">
        <w:rPr>
          <w:rFonts w:ascii="Calibri" w:hAnsi="Calibri" w:cs="Calibri"/>
          <w:sz w:val="22"/>
          <w:szCs w:val="22"/>
        </w:rPr>
        <w:t xml:space="preserve">42.6p as at 15 November 2024 (the </w:t>
      </w:r>
      <w:r w:rsidR="008F2FFB">
        <w:rPr>
          <w:rFonts w:ascii="Calibri" w:hAnsi="Calibri" w:cs="Calibri"/>
          <w:sz w:val="22"/>
          <w:szCs w:val="22"/>
        </w:rPr>
        <w:t>"</w:t>
      </w:r>
      <w:r w:rsidR="008F2FFB">
        <w:rPr>
          <w:rFonts w:ascii="Calibri" w:hAnsi="Calibri" w:cs="Calibri"/>
          <w:b/>
          <w:bCs/>
          <w:sz w:val="22"/>
          <w:szCs w:val="22"/>
        </w:rPr>
        <w:t>Updated</w:t>
      </w:r>
      <w:r w:rsidR="008F2FFB" w:rsidRPr="008F2FFB">
        <w:rPr>
          <w:rFonts w:ascii="Calibri" w:hAnsi="Calibri" w:cs="Calibri"/>
          <w:b/>
          <w:bCs/>
          <w:sz w:val="22"/>
          <w:szCs w:val="22"/>
        </w:rPr>
        <w:t xml:space="preserve"> </w:t>
      </w:r>
      <w:r w:rsidR="00BF397F" w:rsidRPr="008F2FFB">
        <w:rPr>
          <w:rFonts w:ascii="Calibri" w:hAnsi="Calibri" w:cs="Calibri"/>
          <w:b/>
          <w:bCs/>
          <w:sz w:val="22"/>
          <w:szCs w:val="22"/>
        </w:rPr>
        <w:t>NAV</w:t>
      </w:r>
      <w:r w:rsidR="008F2FFB">
        <w:rPr>
          <w:rFonts w:ascii="Calibri" w:hAnsi="Calibri" w:cs="Calibri"/>
          <w:sz w:val="22"/>
          <w:szCs w:val="22"/>
        </w:rPr>
        <w:t>"</w:t>
      </w:r>
      <w:r w:rsidR="00BF397F">
        <w:rPr>
          <w:rFonts w:ascii="Calibri" w:hAnsi="Calibri" w:cs="Calibri"/>
          <w:sz w:val="22"/>
          <w:szCs w:val="22"/>
        </w:rPr>
        <w:t xml:space="preserve">), a decrease of </w:t>
      </w:r>
      <w:r w:rsidR="0056106B" w:rsidRPr="008F2FFB">
        <w:rPr>
          <w:rFonts w:ascii="Calibri" w:hAnsi="Calibri" w:cs="Calibri"/>
          <w:sz w:val="22"/>
          <w:szCs w:val="22"/>
        </w:rPr>
        <w:t>7.2</w:t>
      </w:r>
      <w:r w:rsidR="00BF397F" w:rsidRPr="008F2FFB">
        <w:rPr>
          <w:rFonts w:ascii="Calibri" w:hAnsi="Calibri" w:cs="Calibri"/>
          <w:sz w:val="22"/>
          <w:szCs w:val="22"/>
        </w:rPr>
        <w:t>% from</w:t>
      </w:r>
      <w:r w:rsidR="00BF397F">
        <w:rPr>
          <w:rFonts w:ascii="Calibri" w:hAnsi="Calibri" w:cs="Calibri"/>
          <w:sz w:val="22"/>
          <w:szCs w:val="22"/>
        </w:rPr>
        <w:t xml:space="preserve"> its audited NAV per Share as at 30 June 2024</w:t>
      </w:r>
      <w:r w:rsidR="008F2FFB">
        <w:rPr>
          <w:rFonts w:ascii="Calibri" w:hAnsi="Calibri" w:cs="Calibri"/>
          <w:sz w:val="22"/>
          <w:szCs w:val="22"/>
        </w:rPr>
        <w:t xml:space="preserve"> (45.9p)</w:t>
      </w:r>
      <w:r w:rsidR="00BF397F">
        <w:rPr>
          <w:rFonts w:ascii="Calibri" w:hAnsi="Calibri" w:cs="Calibri"/>
          <w:sz w:val="22"/>
          <w:szCs w:val="22"/>
        </w:rPr>
        <w:t>, which was the latest published NAV per share as at the date of the Prospectus.</w:t>
      </w:r>
    </w:p>
    <w:p w14:paraId="6C88CAE7" w14:textId="77777777" w:rsidR="00ED5C3C" w:rsidRDefault="00ED5C3C" w:rsidP="008F2FFB">
      <w:pPr>
        <w:jc w:val="both"/>
        <w:rPr>
          <w:rFonts w:ascii="Calibri" w:hAnsi="Calibri" w:cs="Calibri"/>
          <w:sz w:val="22"/>
          <w:szCs w:val="22"/>
        </w:rPr>
      </w:pPr>
    </w:p>
    <w:p w14:paraId="5734BE6F" w14:textId="77777777" w:rsidR="00ED5C3C" w:rsidRDefault="00ED5C3C" w:rsidP="008F2FFB">
      <w:pPr>
        <w:jc w:val="both"/>
        <w:rPr>
          <w:rFonts w:ascii="Calibri" w:hAnsi="Calibri" w:cs="Calibri"/>
          <w:sz w:val="22"/>
          <w:szCs w:val="22"/>
        </w:rPr>
      </w:pPr>
    </w:p>
    <w:p w14:paraId="74E9212E" w14:textId="4ECA3FCB" w:rsidR="00613E7A" w:rsidRDefault="00613E7A" w:rsidP="00421013">
      <w:pPr>
        <w:pStyle w:val="ListParagraph"/>
        <w:numPr>
          <w:ilvl w:val="0"/>
          <w:numId w:val="1"/>
        </w:numPr>
        <w:ind w:left="357" w:hanging="357"/>
        <w:jc w:val="both"/>
        <w:rPr>
          <w:rFonts w:ascii="Calibri" w:hAnsi="Calibri" w:cs="Calibri"/>
          <w:b/>
          <w:bCs/>
          <w:sz w:val="22"/>
          <w:szCs w:val="22"/>
        </w:rPr>
      </w:pPr>
      <w:r>
        <w:rPr>
          <w:rFonts w:ascii="Calibri" w:hAnsi="Calibri" w:cs="Calibri"/>
          <w:b/>
          <w:bCs/>
          <w:sz w:val="22"/>
          <w:szCs w:val="22"/>
        </w:rPr>
        <w:t>Supplement to the Prospectu</w:t>
      </w:r>
      <w:r w:rsidR="002717D7">
        <w:rPr>
          <w:rFonts w:ascii="Calibri" w:hAnsi="Calibri" w:cs="Calibri"/>
          <w:b/>
          <w:bCs/>
          <w:sz w:val="22"/>
          <w:szCs w:val="22"/>
        </w:rPr>
        <w:t>s</w:t>
      </w:r>
    </w:p>
    <w:p w14:paraId="78319419" w14:textId="77777777" w:rsidR="00421013" w:rsidRDefault="00421013" w:rsidP="00421013">
      <w:pPr>
        <w:jc w:val="both"/>
        <w:rPr>
          <w:rFonts w:ascii="Calibri" w:hAnsi="Calibri" w:cs="Calibri"/>
          <w:b/>
          <w:bCs/>
          <w:sz w:val="22"/>
          <w:szCs w:val="22"/>
        </w:rPr>
      </w:pPr>
    </w:p>
    <w:p w14:paraId="024075DE" w14:textId="58BC7335" w:rsidR="00421013" w:rsidRDefault="00421013" w:rsidP="008F2FFB">
      <w:pPr>
        <w:jc w:val="both"/>
        <w:rPr>
          <w:rFonts w:ascii="Calibri" w:hAnsi="Calibri" w:cs="Calibri"/>
          <w:sz w:val="22"/>
          <w:szCs w:val="22"/>
        </w:rPr>
      </w:pPr>
      <w:r>
        <w:rPr>
          <w:rFonts w:ascii="Calibri" w:hAnsi="Calibri" w:cs="Calibri"/>
          <w:sz w:val="22"/>
          <w:szCs w:val="22"/>
        </w:rPr>
        <w:t>As a result</w:t>
      </w:r>
      <w:r w:rsidR="001606C0">
        <w:rPr>
          <w:rFonts w:ascii="Calibri" w:hAnsi="Calibri" w:cs="Calibri"/>
          <w:sz w:val="22"/>
          <w:szCs w:val="22"/>
        </w:rPr>
        <w:t xml:space="preserve"> of the release </w:t>
      </w:r>
      <w:r w:rsidR="00B30AF9">
        <w:rPr>
          <w:rFonts w:ascii="Calibri" w:hAnsi="Calibri" w:cs="Calibri"/>
          <w:sz w:val="22"/>
          <w:szCs w:val="22"/>
        </w:rPr>
        <w:t xml:space="preserve">of the </w:t>
      </w:r>
      <w:r w:rsidR="008F2FFB">
        <w:rPr>
          <w:rFonts w:ascii="Calibri" w:hAnsi="Calibri" w:cs="Calibri"/>
          <w:sz w:val="22"/>
          <w:szCs w:val="22"/>
        </w:rPr>
        <w:t>Updated</w:t>
      </w:r>
      <w:r w:rsidR="00B30AF9">
        <w:rPr>
          <w:rFonts w:ascii="Calibri" w:hAnsi="Calibri" w:cs="Calibri"/>
          <w:sz w:val="22"/>
          <w:szCs w:val="22"/>
        </w:rPr>
        <w:t xml:space="preserve"> NAV, the information relating to the Company in the final paragraph of the section of the summary of the Prospectus under the heading </w:t>
      </w:r>
      <w:r w:rsidR="008F2FFB">
        <w:rPr>
          <w:rFonts w:ascii="Calibri" w:hAnsi="Calibri" w:cs="Calibri"/>
          <w:sz w:val="22"/>
          <w:szCs w:val="22"/>
        </w:rPr>
        <w:t>"</w:t>
      </w:r>
      <w:r w:rsidR="001C6E9A">
        <w:rPr>
          <w:rFonts w:ascii="Calibri" w:hAnsi="Calibri" w:cs="Calibri"/>
          <w:sz w:val="22"/>
          <w:szCs w:val="22"/>
        </w:rPr>
        <w:t>What is the key financial information regarding the Company and TV2?</w:t>
      </w:r>
      <w:r w:rsidR="008F2FFB">
        <w:rPr>
          <w:rFonts w:ascii="Calibri" w:hAnsi="Calibri" w:cs="Calibri"/>
          <w:sz w:val="22"/>
          <w:szCs w:val="22"/>
        </w:rPr>
        <w:t>"</w:t>
      </w:r>
      <w:r w:rsidR="001C6E9A">
        <w:rPr>
          <w:rFonts w:ascii="Calibri" w:hAnsi="Calibri" w:cs="Calibri"/>
          <w:sz w:val="22"/>
          <w:szCs w:val="22"/>
        </w:rPr>
        <w:t xml:space="preserve"> (on page 6 of the Prospectus) shall be supplemented as follows:</w:t>
      </w:r>
    </w:p>
    <w:p w14:paraId="2A7CC2F6" w14:textId="77777777" w:rsidR="001C6E9A" w:rsidRDefault="001C6E9A" w:rsidP="00421013">
      <w:pPr>
        <w:ind w:left="357"/>
        <w:jc w:val="both"/>
        <w:rPr>
          <w:rFonts w:ascii="Calibri" w:hAnsi="Calibri" w:cs="Calibri"/>
          <w:sz w:val="22"/>
          <w:szCs w:val="22"/>
        </w:rPr>
      </w:pPr>
    </w:p>
    <w:p w14:paraId="6E686523" w14:textId="57347DA8" w:rsidR="00EA26A2" w:rsidRDefault="001C6E9A" w:rsidP="00421013">
      <w:pPr>
        <w:ind w:left="357"/>
        <w:jc w:val="both"/>
        <w:rPr>
          <w:rFonts w:ascii="Calibri" w:hAnsi="Calibri" w:cs="Calibri"/>
          <w:sz w:val="22"/>
          <w:szCs w:val="22"/>
        </w:rPr>
      </w:pPr>
      <w:r>
        <w:rPr>
          <w:rFonts w:ascii="Calibri" w:hAnsi="Calibri" w:cs="Calibri"/>
          <w:i/>
          <w:iCs/>
          <w:sz w:val="22"/>
          <w:szCs w:val="22"/>
        </w:rPr>
        <w:t>Save for the above</w:t>
      </w:r>
      <w:r w:rsidR="00B07768">
        <w:rPr>
          <w:rFonts w:ascii="Calibri" w:hAnsi="Calibri" w:cs="Calibri"/>
          <w:i/>
          <w:iCs/>
          <w:sz w:val="22"/>
          <w:szCs w:val="22"/>
        </w:rPr>
        <w:t xml:space="preserve"> movements in NAV</w:t>
      </w:r>
      <w:r w:rsidR="008F2FFB">
        <w:rPr>
          <w:rFonts w:ascii="Calibri" w:hAnsi="Calibri" w:cs="Calibri"/>
          <w:i/>
          <w:iCs/>
          <w:sz w:val="22"/>
          <w:szCs w:val="22"/>
        </w:rPr>
        <w:t xml:space="preserve"> </w:t>
      </w:r>
      <w:r w:rsidR="008F2FFB" w:rsidRPr="008F2FFB">
        <w:rPr>
          <w:rFonts w:ascii="Calibri" w:hAnsi="Calibri" w:cs="Calibri"/>
          <w:i/>
          <w:iCs/>
          <w:sz w:val="22"/>
          <w:szCs w:val="22"/>
          <w:u w:val="single"/>
        </w:rPr>
        <w:t xml:space="preserve">and the publication on 15 November 2024 of </w:t>
      </w:r>
      <w:r w:rsidR="00234BCB">
        <w:rPr>
          <w:rFonts w:ascii="Calibri" w:hAnsi="Calibri" w:cs="Calibri"/>
          <w:i/>
          <w:iCs/>
          <w:sz w:val="22"/>
          <w:szCs w:val="22"/>
          <w:u w:val="single"/>
        </w:rPr>
        <w:t>(</w:t>
      </w:r>
      <w:proofErr w:type="spellStart"/>
      <w:r w:rsidR="00234BCB">
        <w:rPr>
          <w:rFonts w:ascii="Calibri" w:hAnsi="Calibri" w:cs="Calibri"/>
          <w:i/>
          <w:iCs/>
          <w:sz w:val="22"/>
          <w:szCs w:val="22"/>
          <w:u w:val="single"/>
        </w:rPr>
        <w:t>i</w:t>
      </w:r>
      <w:proofErr w:type="spellEnd"/>
      <w:r w:rsidR="00234BCB">
        <w:rPr>
          <w:rFonts w:ascii="Calibri" w:hAnsi="Calibri" w:cs="Calibri"/>
          <w:i/>
          <w:iCs/>
          <w:sz w:val="22"/>
          <w:szCs w:val="22"/>
          <w:u w:val="single"/>
        </w:rPr>
        <w:t xml:space="preserve">) </w:t>
      </w:r>
      <w:r w:rsidR="008F2FFB" w:rsidRPr="008F2FFB">
        <w:rPr>
          <w:rFonts w:ascii="Calibri" w:hAnsi="Calibri" w:cs="Calibri"/>
          <w:i/>
          <w:iCs/>
          <w:sz w:val="22"/>
          <w:szCs w:val="22"/>
          <w:u w:val="single"/>
        </w:rPr>
        <w:t>unaudited NAV</w:t>
      </w:r>
      <w:r w:rsidR="00234BCB">
        <w:rPr>
          <w:rFonts w:ascii="Calibri" w:hAnsi="Calibri" w:cs="Calibri"/>
          <w:i/>
          <w:iCs/>
          <w:sz w:val="22"/>
          <w:szCs w:val="22"/>
          <w:u w:val="single"/>
        </w:rPr>
        <w:t>s</w:t>
      </w:r>
      <w:r w:rsidR="008F2FFB" w:rsidRPr="008F2FFB">
        <w:rPr>
          <w:rFonts w:ascii="Calibri" w:hAnsi="Calibri" w:cs="Calibri"/>
          <w:i/>
          <w:iCs/>
          <w:sz w:val="22"/>
          <w:szCs w:val="22"/>
          <w:u w:val="single"/>
        </w:rPr>
        <w:t xml:space="preserve"> per Share </w:t>
      </w:r>
      <w:r w:rsidR="00234BCB">
        <w:rPr>
          <w:rFonts w:ascii="Calibri" w:hAnsi="Calibri" w:cs="Calibri"/>
          <w:i/>
          <w:iCs/>
          <w:sz w:val="22"/>
          <w:szCs w:val="22"/>
          <w:u w:val="single"/>
        </w:rPr>
        <w:t xml:space="preserve">for the Company </w:t>
      </w:r>
      <w:r w:rsidR="008F2FFB" w:rsidRPr="008F2FFB">
        <w:rPr>
          <w:rFonts w:ascii="Calibri" w:hAnsi="Calibri" w:cs="Calibri"/>
          <w:i/>
          <w:iCs/>
          <w:sz w:val="22"/>
          <w:szCs w:val="22"/>
          <w:u w:val="single"/>
        </w:rPr>
        <w:t>of 42.1p as at 30 September 2024 and 42.6p as at 15 November 2024</w:t>
      </w:r>
      <w:r w:rsidR="00234BCB">
        <w:rPr>
          <w:rFonts w:ascii="Calibri" w:hAnsi="Calibri" w:cs="Calibri"/>
          <w:i/>
          <w:iCs/>
          <w:sz w:val="22"/>
          <w:szCs w:val="22"/>
          <w:u w:val="single"/>
        </w:rPr>
        <w:t xml:space="preserve"> (ii) unaudited NAVs per TV2 Ventures Share of </w:t>
      </w:r>
      <w:r w:rsidR="00234BCB" w:rsidRPr="008F2FFB">
        <w:rPr>
          <w:rFonts w:ascii="Calibri" w:hAnsi="Calibri" w:cs="Calibri"/>
          <w:i/>
          <w:iCs/>
          <w:sz w:val="22"/>
          <w:szCs w:val="22"/>
          <w:u w:val="single"/>
        </w:rPr>
        <w:t>4</w:t>
      </w:r>
      <w:r w:rsidR="00234BCB">
        <w:rPr>
          <w:rFonts w:ascii="Calibri" w:hAnsi="Calibri" w:cs="Calibri"/>
          <w:i/>
          <w:iCs/>
          <w:sz w:val="22"/>
          <w:szCs w:val="22"/>
          <w:u w:val="single"/>
        </w:rPr>
        <w:t>1.8</w:t>
      </w:r>
      <w:r w:rsidR="00234BCB" w:rsidRPr="008F2FFB">
        <w:rPr>
          <w:rFonts w:ascii="Calibri" w:hAnsi="Calibri" w:cs="Calibri"/>
          <w:i/>
          <w:iCs/>
          <w:sz w:val="22"/>
          <w:szCs w:val="22"/>
          <w:u w:val="single"/>
        </w:rPr>
        <w:t>p as at 30 September 2024 and 42.</w:t>
      </w:r>
      <w:r w:rsidR="00234BCB">
        <w:rPr>
          <w:rFonts w:ascii="Calibri" w:hAnsi="Calibri" w:cs="Calibri"/>
          <w:i/>
          <w:iCs/>
          <w:sz w:val="22"/>
          <w:szCs w:val="22"/>
          <w:u w:val="single"/>
        </w:rPr>
        <w:t>0</w:t>
      </w:r>
      <w:r w:rsidR="00234BCB" w:rsidRPr="008F2FFB">
        <w:rPr>
          <w:rFonts w:ascii="Calibri" w:hAnsi="Calibri" w:cs="Calibri"/>
          <w:i/>
          <w:iCs/>
          <w:sz w:val="22"/>
          <w:szCs w:val="22"/>
          <w:u w:val="single"/>
        </w:rPr>
        <w:t>p as at 15 November 2024</w:t>
      </w:r>
      <w:r w:rsidR="00234BCB">
        <w:rPr>
          <w:rFonts w:ascii="Calibri" w:hAnsi="Calibri" w:cs="Calibri"/>
          <w:i/>
          <w:iCs/>
          <w:sz w:val="22"/>
          <w:szCs w:val="22"/>
          <w:u w:val="single"/>
        </w:rPr>
        <w:t xml:space="preserve"> and (iii) unaudited NAVs per TV2 Healthcare Share of 37.1</w:t>
      </w:r>
      <w:r w:rsidR="00234BCB" w:rsidRPr="008F2FFB">
        <w:rPr>
          <w:rFonts w:ascii="Calibri" w:hAnsi="Calibri" w:cs="Calibri"/>
          <w:i/>
          <w:iCs/>
          <w:sz w:val="22"/>
          <w:szCs w:val="22"/>
          <w:u w:val="single"/>
        </w:rPr>
        <w:t xml:space="preserve">p as at 30 September 2024 and </w:t>
      </w:r>
      <w:r w:rsidR="00234BCB">
        <w:rPr>
          <w:rFonts w:ascii="Calibri" w:hAnsi="Calibri" w:cs="Calibri"/>
          <w:i/>
          <w:iCs/>
          <w:sz w:val="22"/>
          <w:szCs w:val="22"/>
          <w:u w:val="single"/>
        </w:rPr>
        <w:t>37</w:t>
      </w:r>
      <w:r w:rsidR="00234BCB" w:rsidRPr="008F2FFB">
        <w:rPr>
          <w:rFonts w:ascii="Calibri" w:hAnsi="Calibri" w:cs="Calibri"/>
          <w:i/>
          <w:iCs/>
          <w:sz w:val="22"/>
          <w:szCs w:val="22"/>
          <w:u w:val="single"/>
        </w:rPr>
        <w:t>.</w:t>
      </w:r>
      <w:r w:rsidR="00234BCB">
        <w:rPr>
          <w:rFonts w:ascii="Calibri" w:hAnsi="Calibri" w:cs="Calibri"/>
          <w:i/>
          <w:iCs/>
          <w:sz w:val="22"/>
          <w:szCs w:val="22"/>
          <w:u w:val="single"/>
        </w:rPr>
        <w:t>0</w:t>
      </w:r>
      <w:r w:rsidR="00234BCB" w:rsidRPr="008F2FFB">
        <w:rPr>
          <w:rFonts w:ascii="Calibri" w:hAnsi="Calibri" w:cs="Calibri"/>
          <w:i/>
          <w:iCs/>
          <w:sz w:val="22"/>
          <w:szCs w:val="22"/>
          <w:u w:val="single"/>
        </w:rPr>
        <w:t>p as at 15 November 2024</w:t>
      </w:r>
      <w:r w:rsidR="008F2FFB">
        <w:rPr>
          <w:rFonts w:ascii="Calibri" w:hAnsi="Calibri" w:cs="Calibri"/>
          <w:sz w:val="22"/>
          <w:szCs w:val="22"/>
        </w:rPr>
        <w:t>,</w:t>
      </w:r>
      <w:r w:rsidR="00B07768">
        <w:rPr>
          <w:rFonts w:ascii="Calibri" w:hAnsi="Calibri" w:cs="Calibri"/>
          <w:i/>
          <w:iCs/>
          <w:sz w:val="22"/>
          <w:szCs w:val="22"/>
        </w:rPr>
        <w:t xml:space="preserve"> there has been no significant change in the financial position or financial performance of the Company or TV2 since the end of the last financial period for which financial information has been published to the date of this Prospectus (being the </w:t>
      </w:r>
      <w:r w:rsidR="00B07768">
        <w:rPr>
          <w:rFonts w:ascii="Calibri" w:hAnsi="Calibri" w:cs="Calibri"/>
          <w:i/>
          <w:iCs/>
          <w:sz w:val="22"/>
          <w:szCs w:val="22"/>
        </w:rPr>
        <w:lastRenderedPageBreak/>
        <w:t>audited financial information of each company for their respective financial years to 31 March 2024</w:t>
      </w:r>
      <w:r w:rsidR="00EA26A2">
        <w:rPr>
          <w:rFonts w:ascii="Calibri" w:hAnsi="Calibri" w:cs="Calibri"/>
          <w:i/>
          <w:iCs/>
          <w:sz w:val="22"/>
          <w:szCs w:val="22"/>
        </w:rPr>
        <w:t>).</w:t>
      </w:r>
    </w:p>
    <w:p w14:paraId="0E114823" w14:textId="77777777" w:rsidR="00B96D8D" w:rsidRDefault="00B96D8D" w:rsidP="00DB5C6A">
      <w:pPr>
        <w:jc w:val="both"/>
        <w:rPr>
          <w:rFonts w:ascii="Calibri" w:hAnsi="Calibri" w:cs="Calibri"/>
          <w:i/>
          <w:iCs/>
          <w:sz w:val="22"/>
          <w:szCs w:val="22"/>
        </w:rPr>
      </w:pPr>
    </w:p>
    <w:p w14:paraId="015285EE" w14:textId="4756EE66" w:rsidR="00B96D8D" w:rsidRDefault="00B96D8D" w:rsidP="00B96D8D">
      <w:pPr>
        <w:pStyle w:val="ListParagraph"/>
        <w:numPr>
          <w:ilvl w:val="0"/>
          <w:numId w:val="1"/>
        </w:numPr>
        <w:ind w:left="357" w:hanging="357"/>
        <w:jc w:val="both"/>
        <w:rPr>
          <w:rFonts w:ascii="Calibri" w:hAnsi="Calibri" w:cs="Calibri"/>
          <w:b/>
          <w:bCs/>
          <w:sz w:val="22"/>
          <w:szCs w:val="22"/>
        </w:rPr>
      </w:pPr>
      <w:r>
        <w:rPr>
          <w:rFonts w:ascii="Calibri" w:hAnsi="Calibri" w:cs="Calibri"/>
          <w:b/>
          <w:bCs/>
          <w:sz w:val="22"/>
          <w:szCs w:val="22"/>
        </w:rPr>
        <w:t xml:space="preserve">No </w:t>
      </w:r>
      <w:r w:rsidR="008F2FFB">
        <w:rPr>
          <w:rFonts w:ascii="Calibri" w:hAnsi="Calibri" w:cs="Calibri"/>
          <w:b/>
          <w:bCs/>
          <w:sz w:val="22"/>
          <w:szCs w:val="22"/>
        </w:rPr>
        <w:t>significant change</w:t>
      </w:r>
    </w:p>
    <w:p w14:paraId="18E4D8D4" w14:textId="77777777" w:rsidR="008F2FFB" w:rsidRDefault="008F2FFB" w:rsidP="008F2FFB">
      <w:pPr>
        <w:jc w:val="both"/>
        <w:rPr>
          <w:rFonts w:ascii="Calibri" w:hAnsi="Calibri" w:cs="Calibri"/>
          <w:b/>
          <w:bCs/>
          <w:sz w:val="22"/>
          <w:szCs w:val="22"/>
        </w:rPr>
      </w:pPr>
    </w:p>
    <w:p w14:paraId="2453A898" w14:textId="77777777" w:rsidR="008F2FFB" w:rsidRPr="00CA47BA" w:rsidRDefault="008F2FFB" w:rsidP="008F2FFB">
      <w:pPr>
        <w:ind w:left="357"/>
        <w:jc w:val="both"/>
        <w:rPr>
          <w:rFonts w:ascii="Calibri" w:hAnsi="Calibri" w:cs="Calibri"/>
          <w:sz w:val="22"/>
          <w:szCs w:val="22"/>
        </w:rPr>
      </w:pPr>
      <w:r>
        <w:rPr>
          <w:rFonts w:ascii="Calibri" w:hAnsi="Calibri" w:cs="Calibri"/>
          <w:sz w:val="22"/>
          <w:szCs w:val="22"/>
        </w:rPr>
        <w:t>As a result of the announcement of the 15 November 2024 NAV, the paragraph headed “Significant Change" in Part 7 of the Prospectus (“Financial information on the Company and TV2") is hereby supplemented as follows:</w:t>
      </w:r>
    </w:p>
    <w:p w14:paraId="3877A28A" w14:textId="77777777" w:rsidR="008F2FFB" w:rsidRDefault="008F2FFB" w:rsidP="008F2FFB">
      <w:pPr>
        <w:jc w:val="both"/>
        <w:rPr>
          <w:rFonts w:ascii="Calibri" w:hAnsi="Calibri" w:cs="Calibri"/>
          <w:i/>
          <w:iCs/>
          <w:sz w:val="22"/>
          <w:szCs w:val="22"/>
        </w:rPr>
      </w:pPr>
      <w:r>
        <w:rPr>
          <w:rFonts w:ascii="Calibri" w:hAnsi="Calibri" w:cs="Calibri"/>
          <w:i/>
          <w:iCs/>
          <w:sz w:val="22"/>
          <w:szCs w:val="22"/>
        </w:rPr>
        <w:tab/>
      </w:r>
    </w:p>
    <w:p w14:paraId="1C48ED8E" w14:textId="1ABD3487" w:rsidR="008F2FFB" w:rsidRPr="008F2FFB" w:rsidRDefault="008F2FFB" w:rsidP="008F2FFB">
      <w:pPr>
        <w:ind w:left="357"/>
        <w:jc w:val="both"/>
        <w:rPr>
          <w:rFonts w:ascii="Calibri" w:hAnsi="Calibri" w:cs="Calibri"/>
          <w:i/>
          <w:iCs/>
          <w:sz w:val="22"/>
          <w:szCs w:val="22"/>
        </w:rPr>
      </w:pPr>
      <w:r>
        <w:rPr>
          <w:rFonts w:ascii="Calibri" w:hAnsi="Calibri" w:cs="Calibri"/>
          <w:i/>
          <w:iCs/>
          <w:sz w:val="22"/>
          <w:szCs w:val="22"/>
        </w:rPr>
        <w:t xml:space="preserve">Save for the above movements in NAV </w:t>
      </w:r>
      <w:r w:rsidRPr="008F2FFB">
        <w:rPr>
          <w:rFonts w:ascii="Calibri" w:hAnsi="Calibri" w:cs="Calibri"/>
          <w:i/>
          <w:iCs/>
          <w:sz w:val="22"/>
          <w:szCs w:val="22"/>
          <w:u w:val="single"/>
        </w:rPr>
        <w:t xml:space="preserve">and the publication on 15 November 2024 of </w:t>
      </w:r>
      <w:r w:rsidR="00234BCB">
        <w:rPr>
          <w:rFonts w:ascii="Calibri" w:hAnsi="Calibri" w:cs="Calibri"/>
          <w:i/>
          <w:iCs/>
          <w:sz w:val="22"/>
          <w:szCs w:val="22"/>
          <w:u w:val="single"/>
        </w:rPr>
        <w:t>(</w:t>
      </w:r>
      <w:proofErr w:type="spellStart"/>
      <w:r w:rsidR="00234BCB">
        <w:rPr>
          <w:rFonts w:ascii="Calibri" w:hAnsi="Calibri" w:cs="Calibri"/>
          <w:i/>
          <w:iCs/>
          <w:sz w:val="22"/>
          <w:szCs w:val="22"/>
          <w:u w:val="single"/>
        </w:rPr>
        <w:t>i</w:t>
      </w:r>
      <w:proofErr w:type="spellEnd"/>
      <w:r w:rsidR="00234BCB">
        <w:rPr>
          <w:rFonts w:ascii="Calibri" w:hAnsi="Calibri" w:cs="Calibri"/>
          <w:i/>
          <w:iCs/>
          <w:sz w:val="22"/>
          <w:szCs w:val="22"/>
          <w:u w:val="single"/>
        </w:rPr>
        <w:t xml:space="preserve">) </w:t>
      </w:r>
      <w:r w:rsidRPr="008F2FFB">
        <w:rPr>
          <w:rFonts w:ascii="Calibri" w:hAnsi="Calibri" w:cs="Calibri"/>
          <w:i/>
          <w:iCs/>
          <w:sz w:val="22"/>
          <w:szCs w:val="22"/>
          <w:u w:val="single"/>
        </w:rPr>
        <w:t>unaudited NAV</w:t>
      </w:r>
      <w:r w:rsidR="00047804">
        <w:rPr>
          <w:rFonts w:ascii="Calibri" w:hAnsi="Calibri" w:cs="Calibri"/>
          <w:i/>
          <w:iCs/>
          <w:sz w:val="22"/>
          <w:szCs w:val="22"/>
          <w:u w:val="single"/>
        </w:rPr>
        <w:t>s</w:t>
      </w:r>
      <w:r w:rsidRPr="008F2FFB">
        <w:rPr>
          <w:rFonts w:ascii="Calibri" w:hAnsi="Calibri" w:cs="Calibri"/>
          <w:i/>
          <w:iCs/>
          <w:sz w:val="22"/>
          <w:szCs w:val="22"/>
          <w:u w:val="single"/>
        </w:rPr>
        <w:t xml:space="preserve"> per Share </w:t>
      </w:r>
      <w:r w:rsidR="00047804">
        <w:rPr>
          <w:rFonts w:ascii="Calibri" w:hAnsi="Calibri" w:cs="Calibri"/>
          <w:i/>
          <w:iCs/>
          <w:sz w:val="22"/>
          <w:szCs w:val="22"/>
          <w:u w:val="single"/>
        </w:rPr>
        <w:t xml:space="preserve">for the Company </w:t>
      </w:r>
      <w:r w:rsidRPr="008F2FFB">
        <w:rPr>
          <w:rFonts w:ascii="Calibri" w:hAnsi="Calibri" w:cs="Calibri"/>
          <w:i/>
          <w:iCs/>
          <w:sz w:val="22"/>
          <w:szCs w:val="22"/>
          <w:u w:val="single"/>
        </w:rPr>
        <w:t>of 42.1p as at 30 September 2024 and 42.6p as at 15 November 2024</w:t>
      </w:r>
      <w:r w:rsidR="00234BCB">
        <w:rPr>
          <w:rFonts w:ascii="Calibri" w:hAnsi="Calibri" w:cs="Calibri"/>
          <w:i/>
          <w:iCs/>
          <w:sz w:val="22"/>
          <w:szCs w:val="22"/>
          <w:u w:val="single"/>
        </w:rPr>
        <w:t xml:space="preserve"> (ii) </w:t>
      </w:r>
      <w:r w:rsidR="00047804">
        <w:rPr>
          <w:rFonts w:ascii="Calibri" w:hAnsi="Calibri" w:cs="Calibri"/>
          <w:i/>
          <w:iCs/>
          <w:sz w:val="22"/>
          <w:szCs w:val="22"/>
          <w:u w:val="single"/>
        </w:rPr>
        <w:t xml:space="preserve">unaudited NAVs per TV2 Ventures Share of </w:t>
      </w:r>
      <w:r w:rsidR="00047804" w:rsidRPr="008F2FFB">
        <w:rPr>
          <w:rFonts w:ascii="Calibri" w:hAnsi="Calibri" w:cs="Calibri"/>
          <w:i/>
          <w:iCs/>
          <w:sz w:val="22"/>
          <w:szCs w:val="22"/>
          <w:u w:val="single"/>
        </w:rPr>
        <w:t>4</w:t>
      </w:r>
      <w:r w:rsidR="00234BCB">
        <w:rPr>
          <w:rFonts w:ascii="Calibri" w:hAnsi="Calibri" w:cs="Calibri"/>
          <w:i/>
          <w:iCs/>
          <w:sz w:val="22"/>
          <w:szCs w:val="22"/>
          <w:u w:val="single"/>
        </w:rPr>
        <w:t>1.8</w:t>
      </w:r>
      <w:r w:rsidR="00047804" w:rsidRPr="008F2FFB">
        <w:rPr>
          <w:rFonts w:ascii="Calibri" w:hAnsi="Calibri" w:cs="Calibri"/>
          <w:i/>
          <w:iCs/>
          <w:sz w:val="22"/>
          <w:szCs w:val="22"/>
          <w:u w:val="single"/>
        </w:rPr>
        <w:t>p as at 30 September 2024 and 42.</w:t>
      </w:r>
      <w:r w:rsidR="00234BCB">
        <w:rPr>
          <w:rFonts w:ascii="Calibri" w:hAnsi="Calibri" w:cs="Calibri"/>
          <w:i/>
          <w:iCs/>
          <w:sz w:val="22"/>
          <w:szCs w:val="22"/>
          <w:u w:val="single"/>
        </w:rPr>
        <w:t>0</w:t>
      </w:r>
      <w:r w:rsidR="00047804" w:rsidRPr="008F2FFB">
        <w:rPr>
          <w:rFonts w:ascii="Calibri" w:hAnsi="Calibri" w:cs="Calibri"/>
          <w:i/>
          <w:iCs/>
          <w:sz w:val="22"/>
          <w:szCs w:val="22"/>
          <w:u w:val="single"/>
        </w:rPr>
        <w:t>p as at 15 November 2024</w:t>
      </w:r>
      <w:r w:rsidR="00234BCB">
        <w:rPr>
          <w:rFonts w:ascii="Calibri" w:hAnsi="Calibri" w:cs="Calibri"/>
          <w:i/>
          <w:iCs/>
          <w:sz w:val="22"/>
          <w:szCs w:val="22"/>
          <w:u w:val="single"/>
        </w:rPr>
        <w:t xml:space="preserve"> and (iii) unaudited NAVs per TV2 Healthcare Share of 37.1</w:t>
      </w:r>
      <w:r w:rsidR="00234BCB" w:rsidRPr="008F2FFB">
        <w:rPr>
          <w:rFonts w:ascii="Calibri" w:hAnsi="Calibri" w:cs="Calibri"/>
          <w:i/>
          <w:iCs/>
          <w:sz w:val="22"/>
          <w:szCs w:val="22"/>
          <w:u w:val="single"/>
        </w:rPr>
        <w:t xml:space="preserve">p as at 30 September 2024 and </w:t>
      </w:r>
      <w:r w:rsidR="00234BCB">
        <w:rPr>
          <w:rFonts w:ascii="Calibri" w:hAnsi="Calibri" w:cs="Calibri"/>
          <w:i/>
          <w:iCs/>
          <w:sz w:val="22"/>
          <w:szCs w:val="22"/>
          <w:u w:val="single"/>
        </w:rPr>
        <w:t>37</w:t>
      </w:r>
      <w:r w:rsidR="00234BCB" w:rsidRPr="008F2FFB">
        <w:rPr>
          <w:rFonts w:ascii="Calibri" w:hAnsi="Calibri" w:cs="Calibri"/>
          <w:i/>
          <w:iCs/>
          <w:sz w:val="22"/>
          <w:szCs w:val="22"/>
          <w:u w:val="single"/>
        </w:rPr>
        <w:t>.</w:t>
      </w:r>
      <w:r w:rsidR="00234BCB">
        <w:rPr>
          <w:rFonts w:ascii="Calibri" w:hAnsi="Calibri" w:cs="Calibri"/>
          <w:i/>
          <w:iCs/>
          <w:sz w:val="22"/>
          <w:szCs w:val="22"/>
          <w:u w:val="single"/>
        </w:rPr>
        <w:t>0</w:t>
      </w:r>
      <w:r w:rsidR="00234BCB" w:rsidRPr="008F2FFB">
        <w:rPr>
          <w:rFonts w:ascii="Calibri" w:hAnsi="Calibri" w:cs="Calibri"/>
          <w:i/>
          <w:iCs/>
          <w:sz w:val="22"/>
          <w:szCs w:val="22"/>
          <w:u w:val="single"/>
        </w:rPr>
        <w:t>p as at 15 November 2024</w:t>
      </w:r>
      <w:r>
        <w:rPr>
          <w:rFonts w:ascii="Calibri" w:hAnsi="Calibri" w:cs="Calibri"/>
          <w:i/>
          <w:iCs/>
          <w:sz w:val="22"/>
          <w:szCs w:val="22"/>
        </w:rPr>
        <w:t>, there has been no significant change in the financial position or financial performance of the Company or TV2 since the end of the last financial period for which financial information has been published to the date of this Prospectus (being the audited financial information of each company for their respective financial years ended 31 March 2024).</w:t>
      </w:r>
    </w:p>
    <w:p w14:paraId="61C79144" w14:textId="77777777" w:rsidR="008F2FFB" w:rsidRPr="008F2FFB" w:rsidRDefault="008F2FFB" w:rsidP="008F2FFB">
      <w:pPr>
        <w:jc w:val="both"/>
        <w:rPr>
          <w:rFonts w:ascii="Calibri" w:hAnsi="Calibri" w:cs="Calibri"/>
          <w:b/>
          <w:bCs/>
          <w:sz w:val="22"/>
          <w:szCs w:val="22"/>
        </w:rPr>
      </w:pPr>
    </w:p>
    <w:p w14:paraId="482BE115" w14:textId="0E790C7C" w:rsidR="00CA47BA" w:rsidRPr="008F2FFB" w:rsidRDefault="008F2FFB" w:rsidP="00CA47BA">
      <w:pPr>
        <w:pStyle w:val="ListParagraph"/>
        <w:numPr>
          <w:ilvl w:val="0"/>
          <w:numId w:val="1"/>
        </w:numPr>
        <w:ind w:left="357" w:hanging="357"/>
        <w:jc w:val="both"/>
        <w:rPr>
          <w:rFonts w:ascii="Calibri" w:hAnsi="Calibri" w:cs="Calibri"/>
          <w:b/>
          <w:bCs/>
          <w:sz w:val="22"/>
          <w:szCs w:val="22"/>
        </w:rPr>
      </w:pPr>
      <w:r>
        <w:rPr>
          <w:rFonts w:ascii="Calibri" w:hAnsi="Calibri" w:cs="Calibri"/>
          <w:b/>
          <w:bCs/>
          <w:sz w:val="22"/>
          <w:szCs w:val="22"/>
        </w:rPr>
        <w:t>Material mistake</w:t>
      </w:r>
    </w:p>
    <w:p w14:paraId="40B02F83" w14:textId="77777777" w:rsidR="008F2FFB" w:rsidRPr="008F2FFB" w:rsidRDefault="008F2FFB" w:rsidP="008F2FFB">
      <w:pPr>
        <w:pStyle w:val="ListParagraph"/>
        <w:jc w:val="both"/>
        <w:rPr>
          <w:rFonts w:ascii="Calibri" w:hAnsi="Calibri" w:cs="Calibri"/>
          <w:sz w:val="22"/>
          <w:szCs w:val="22"/>
        </w:rPr>
      </w:pPr>
    </w:p>
    <w:p w14:paraId="40D9E465" w14:textId="2DF38AB4" w:rsidR="00C36368" w:rsidRPr="006B5F38" w:rsidRDefault="00C36368" w:rsidP="000C7C16">
      <w:pPr>
        <w:ind w:left="357"/>
        <w:jc w:val="both"/>
        <w:rPr>
          <w:rFonts w:ascii="Calibri" w:hAnsi="Calibri" w:cs="Calibri"/>
          <w:sz w:val="22"/>
          <w:szCs w:val="22"/>
        </w:rPr>
      </w:pPr>
      <w:r>
        <w:rPr>
          <w:rFonts w:ascii="Calibri" w:hAnsi="Calibri" w:cs="Calibri"/>
          <w:sz w:val="22"/>
          <w:szCs w:val="22"/>
        </w:rPr>
        <w:t>In addition, t</w:t>
      </w:r>
      <w:r w:rsidRPr="006B5F38">
        <w:rPr>
          <w:rFonts w:ascii="Calibri" w:hAnsi="Calibri" w:cs="Calibri"/>
          <w:sz w:val="22"/>
          <w:szCs w:val="22"/>
        </w:rPr>
        <w:t xml:space="preserve">he purpose of the Supplement is to correct a material mistake in the Prospectus, specifically two typographical errors in the illustrative example table on page 21 of the Prospectus which provides a worked example of the operation of the proposed performance incentive scheme between the Company and its investment adviser, Foresight Group LLP. </w:t>
      </w:r>
    </w:p>
    <w:p w14:paraId="021BC7EB" w14:textId="77777777" w:rsidR="00C36368" w:rsidRPr="006B5F38" w:rsidRDefault="00C36368" w:rsidP="00C36368">
      <w:pPr>
        <w:jc w:val="both"/>
        <w:rPr>
          <w:rFonts w:ascii="Calibri" w:hAnsi="Calibri" w:cs="Calibri"/>
          <w:sz w:val="22"/>
          <w:szCs w:val="22"/>
        </w:rPr>
      </w:pPr>
    </w:p>
    <w:p w14:paraId="7ED131F2" w14:textId="77777777" w:rsidR="00C36368" w:rsidRPr="006B5F38" w:rsidRDefault="00C36368" w:rsidP="000C7C16">
      <w:pPr>
        <w:ind w:left="357"/>
        <w:jc w:val="both"/>
        <w:rPr>
          <w:rFonts w:ascii="Calibri" w:hAnsi="Calibri" w:cs="Calibri"/>
          <w:sz w:val="22"/>
          <w:szCs w:val="22"/>
        </w:rPr>
      </w:pPr>
      <w:r w:rsidRPr="006B5F38">
        <w:rPr>
          <w:rFonts w:ascii="Calibri" w:hAnsi="Calibri" w:cs="Calibri"/>
          <w:sz w:val="22"/>
          <w:szCs w:val="22"/>
        </w:rPr>
        <w:t>The relevant table is reproduced below, together with its accompanying footnotes, and the corrections to the typographical errors (each in the column headed 'Year 3') are shown underlined (where a number has been added) and struck through (where a number has been deleted):</w:t>
      </w:r>
    </w:p>
    <w:p w14:paraId="3A761E3B" w14:textId="77777777" w:rsidR="00C36368" w:rsidRPr="006B5F38" w:rsidRDefault="00C36368" w:rsidP="00C36368">
      <w:pPr>
        <w:jc w:val="both"/>
        <w:rPr>
          <w:rFonts w:ascii="Calibri" w:hAnsi="Calibri" w:cs="Calibri"/>
          <w:sz w:val="20"/>
          <w:szCs w:val="20"/>
          <w:lang w:val="en-US"/>
        </w:rPr>
      </w:pPr>
    </w:p>
    <w:tbl>
      <w:tblPr>
        <w:tblStyle w:val="TableGrid"/>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1384"/>
        <w:gridCol w:w="1385"/>
        <w:gridCol w:w="1384"/>
        <w:gridCol w:w="1494"/>
        <w:gridCol w:w="1276"/>
      </w:tblGrid>
      <w:tr w:rsidR="00C36368" w:rsidRPr="006B5F38" w14:paraId="4668A162" w14:textId="77777777" w:rsidTr="005E7856">
        <w:tc>
          <w:tcPr>
            <w:tcW w:w="3567" w:type="dxa"/>
          </w:tcPr>
          <w:p w14:paraId="60729DDD" w14:textId="77777777" w:rsidR="00C36368" w:rsidRPr="006B5F38" w:rsidRDefault="00C36368" w:rsidP="005E7856">
            <w:pPr>
              <w:jc w:val="both"/>
              <w:rPr>
                <w:rFonts w:ascii="Calibri" w:hAnsi="Calibri" w:cs="Calibri"/>
                <w:lang w:val="en-US"/>
              </w:rPr>
            </w:pPr>
          </w:p>
        </w:tc>
        <w:tc>
          <w:tcPr>
            <w:tcW w:w="1384" w:type="dxa"/>
          </w:tcPr>
          <w:p w14:paraId="281F1EB9" w14:textId="77777777" w:rsidR="00C36368" w:rsidRPr="006B5F38" w:rsidRDefault="00C36368" w:rsidP="005E7856">
            <w:pPr>
              <w:jc w:val="both"/>
              <w:rPr>
                <w:rFonts w:ascii="Calibri" w:hAnsi="Calibri" w:cs="Calibri"/>
                <w:b/>
                <w:lang w:val="en-US"/>
              </w:rPr>
            </w:pPr>
            <w:r w:rsidRPr="006B5F38">
              <w:rPr>
                <w:rFonts w:ascii="Calibri" w:hAnsi="Calibri" w:cs="Calibri"/>
                <w:b/>
                <w:lang w:val="en-US"/>
              </w:rPr>
              <w:t>Year 1</w:t>
            </w:r>
          </w:p>
        </w:tc>
        <w:tc>
          <w:tcPr>
            <w:tcW w:w="1385" w:type="dxa"/>
          </w:tcPr>
          <w:p w14:paraId="4CEA6736" w14:textId="77777777" w:rsidR="00C36368" w:rsidRPr="006B5F38" w:rsidRDefault="00C36368" w:rsidP="005E7856">
            <w:pPr>
              <w:jc w:val="both"/>
              <w:rPr>
                <w:rFonts w:ascii="Calibri" w:hAnsi="Calibri" w:cs="Calibri"/>
                <w:b/>
                <w:lang w:val="en-US"/>
              </w:rPr>
            </w:pPr>
            <w:r w:rsidRPr="006B5F38">
              <w:rPr>
                <w:rFonts w:ascii="Calibri" w:hAnsi="Calibri" w:cs="Calibri"/>
                <w:b/>
                <w:lang w:val="en-US"/>
              </w:rPr>
              <w:t>Year 2</w:t>
            </w:r>
          </w:p>
        </w:tc>
        <w:tc>
          <w:tcPr>
            <w:tcW w:w="1384" w:type="dxa"/>
          </w:tcPr>
          <w:p w14:paraId="578671CF" w14:textId="77777777" w:rsidR="00C36368" w:rsidRPr="006B5F38" w:rsidRDefault="00C36368" w:rsidP="005E7856">
            <w:pPr>
              <w:jc w:val="both"/>
              <w:rPr>
                <w:rFonts w:ascii="Calibri" w:hAnsi="Calibri" w:cs="Calibri"/>
                <w:b/>
                <w:lang w:val="en-US"/>
              </w:rPr>
            </w:pPr>
            <w:r w:rsidRPr="006B5F38">
              <w:rPr>
                <w:rFonts w:ascii="Calibri" w:hAnsi="Calibri" w:cs="Calibri"/>
                <w:b/>
                <w:lang w:val="en-US"/>
              </w:rPr>
              <w:t>Year 3</w:t>
            </w:r>
          </w:p>
        </w:tc>
        <w:tc>
          <w:tcPr>
            <w:tcW w:w="1494" w:type="dxa"/>
          </w:tcPr>
          <w:p w14:paraId="5BC90151" w14:textId="77777777" w:rsidR="00C36368" w:rsidRPr="006B5F38" w:rsidRDefault="00C36368" w:rsidP="005E7856">
            <w:pPr>
              <w:jc w:val="both"/>
              <w:rPr>
                <w:rFonts w:ascii="Calibri" w:hAnsi="Calibri" w:cs="Calibri"/>
                <w:b/>
                <w:lang w:val="en-US"/>
              </w:rPr>
            </w:pPr>
            <w:r w:rsidRPr="006B5F38">
              <w:rPr>
                <w:rFonts w:ascii="Calibri" w:hAnsi="Calibri" w:cs="Calibri"/>
                <w:b/>
                <w:lang w:val="en-US"/>
              </w:rPr>
              <w:t>Year 4</w:t>
            </w:r>
          </w:p>
        </w:tc>
        <w:tc>
          <w:tcPr>
            <w:tcW w:w="1276" w:type="dxa"/>
          </w:tcPr>
          <w:p w14:paraId="49446893" w14:textId="77777777" w:rsidR="00C36368" w:rsidRPr="006B5F38" w:rsidRDefault="00C36368" w:rsidP="005E7856">
            <w:pPr>
              <w:jc w:val="both"/>
              <w:rPr>
                <w:rFonts w:ascii="Calibri" w:hAnsi="Calibri" w:cs="Calibri"/>
                <w:b/>
                <w:lang w:val="en-US"/>
              </w:rPr>
            </w:pPr>
            <w:r w:rsidRPr="006B5F38">
              <w:rPr>
                <w:rFonts w:ascii="Calibri" w:hAnsi="Calibri" w:cs="Calibri"/>
                <w:b/>
                <w:lang w:val="en-US"/>
              </w:rPr>
              <w:t>Year 5</w:t>
            </w:r>
          </w:p>
          <w:p w14:paraId="606CBBAC" w14:textId="77777777" w:rsidR="00C36368" w:rsidRPr="006B5F38" w:rsidRDefault="00C36368" w:rsidP="005E7856">
            <w:pPr>
              <w:jc w:val="both"/>
              <w:rPr>
                <w:rFonts w:ascii="Calibri" w:hAnsi="Calibri" w:cs="Calibri"/>
                <w:b/>
                <w:lang w:val="en-US"/>
              </w:rPr>
            </w:pPr>
          </w:p>
        </w:tc>
      </w:tr>
      <w:tr w:rsidR="00C36368" w:rsidRPr="006B5F38" w14:paraId="3F0A44FA" w14:textId="77777777" w:rsidTr="005E7856">
        <w:tc>
          <w:tcPr>
            <w:tcW w:w="3567" w:type="dxa"/>
          </w:tcPr>
          <w:p w14:paraId="3703F5A8" w14:textId="77777777" w:rsidR="00C36368" w:rsidRPr="006B5F38" w:rsidRDefault="00C36368" w:rsidP="005E7856">
            <w:pPr>
              <w:jc w:val="both"/>
              <w:rPr>
                <w:rFonts w:ascii="Calibri" w:hAnsi="Calibri" w:cs="Calibri"/>
                <w:lang w:val="en-US"/>
              </w:rPr>
            </w:pPr>
            <w:r w:rsidRPr="006B5F38">
              <w:rPr>
                <w:rFonts w:ascii="Calibri" w:hAnsi="Calibri" w:cs="Calibri"/>
                <w:lang w:val="en-US"/>
              </w:rPr>
              <w:t>Closing NAV per Share</w:t>
            </w:r>
          </w:p>
        </w:tc>
        <w:tc>
          <w:tcPr>
            <w:tcW w:w="1384" w:type="dxa"/>
          </w:tcPr>
          <w:p w14:paraId="2DF40BB1" w14:textId="77777777" w:rsidR="00C36368" w:rsidRPr="006B5F38" w:rsidRDefault="00C36368" w:rsidP="005E7856">
            <w:pPr>
              <w:jc w:val="both"/>
              <w:rPr>
                <w:rFonts w:ascii="Calibri" w:hAnsi="Calibri" w:cs="Calibri"/>
                <w:lang w:val="en-US"/>
              </w:rPr>
            </w:pPr>
            <w:r w:rsidRPr="006B5F38">
              <w:rPr>
                <w:rFonts w:ascii="Calibri" w:hAnsi="Calibri" w:cs="Calibri"/>
              </w:rPr>
              <w:t>104.6p</w:t>
            </w:r>
          </w:p>
        </w:tc>
        <w:tc>
          <w:tcPr>
            <w:tcW w:w="1385" w:type="dxa"/>
          </w:tcPr>
          <w:p w14:paraId="06716117" w14:textId="77777777" w:rsidR="00C36368" w:rsidRPr="006B5F38" w:rsidRDefault="00C36368" w:rsidP="005E7856">
            <w:pPr>
              <w:jc w:val="both"/>
              <w:rPr>
                <w:rFonts w:ascii="Calibri" w:hAnsi="Calibri" w:cs="Calibri"/>
                <w:lang w:val="en-US"/>
              </w:rPr>
            </w:pPr>
            <w:r w:rsidRPr="006B5F38">
              <w:rPr>
                <w:rFonts w:ascii="Calibri" w:hAnsi="Calibri" w:cs="Calibri"/>
              </w:rPr>
              <w:t>107.5p</w:t>
            </w:r>
          </w:p>
        </w:tc>
        <w:tc>
          <w:tcPr>
            <w:tcW w:w="1384" w:type="dxa"/>
          </w:tcPr>
          <w:p w14:paraId="46A67663" w14:textId="77777777" w:rsidR="00C36368" w:rsidRPr="006B5F38" w:rsidRDefault="00C36368" w:rsidP="005E7856">
            <w:pPr>
              <w:jc w:val="both"/>
              <w:rPr>
                <w:rFonts w:ascii="Calibri" w:hAnsi="Calibri" w:cs="Calibri"/>
                <w:lang w:val="en-US"/>
              </w:rPr>
            </w:pPr>
            <w:r w:rsidRPr="006B5F38">
              <w:rPr>
                <w:rFonts w:ascii="Calibri" w:hAnsi="Calibri" w:cs="Calibri"/>
              </w:rPr>
              <w:t>100.9p</w:t>
            </w:r>
          </w:p>
        </w:tc>
        <w:tc>
          <w:tcPr>
            <w:tcW w:w="1494" w:type="dxa"/>
          </w:tcPr>
          <w:p w14:paraId="7B18954B" w14:textId="77777777" w:rsidR="00C36368" w:rsidRPr="006B5F38" w:rsidRDefault="00C36368" w:rsidP="005E7856">
            <w:pPr>
              <w:jc w:val="both"/>
              <w:rPr>
                <w:rFonts w:ascii="Calibri" w:hAnsi="Calibri" w:cs="Calibri"/>
                <w:lang w:val="en-US"/>
              </w:rPr>
            </w:pPr>
            <w:r w:rsidRPr="006B5F38">
              <w:rPr>
                <w:rFonts w:ascii="Calibri" w:hAnsi="Calibri" w:cs="Calibri"/>
              </w:rPr>
              <w:t>91.8p</w:t>
            </w:r>
          </w:p>
        </w:tc>
        <w:tc>
          <w:tcPr>
            <w:tcW w:w="1276" w:type="dxa"/>
          </w:tcPr>
          <w:p w14:paraId="79245C92" w14:textId="77777777" w:rsidR="00C36368" w:rsidRPr="006B5F38" w:rsidRDefault="00C36368" w:rsidP="005E7856">
            <w:pPr>
              <w:jc w:val="both"/>
              <w:rPr>
                <w:rFonts w:ascii="Calibri" w:hAnsi="Calibri" w:cs="Calibri"/>
              </w:rPr>
            </w:pPr>
            <w:r w:rsidRPr="006B5F38">
              <w:rPr>
                <w:rFonts w:ascii="Calibri" w:hAnsi="Calibri" w:cs="Calibri"/>
              </w:rPr>
              <w:t>89.0p</w:t>
            </w:r>
          </w:p>
          <w:p w14:paraId="030056B0" w14:textId="77777777" w:rsidR="00C36368" w:rsidRPr="006B5F38" w:rsidRDefault="00C36368" w:rsidP="005E7856">
            <w:pPr>
              <w:jc w:val="both"/>
              <w:rPr>
                <w:rFonts w:ascii="Calibri" w:hAnsi="Calibri" w:cs="Calibri"/>
                <w:lang w:val="en-US"/>
              </w:rPr>
            </w:pPr>
          </w:p>
        </w:tc>
      </w:tr>
      <w:tr w:rsidR="00C36368" w:rsidRPr="006B5F38" w14:paraId="0A60C326" w14:textId="77777777" w:rsidTr="005E7856">
        <w:tc>
          <w:tcPr>
            <w:tcW w:w="3567" w:type="dxa"/>
          </w:tcPr>
          <w:p w14:paraId="0804F6A7" w14:textId="77777777" w:rsidR="00C36368" w:rsidRPr="006B5F38" w:rsidRDefault="00C36368" w:rsidP="005E7856">
            <w:pPr>
              <w:jc w:val="both"/>
              <w:rPr>
                <w:rFonts w:ascii="Calibri" w:hAnsi="Calibri" w:cs="Calibri"/>
                <w:lang w:val="en-US"/>
              </w:rPr>
            </w:pPr>
            <w:r w:rsidRPr="006B5F38">
              <w:rPr>
                <w:rFonts w:ascii="Calibri" w:hAnsi="Calibri" w:cs="Calibri"/>
                <w:lang w:val="en-US"/>
              </w:rPr>
              <w:t>Dividends paid (per Share)</w:t>
            </w:r>
          </w:p>
        </w:tc>
        <w:tc>
          <w:tcPr>
            <w:tcW w:w="1384" w:type="dxa"/>
          </w:tcPr>
          <w:p w14:paraId="41772841"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4.0p</w:t>
            </w:r>
          </w:p>
        </w:tc>
        <w:tc>
          <w:tcPr>
            <w:tcW w:w="1385" w:type="dxa"/>
          </w:tcPr>
          <w:p w14:paraId="13501950"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4.2p</w:t>
            </w:r>
          </w:p>
        </w:tc>
        <w:tc>
          <w:tcPr>
            <w:tcW w:w="1384" w:type="dxa"/>
          </w:tcPr>
          <w:p w14:paraId="02E7C16C" w14:textId="77777777" w:rsidR="00C36368" w:rsidRPr="006B5F38" w:rsidRDefault="00C36368" w:rsidP="005E7856">
            <w:pPr>
              <w:jc w:val="both"/>
              <w:rPr>
                <w:rFonts w:ascii="Calibri" w:hAnsi="Calibri" w:cs="Calibri"/>
                <w:color w:val="000000"/>
              </w:rPr>
            </w:pPr>
            <w:r w:rsidRPr="006B5F38">
              <w:rPr>
                <w:rFonts w:ascii="Calibri" w:hAnsi="Calibri" w:cs="Calibri"/>
                <w:color w:val="000000"/>
              </w:rPr>
              <w:t>19.3p (special dividend)</w:t>
            </w:r>
          </w:p>
        </w:tc>
        <w:tc>
          <w:tcPr>
            <w:tcW w:w="1494" w:type="dxa"/>
          </w:tcPr>
          <w:p w14:paraId="0FF3F7EC"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3.9p</w:t>
            </w:r>
          </w:p>
        </w:tc>
        <w:tc>
          <w:tcPr>
            <w:tcW w:w="1276" w:type="dxa"/>
          </w:tcPr>
          <w:p w14:paraId="1D7AC83E"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3.7p</w:t>
            </w:r>
          </w:p>
        </w:tc>
      </w:tr>
      <w:tr w:rsidR="00C36368" w:rsidRPr="006B5F38" w14:paraId="3C0C59DB" w14:textId="77777777" w:rsidTr="005E7856">
        <w:tc>
          <w:tcPr>
            <w:tcW w:w="3567" w:type="dxa"/>
          </w:tcPr>
          <w:p w14:paraId="3D2B4D5D" w14:textId="77777777" w:rsidR="00C36368" w:rsidRPr="006B5F38" w:rsidRDefault="00C36368" w:rsidP="005E7856">
            <w:pPr>
              <w:jc w:val="both"/>
              <w:rPr>
                <w:rFonts w:ascii="Calibri" w:hAnsi="Calibri" w:cs="Calibri"/>
                <w:vertAlign w:val="superscript"/>
                <w:lang w:val="en-US"/>
              </w:rPr>
            </w:pPr>
            <w:r w:rsidRPr="006B5F38">
              <w:rPr>
                <w:rFonts w:ascii="Calibri" w:hAnsi="Calibri" w:cs="Calibri"/>
                <w:lang w:val="en-US"/>
              </w:rPr>
              <w:t>Illustrative Total Return in percentage increase / (decrease)</w:t>
            </w:r>
            <w:r w:rsidRPr="006B5F38">
              <w:rPr>
                <w:rFonts w:ascii="Calibri" w:hAnsi="Calibri" w:cs="Calibri"/>
                <w:vertAlign w:val="superscript"/>
                <w:lang w:val="en-US"/>
              </w:rPr>
              <w:t xml:space="preserve">1 </w:t>
            </w:r>
          </w:p>
          <w:p w14:paraId="4143CA58" w14:textId="77777777" w:rsidR="00C36368" w:rsidRPr="006B5F38" w:rsidRDefault="00C36368" w:rsidP="005E7856">
            <w:pPr>
              <w:jc w:val="both"/>
              <w:rPr>
                <w:rFonts w:ascii="Calibri" w:hAnsi="Calibri" w:cs="Calibri"/>
                <w:vertAlign w:val="superscript"/>
                <w:lang w:val="en-US"/>
              </w:rPr>
            </w:pPr>
          </w:p>
        </w:tc>
        <w:tc>
          <w:tcPr>
            <w:tcW w:w="1384" w:type="dxa"/>
          </w:tcPr>
          <w:p w14:paraId="60B65879"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8.6%</w:t>
            </w:r>
          </w:p>
        </w:tc>
        <w:tc>
          <w:tcPr>
            <w:tcW w:w="1385" w:type="dxa"/>
          </w:tcPr>
          <w:p w14:paraId="4E6D173D"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6.7%</w:t>
            </w:r>
          </w:p>
        </w:tc>
        <w:tc>
          <w:tcPr>
            <w:tcW w:w="1384" w:type="dxa"/>
          </w:tcPr>
          <w:p w14:paraId="4A214D9C"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12.3%</w:t>
            </w:r>
          </w:p>
        </w:tc>
        <w:tc>
          <w:tcPr>
            <w:tcW w:w="1494" w:type="dxa"/>
          </w:tcPr>
          <w:p w14:paraId="7AAB3A53"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(2.9)%</w:t>
            </w:r>
          </w:p>
        </w:tc>
        <w:tc>
          <w:tcPr>
            <w:tcW w:w="1276" w:type="dxa"/>
          </w:tcPr>
          <w:p w14:paraId="15E98E7F"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1.0%</w:t>
            </w:r>
          </w:p>
        </w:tc>
      </w:tr>
      <w:tr w:rsidR="00C36368" w:rsidRPr="006B5F38" w14:paraId="71292DDE" w14:textId="77777777" w:rsidTr="005E7856">
        <w:tc>
          <w:tcPr>
            <w:tcW w:w="3567" w:type="dxa"/>
          </w:tcPr>
          <w:p w14:paraId="40DFF77B" w14:textId="77777777" w:rsidR="00C36368" w:rsidRPr="006B5F38" w:rsidRDefault="00C36368" w:rsidP="005E7856">
            <w:pPr>
              <w:jc w:val="both"/>
              <w:rPr>
                <w:rFonts w:ascii="Calibri" w:hAnsi="Calibri" w:cs="Calibri"/>
                <w:vertAlign w:val="superscript"/>
                <w:lang w:val="en-US"/>
              </w:rPr>
            </w:pPr>
            <w:r w:rsidRPr="006B5F38">
              <w:rPr>
                <w:rFonts w:ascii="Calibri" w:hAnsi="Calibri" w:cs="Calibri"/>
                <w:lang w:val="en-US"/>
              </w:rPr>
              <w:t>Illustrative Total Return in cash terms</w:t>
            </w:r>
            <w:r w:rsidRPr="006B5F38">
              <w:rPr>
                <w:rFonts w:ascii="Calibri" w:hAnsi="Calibri" w:cs="Calibri"/>
                <w:vertAlign w:val="superscript"/>
                <w:lang w:val="en-US"/>
              </w:rPr>
              <w:t xml:space="preserve">1, 2 </w:t>
            </w:r>
          </w:p>
          <w:p w14:paraId="6B260A1D" w14:textId="77777777" w:rsidR="00C36368" w:rsidRPr="006B5F38" w:rsidRDefault="00C36368" w:rsidP="005E7856">
            <w:pPr>
              <w:jc w:val="both"/>
              <w:rPr>
                <w:rFonts w:ascii="Calibri" w:hAnsi="Calibri" w:cs="Calibri"/>
                <w:lang w:val="en-US"/>
              </w:rPr>
            </w:pPr>
          </w:p>
        </w:tc>
        <w:tc>
          <w:tcPr>
            <w:tcW w:w="1384" w:type="dxa"/>
          </w:tcPr>
          <w:p w14:paraId="2D5EF1F9"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£10,454,400</w:t>
            </w:r>
          </w:p>
        </w:tc>
        <w:tc>
          <w:tcPr>
            <w:tcW w:w="1385" w:type="dxa"/>
          </w:tcPr>
          <w:p w14:paraId="2E75A577"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£8,508,488</w:t>
            </w:r>
          </w:p>
        </w:tc>
        <w:tc>
          <w:tcPr>
            <w:tcW w:w="1384" w:type="dxa"/>
          </w:tcPr>
          <w:p w14:paraId="72598F0F"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£15,923,244</w:t>
            </w:r>
          </w:p>
        </w:tc>
        <w:tc>
          <w:tcPr>
            <w:tcW w:w="1494" w:type="dxa"/>
          </w:tcPr>
          <w:p w14:paraId="70D22191" w14:textId="77777777" w:rsidR="00C36368" w:rsidRPr="006B5F38" w:rsidRDefault="00C36368" w:rsidP="005E7856">
            <w:pPr>
              <w:jc w:val="both"/>
              <w:rPr>
                <w:rFonts w:ascii="Calibri" w:hAnsi="Calibri" w:cs="Calibri"/>
                <w:color w:val="000000"/>
              </w:rPr>
            </w:pPr>
            <w:r w:rsidRPr="006B5F38">
              <w:rPr>
                <w:rFonts w:ascii="Calibri" w:hAnsi="Calibri" w:cs="Calibri"/>
                <w:color w:val="000000"/>
              </w:rPr>
              <w:t>£(3,434,600)</w:t>
            </w:r>
          </w:p>
        </w:tc>
        <w:tc>
          <w:tcPr>
            <w:tcW w:w="1276" w:type="dxa"/>
          </w:tcPr>
          <w:p w14:paraId="485E9FE7"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£1,066,100</w:t>
            </w:r>
          </w:p>
        </w:tc>
      </w:tr>
      <w:tr w:rsidR="00C36368" w:rsidRPr="006B5F38" w14:paraId="6F96E313" w14:textId="77777777" w:rsidTr="005E7856">
        <w:tc>
          <w:tcPr>
            <w:tcW w:w="3567" w:type="dxa"/>
          </w:tcPr>
          <w:p w14:paraId="53D18C64" w14:textId="77777777" w:rsidR="00C36368" w:rsidRPr="006B5F38" w:rsidRDefault="00C36368" w:rsidP="005E7856">
            <w:pPr>
              <w:jc w:val="both"/>
              <w:rPr>
                <w:rFonts w:ascii="Calibri" w:hAnsi="Calibri" w:cs="Calibri"/>
                <w:vertAlign w:val="superscript"/>
                <w:lang w:val="en-US"/>
              </w:rPr>
            </w:pPr>
            <w:r w:rsidRPr="006B5F38">
              <w:rPr>
                <w:rFonts w:ascii="Calibri" w:hAnsi="Calibri" w:cs="Calibri"/>
                <w:lang w:val="en-US"/>
              </w:rPr>
              <w:t>Illustrative Total Return in pence per Share terms</w:t>
            </w:r>
            <w:r w:rsidRPr="006B5F38">
              <w:rPr>
                <w:rFonts w:ascii="Calibri" w:hAnsi="Calibri" w:cs="Calibri"/>
                <w:vertAlign w:val="superscript"/>
                <w:lang w:val="en-US"/>
              </w:rPr>
              <w:t>1, 2</w:t>
            </w:r>
          </w:p>
          <w:p w14:paraId="2903C400" w14:textId="77777777" w:rsidR="00C36368" w:rsidRPr="006B5F38" w:rsidRDefault="00C36368" w:rsidP="005E7856">
            <w:pPr>
              <w:jc w:val="both"/>
              <w:rPr>
                <w:rFonts w:ascii="Calibri" w:hAnsi="Calibri" w:cs="Calibri"/>
                <w:lang w:val="en-US"/>
              </w:rPr>
            </w:pPr>
          </w:p>
        </w:tc>
        <w:tc>
          <w:tcPr>
            <w:tcW w:w="1384" w:type="dxa"/>
          </w:tcPr>
          <w:p w14:paraId="10830E84"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108.6p</w:t>
            </w:r>
          </w:p>
        </w:tc>
        <w:tc>
          <w:tcPr>
            <w:tcW w:w="1385" w:type="dxa"/>
          </w:tcPr>
          <w:p w14:paraId="0ED0A19E"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115.7p</w:t>
            </w:r>
          </w:p>
        </w:tc>
        <w:tc>
          <w:tcPr>
            <w:tcW w:w="1384" w:type="dxa"/>
          </w:tcPr>
          <w:p w14:paraId="74D4DEB2"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128.4p</w:t>
            </w:r>
          </w:p>
        </w:tc>
        <w:tc>
          <w:tcPr>
            <w:tcW w:w="1494" w:type="dxa"/>
          </w:tcPr>
          <w:p w14:paraId="25704AA0"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123.2p</w:t>
            </w:r>
          </w:p>
        </w:tc>
        <w:tc>
          <w:tcPr>
            <w:tcW w:w="1276" w:type="dxa"/>
          </w:tcPr>
          <w:p w14:paraId="5FEBAE9F"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124.1p</w:t>
            </w:r>
          </w:p>
        </w:tc>
      </w:tr>
      <w:tr w:rsidR="00C36368" w:rsidRPr="006B5F38" w14:paraId="030E4FD9" w14:textId="77777777" w:rsidTr="005E7856">
        <w:tc>
          <w:tcPr>
            <w:tcW w:w="3567" w:type="dxa"/>
          </w:tcPr>
          <w:p w14:paraId="0A923D87" w14:textId="77777777" w:rsidR="00C36368" w:rsidRPr="006B5F38" w:rsidRDefault="00C36368" w:rsidP="005E7856">
            <w:pPr>
              <w:jc w:val="both"/>
              <w:rPr>
                <w:rFonts w:ascii="Calibri" w:hAnsi="Calibri" w:cs="Calibri"/>
                <w:vertAlign w:val="superscript"/>
                <w:lang w:val="en-US"/>
              </w:rPr>
            </w:pPr>
            <w:r w:rsidRPr="006B5F38">
              <w:rPr>
                <w:rFonts w:ascii="Calibri" w:hAnsi="Calibri" w:cs="Calibri"/>
                <w:lang w:val="en-US"/>
              </w:rPr>
              <w:t>Hurdle</w:t>
            </w:r>
            <w:r w:rsidRPr="006B5F38">
              <w:rPr>
                <w:rFonts w:ascii="Calibri" w:hAnsi="Calibri" w:cs="Calibri"/>
                <w:vertAlign w:val="superscript"/>
                <w:lang w:val="en-US"/>
              </w:rPr>
              <w:t>3</w:t>
            </w:r>
          </w:p>
          <w:p w14:paraId="274F0DA1" w14:textId="77777777" w:rsidR="00C36368" w:rsidRPr="006B5F38" w:rsidRDefault="00C36368" w:rsidP="005E7856">
            <w:pPr>
              <w:jc w:val="both"/>
              <w:rPr>
                <w:rFonts w:ascii="Calibri" w:hAnsi="Calibri" w:cs="Calibri"/>
                <w:lang w:val="en-US"/>
              </w:rPr>
            </w:pPr>
          </w:p>
        </w:tc>
        <w:tc>
          <w:tcPr>
            <w:tcW w:w="1384" w:type="dxa"/>
          </w:tcPr>
          <w:p w14:paraId="1ECAAC10" w14:textId="77777777" w:rsidR="00C36368" w:rsidRPr="006B5F38" w:rsidRDefault="00C36368" w:rsidP="005E7856">
            <w:pPr>
              <w:jc w:val="both"/>
              <w:rPr>
                <w:rFonts w:ascii="Calibri" w:hAnsi="Calibri" w:cs="Calibri"/>
                <w:lang w:val="en-US"/>
              </w:rPr>
            </w:pPr>
            <w:r w:rsidRPr="006B5F38">
              <w:rPr>
                <w:rFonts w:ascii="Calibri" w:hAnsi="Calibri" w:cs="Calibri"/>
              </w:rPr>
              <w:t>110.0p</w:t>
            </w:r>
          </w:p>
        </w:tc>
        <w:tc>
          <w:tcPr>
            <w:tcW w:w="1385" w:type="dxa"/>
          </w:tcPr>
          <w:p w14:paraId="60379BBB" w14:textId="77777777" w:rsidR="00C36368" w:rsidRPr="006B5F38" w:rsidRDefault="00C36368" w:rsidP="005E7856">
            <w:pPr>
              <w:jc w:val="both"/>
              <w:rPr>
                <w:rFonts w:ascii="Calibri" w:hAnsi="Calibri" w:cs="Calibri"/>
                <w:lang w:val="en-US"/>
              </w:rPr>
            </w:pPr>
            <w:r w:rsidRPr="006B5F38">
              <w:rPr>
                <w:rFonts w:ascii="Calibri" w:hAnsi="Calibri" w:cs="Calibri"/>
              </w:rPr>
              <w:t>113.3p</w:t>
            </w:r>
          </w:p>
        </w:tc>
        <w:tc>
          <w:tcPr>
            <w:tcW w:w="1384" w:type="dxa"/>
          </w:tcPr>
          <w:p w14:paraId="505E3E6F" w14:textId="77777777" w:rsidR="00C36368" w:rsidRPr="006B5F38" w:rsidRDefault="00C36368" w:rsidP="005E7856">
            <w:pPr>
              <w:jc w:val="both"/>
              <w:rPr>
                <w:rFonts w:ascii="Calibri" w:hAnsi="Calibri" w:cs="Calibri"/>
                <w:lang w:val="en-US"/>
              </w:rPr>
            </w:pPr>
            <w:r w:rsidRPr="006B5F38">
              <w:rPr>
                <w:rFonts w:ascii="Calibri" w:hAnsi="Calibri" w:cs="Calibri"/>
              </w:rPr>
              <w:t>116.7p</w:t>
            </w:r>
          </w:p>
        </w:tc>
        <w:tc>
          <w:tcPr>
            <w:tcW w:w="1494" w:type="dxa"/>
          </w:tcPr>
          <w:p w14:paraId="4A8DF892" w14:textId="77777777" w:rsidR="00C36368" w:rsidRPr="006B5F38" w:rsidRDefault="00C36368" w:rsidP="005E7856">
            <w:pPr>
              <w:jc w:val="both"/>
              <w:rPr>
                <w:rFonts w:ascii="Calibri" w:hAnsi="Calibri" w:cs="Calibri"/>
                <w:lang w:val="en-US"/>
              </w:rPr>
            </w:pPr>
            <w:r w:rsidRPr="006B5F38">
              <w:rPr>
                <w:rFonts w:ascii="Calibri" w:hAnsi="Calibri" w:cs="Calibri"/>
              </w:rPr>
              <w:t>128.4p</w:t>
            </w:r>
            <w:r w:rsidRPr="006B5F38">
              <w:rPr>
                <w:rFonts w:ascii="Calibri" w:hAnsi="Calibri" w:cs="Calibri"/>
                <w:vertAlign w:val="superscript"/>
                <w:lang w:val="en-US"/>
              </w:rPr>
              <w:t>4</w:t>
            </w:r>
          </w:p>
        </w:tc>
        <w:tc>
          <w:tcPr>
            <w:tcW w:w="1276" w:type="dxa"/>
          </w:tcPr>
          <w:p w14:paraId="4385E77C" w14:textId="77777777" w:rsidR="00C36368" w:rsidRPr="006B5F38" w:rsidRDefault="00C36368" w:rsidP="005E7856">
            <w:pPr>
              <w:jc w:val="both"/>
              <w:rPr>
                <w:rFonts w:ascii="Calibri" w:hAnsi="Calibri" w:cs="Calibri"/>
                <w:lang w:val="en-US"/>
              </w:rPr>
            </w:pPr>
            <w:r w:rsidRPr="006B5F38">
              <w:rPr>
                <w:rFonts w:ascii="Calibri" w:hAnsi="Calibri" w:cs="Calibri"/>
              </w:rPr>
              <w:t>128.4p</w:t>
            </w:r>
            <w:r w:rsidRPr="006B5F38">
              <w:rPr>
                <w:rFonts w:ascii="Calibri" w:hAnsi="Calibri" w:cs="Calibri"/>
                <w:vertAlign w:val="superscript"/>
                <w:lang w:val="en-US"/>
              </w:rPr>
              <w:t>4</w:t>
            </w:r>
          </w:p>
        </w:tc>
      </w:tr>
      <w:tr w:rsidR="00C36368" w:rsidRPr="006B5F38" w14:paraId="44D5C78E" w14:textId="77777777" w:rsidTr="005E7856">
        <w:tc>
          <w:tcPr>
            <w:tcW w:w="3567" w:type="dxa"/>
          </w:tcPr>
          <w:p w14:paraId="5719FC77" w14:textId="77777777" w:rsidR="00C36368" w:rsidRPr="006B5F38" w:rsidRDefault="00C36368" w:rsidP="005E7856">
            <w:pPr>
              <w:jc w:val="both"/>
              <w:rPr>
                <w:rFonts w:ascii="Calibri" w:hAnsi="Calibri" w:cs="Calibri"/>
                <w:lang w:val="en-US"/>
              </w:rPr>
            </w:pPr>
            <w:r w:rsidRPr="006B5F38">
              <w:rPr>
                <w:rFonts w:ascii="Calibri" w:hAnsi="Calibri" w:cs="Calibri"/>
                <w:lang w:val="en-US"/>
              </w:rPr>
              <w:t xml:space="preserve">Performance Fee payable in respect of the year? </w:t>
            </w:r>
          </w:p>
          <w:p w14:paraId="1AF749C3" w14:textId="77777777" w:rsidR="00C36368" w:rsidRPr="006B5F38" w:rsidRDefault="00C36368" w:rsidP="005E7856">
            <w:pPr>
              <w:jc w:val="both"/>
              <w:rPr>
                <w:rFonts w:ascii="Calibri" w:hAnsi="Calibri" w:cs="Calibri"/>
                <w:lang w:val="en-US"/>
              </w:rPr>
            </w:pPr>
          </w:p>
        </w:tc>
        <w:tc>
          <w:tcPr>
            <w:tcW w:w="1384" w:type="dxa"/>
          </w:tcPr>
          <w:p w14:paraId="1BD570DE" w14:textId="77777777" w:rsidR="00C36368" w:rsidRPr="006B5F38" w:rsidRDefault="00C36368" w:rsidP="005E7856">
            <w:pPr>
              <w:jc w:val="both"/>
              <w:rPr>
                <w:rFonts w:ascii="Calibri" w:hAnsi="Calibri" w:cs="Calibri"/>
                <w:lang w:val="en-US"/>
              </w:rPr>
            </w:pPr>
            <w:r w:rsidRPr="006B5F38">
              <w:rPr>
                <w:rFonts w:ascii="Calibri" w:hAnsi="Calibri" w:cs="Calibri"/>
                <w:lang w:val="en-US"/>
              </w:rPr>
              <w:t>No</w:t>
            </w:r>
          </w:p>
        </w:tc>
        <w:tc>
          <w:tcPr>
            <w:tcW w:w="1385" w:type="dxa"/>
          </w:tcPr>
          <w:p w14:paraId="6657C2DF" w14:textId="77777777" w:rsidR="00C36368" w:rsidRPr="006B5F38" w:rsidRDefault="00C36368" w:rsidP="005E7856">
            <w:pPr>
              <w:jc w:val="both"/>
              <w:rPr>
                <w:rFonts w:ascii="Calibri" w:hAnsi="Calibri" w:cs="Calibri"/>
                <w:lang w:val="en-US"/>
              </w:rPr>
            </w:pPr>
            <w:r w:rsidRPr="006B5F38">
              <w:rPr>
                <w:rFonts w:ascii="Calibri" w:hAnsi="Calibri" w:cs="Calibri"/>
                <w:lang w:val="en-US"/>
              </w:rPr>
              <w:t>Yes</w:t>
            </w:r>
          </w:p>
        </w:tc>
        <w:tc>
          <w:tcPr>
            <w:tcW w:w="1384" w:type="dxa"/>
          </w:tcPr>
          <w:p w14:paraId="4FDBD720" w14:textId="77777777" w:rsidR="00C36368" w:rsidRPr="006B5F38" w:rsidRDefault="00C36368" w:rsidP="005E7856">
            <w:pPr>
              <w:jc w:val="both"/>
              <w:rPr>
                <w:rFonts w:ascii="Calibri" w:hAnsi="Calibri" w:cs="Calibri"/>
                <w:lang w:val="en-US"/>
              </w:rPr>
            </w:pPr>
            <w:r w:rsidRPr="006B5F38">
              <w:rPr>
                <w:rFonts w:ascii="Calibri" w:hAnsi="Calibri" w:cs="Calibri"/>
                <w:lang w:val="en-US"/>
              </w:rPr>
              <w:t>Yes</w:t>
            </w:r>
          </w:p>
        </w:tc>
        <w:tc>
          <w:tcPr>
            <w:tcW w:w="1494" w:type="dxa"/>
          </w:tcPr>
          <w:p w14:paraId="3FD8D8F7" w14:textId="77777777" w:rsidR="00C36368" w:rsidRPr="006B5F38" w:rsidRDefault="00C36368" w:rsidP="005E7856">
            <w:pPr>
              <w:jc w:val="both"/>
              <w:rPr>
                <w:rFonts w:ascii="Calibri" w:hAnsi="Calibri" w:cs="Calibri"/>
                <w:lang w:val="en-US"/>
              </w:rPr>
            </w:pPr>
            <w:r w:rsidRPr="006B5F38">
              <w:rPr>
                <w:rFonts w:ascii="Calibri" w:hAnsi="Calibri" w:cs="Calibri"/>
                <w:lang w:val="en-US"/>
              </w:rPr>
              <w:t>No</w:t>
            </w:r>
          </w:p>
        </w:tc>
        <w:tc>
          <w:tcPr>
            <w:tcW w:w="1276" w:type="dxa"/>
          </w:tcPr>
          <w:p w14:paraId="7D085C9C" w14:textId="77777777" w:rsidR="00C36368" w:rsidRPr="006B5F38" w:rsidRDefault="00C36368" w:rsidP="005E7856">
            <w:pPr>
              <w:jc w:val="both"/>
              <w:rPr>
                <w:rFonts w:ascii="Calibri" w:hAnsi="Calibri" w:cs="Calibri"/>
                <w:lang w:val="en-US"/>
              </w:rPr>
            </w:pPr>
            <w:r w:rsidRPr="006B5F38">
              <w:rPr>
                <w:rFonts w:ascii="Calibri" w:hAnsi="Calibri" w:cs="Calibri"/>
                <w:lang w:val="en-US"/>
              </w:rPr>
              <w:t>No</w:t>
            </w:r>
          </w:p>
        </w:tc>
      </w:tr>
      <w:tr w:rsidR="00C36368" w:rsidRPr="006B5F38" w14:paraId="3579E1A8" w14:textId="77777777" w:rsidTr="005E7856">
        <w:tc>
          <w:tcPr>
            <w:tcW w:w="3567" w:type="dxa"/>
          </w:tcPr>
          <w:p w14:paraId="5855683A" w14:textId="77777777" w:rsidR="00C36368" w:rsidRPr="006B5F38" w:rsidRDefault="00C36368" w:rsidP="005E7856">
            <w:pPr>
              <w:jc w:val="both"/>
              <w:rPr>
                <w:rFonts w:ascii="Calibri" w:hAnsi="Calibri" w:cs="Calibri"/>
                <w:lang w:val="en-US"/>
              </w:rPr>
            </w:pPr>
            <w:r w:rsidRPr="006B5F38">
              <w:rPr>
                <w:rFonts w:ascii="Calibri" w:hAnsi="Calibri" w:cs="Calibri"/>
                <w:lang w:val="en-US"/>
              </w:rPr>
              <w:t>20% of Distributions</w:t>
            </w:r>
          </w:p>
          <w:p w14:paraId="5F8C6A83" w14:textId="77777777" w:rsidR="00C36368" w:rsidRPr="006B5F38" w:rsidRDefault="00C36368" w:rsidP="005E7856">
            <w:pPr>
              <w:jc w:val="both"/>
              <w:rPr>
                <w:rFonts w:ascii="Calibri" w:hAnsi="Calibri" w:cs="Calibri"/>
                <w:lang w:val="en-US"/>
              </w:rPr>
            </w:pPr>
          </w:p>
        </w:tc>
        <w:tc>
          <w:tcPr>
            <w:tcW w:w="1384" w:type="dxa"/>
          </w:tcPr>
          <w:p w14:paraId="28DEFD95"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£968,000</w:t>
            </w:r>
          </w:p>
        </w:tc>
        <w:tc>
          <w:tcPr>
            <w:tcW w:w="1385" w:type="dxa"/>
          </w:tcPr>
          <w:p w14:paraId="0DB2F661"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£1,012,915</w:t>
            </w:r>
          </w:p>
        </w:tc>
        <w:tc>
          <w:tcPr>
            <w:tcW w:w="1384" w:type="dxa"/>
          </w:tcPr>
          <w:p w14:paraId="25A29206"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w:t>
            </w:r>
            <w:r w:rsidRPr="006B5F38">
              <w:rPr>
                <w:rFonts w:ascii="Calibri" w:hAnsi="Calibri" w:cs="Calibri"/>
                <w:color w:val="000000"/>
                <w:u w:val="single"/>
              </w:rPr>
              <w:t>4,</w:t>
            </w:r>
            <w:r w:rsidRPr="006B5F38">
              <w:rPr>
                <w:rFonts w:ascii="Calibri" w:hAnsi="Calibri" w:cs="Calibri"/>
                <w:color w:val="000000"/>
              </w:rPr>
              <w:t>665,875</w:t>
            </w:r>
          </w:p>
        </w:tc>
        <w:tc>
          <w:tcPr>
            <w:tcW w:w="1494" w:type="dxa"/>
          </w:tcPr>
          <w:p w14:paraId="68C8BF27"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£954,055</w:t>
            </w:r>
          </w:p>
        </w:tc>
        <w:tc>
          <w:tcPr>
            <w:tcW w:w="1276" w:type="dxa"/>
          </w:tcPr>
          <w:p w14:paraId="785A263D"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£888,416</w:t>
            </w:r>
          </w:p>
        </w:tc>
      </w:tr>
      <w:tr w:rsidR="00C36368" w:rsidRPr="006B5F38" w14:paraId="4744535E" w14:textId="77777777" w:rsidTr="005E7856">
        <w:tc>
          <w:tcPr>
            <w:tcW w:w="3567" w:type="dxa"/>
          </w:tcPr>
          <w:p w14:paraId="1FD2A84D" w14:textId="77777777" w:rsidR="00C36368" w:rsidRPr="006B5F38" w:rsidRDefault="00C36368" w:rsidP="005E7856">
            <w:pPr>
              <w:jc w:val="both"/>
              <w:rPr>
                <w:rFonts w:ascii="Calibri" w:hAnsi="Calibri" w:cs="Calibri"/>
                <w:vertAlign w:val="superscript"/>
                <w:lang w:val="en-US"/>
              </w:rPr>
            </w:pPr>
            <w:r w:rsidRPr="006B5F38">
              <w:rPr>
                <w:rFonts w:ascii="Calibri" w:hAnsi="Calibri" w:cs="Calibri"/>
                <w:lang w:val="en-US"/>
              </w:rPr>
              <w:t>20% of Excess Annual Return</w:t>
            </w:r>
            <w:r w:rsidRPr="006B5F38">
              <w:rPr>
                <w:rFonts w:ascii="Calibri" w:hAnsi="Calibri" w:cs="Calibri"/>
                <w:vertAlign w:val="superscript"/>
                <w:lang w:val="en-US"/>
              </w:rPr>
              <w:t>5</w:t>
            </w:r>
          </w:p>
          <w:p w14:paraId="6F8F4346" w14:textId="77777777" w:rsidR="00C36368" w:rsidRPr="006B5F38" w:rsidRDefault="00C36368" w:rsidP="005E7856">
            <w:pPr>
              <w:jc w:val="both"/>
              <w:rPr>
                <w:rFonts w:ascii="Calibri" w:hAnsi="Calibri" w:cs="Calibri"/>
                <w:lang w:val="en-US"/>
              </w:rPr>
            </w:pPr>
          </w:p>
        </w:tc>
        <w:tc>
          <w:tcPr>
            <w:tcW w:w="1384" w:type="dxa"/>
          </w:tcPr>
          <w:p w14:paraId="6614C233" w14:textId="77777777" w:rsidR="00C36368" w:rsidRPr="006B5F38" w:rsidRDefault="00C36368" w:rsidP="005E7856">
            <w:pPr>
              <w:jc w:val="both"/>
              <w:rPr>
                <w:rFonts w:ascii="Calibri" w:hAnsi="Calibri" w:cs="Calibri"/>
                <w:lang w:val="en-US"/>
              </w:rPr>
            </w:pPr>
            <w:r w:rsidRPr="006B5F38">
              <w:rPr>
                <w:rFonts w:ascii="Calibri" w:hAnsi="Calibri" w:cs="Calibri"/>
                <w:lang w:val="en-US"/>
              </w:rPr>
              <w:t>-</w:t>
            </w:r>
          </w:p>
        </w:tc>
        <w:tc>
          <w:tcPr>
            <w:tcW w:w="1385" w:type="dxa"/>
          </w:tcPr>
          <w:p w14:paraId="456AFC6A"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£573,978</w:t>
            </w:r>
          </w:p>
        </w:tc>
        <w:tc>
          <w:tcPr>
            <w:tcW w:w="1384" w:type="dxa"/>
          </w:tcPr>
          <w:p w14:paraId="346238D6"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£2,821,273</w:t>
            </w:r>
          </w:p>
        </w:tc>
        <w:tc>
          <w:tcPr>
            <w:tcW w:w="1494" w:type="dxa"/>
          </w:tcPr>
          <w:p w14:paraId="372B4AC6" w14:textId="77777777" w:rsidR="00C36368" w:rsidRPr="006B5F38" w:rsidRDefault="00C36368" w:rsidP="005E7856">
            <w:pPr>
              <w:jc w:val="both"/>
              <w:rPr>
                <w:rFonts w:ascii="Calibri" w:hAnsi="Calibri" w:cs="Calibri"/>
                <w:lang w:val="en-US"/>
              </w:rPr>
            </w:pPr>
            <w:r w:rsidRPr="006B5F38">
              <w:rPr>
                <w:rFonts w:ascii="Calibri" w:hAnsi="Calibri" w:cs="Calibri"/>
                <w:lang w:val="en-US"/>
              </w:rPr>
              <w:t>-</w:t>
            </w:r>
          </w:p>
        </w:tc>
        <w:tc>
          <w:tcPr>
            <w:tcW w:w="1276" w:type="dxa"/>
          </w:tcPr>
          <w:p w14:paraId="12E07063" w14:textId="77777777" w:rsidR="00C36368" w:rsidRPr="006B5F38" w:rsidRDefault="00C36368" w:rsidP="005E7856">
            <w:pPr>
              <w:jc w:val="both"/>
              <w:rPr>
                <w:rFonts w:ascii="Calibri" w:hAnsi="Calibri" w:cs="Calibri"/>
                <w:lang w:val="en-US"/>
              </w:rPr>
            </w:pPr>
            <w:r w:rsidRPr="006B5F38">
              <w:rPr>
                <w:rFonts w:ascii="Calibri" w:hAnsi="Calibri" w:cs="Calibri"/>
                <w:lang w:val="en-US"/>
              </w:rPr>
              <w:t>-</w:t>
            </w:r>
          </w:p>
        </w:tc>
      </w:tr>
      <w:tr w:rsidR="00C36368" w:rsidRPr="006B5F38" w14:paraId="6541D28A" w14:textId="77777777" w:rsidTr="005E7856">
        <w:tc>
          <w:tcPr>
            <w:tcW w:w="3567" w:type="dxa"/>
          </w:tcPr>
          <w:p w14:paraId="233F08FA" w14:textId="77777777" w:rsidR="00C36368" w:rsidRPr="006B5F38" w:rsidRDefault="00C36368" w:rsidP="005E7856">
            <w:pPr>
              <w:jc w:val="both"/>
              <w:rPr>
                <w:rFonts w:ascii="Calibri" w:hAnsi="Calibri" w:cs="Calibri"/>
                <w:lang w:val="en-US"/>
              </w:rPr>
            </w:pPr>
            <w:r w:rsidRPr="006B5F38">
              <w:rPr>
                <w:rFonts w:ascii="Calibri" w:hAnsi="Calibri" w:cs="Calibri"/>
                <w:lang w:val="en-US"/>
              </w:rPr>
              <w:t>Performance Fee payable</w:t>
            </w:r>
          </w:p>
          <w:p w14:paraId="444831C4" w14:textId="77777777" w:rsidR="00C36368" w:rsidRPr="006B5F38" w:rsidRDefault="00C36368" w:rsidP="005E7856">
            <w:pPr>
              <w:jc w:val="both"/>
              <w:rPr>
                <w:rFonts w:ascii="Calibri" w:hAnsi="Calibri" w:cs="Calibri"/>
                <w:lang w:val="en-US"/>
              </w:rPr>
            </w:pPr>
          </w:p>
        </w:tc>
        <w:tc>
          <w:tcPr>
            <w:tcW w:w="1384" w:type="dxa"/>
          </w:tcPr>
          <w:p w14:paraId="20AA08F7" w14:textId="77777777" w:rsidR="00C36368" w:rsidRPr="006B5F38" w:rsidRDefault="00C36368" w:rsidP="005E7856">
            <w:pPr>
              <w:jc w:val="both"/>
              <w:rPr>
                <w:rFonts w:ascii="Calibri" w:hAnsi="Calibri" w:cs="Calibri"/>
                <w:lang w:val="en-US"/>
              </w:rPr>
            </w:pPr>
            <w:r w:rsidRPr="006B5F38">
              <w:rPr>
                <w:rFonts w:ascii="Calibri" w:hAnsi="Calibri" w:cs="Calibri"/>
                <w:lang w:val="en-US"/>
              </w:rPr>
              <w:t>-</w:t>
            </w:r>
          </w:p>
        </w:tc>
        <w:tc>
          <w:tcPr>
            <w:tcW w:w="1385" w:type="dxa"/>
          </w:tcPr>
          <w:p w14:paraId="3626C0A0"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£573,978</w:t>
            </w:r>
          </w:p>
        </w:tc>
        <w:tc>
          <w:tcPr>
            <w:tcW w:w="1384" w:type="dxa"/>
          </w:tcPr>
          <w:p w14:paraId="07B88C40" w14:textId="77777777" w:rsidR="00C36368" w:rsidRPr="006B5F38" w:rsidRDefault="00C36368" w:rsidP="005E7856">
            <w:pPr>
              <w:jc w:val="both"/>
              <w:rPr>
                <w:rFonts w:ascii="Calibri" w:hAnsi="Calibri" w:cs="Calibri"/>
                <w:lang w:val="en-US"/>
              </w:rPr>
            </w:pPr>
            <w:r w:rsidRPr="006B5F38">
              <w:rPr>
                <w:rFonts w:ascii="Calibri" w:hAnsi="Calibri" w:cs="Calibri"/>
                <w:color w:val="000000"/>
              </w:rPr>
              <w:t>£</w:t>
            </w:r>
            <w:r w:rsidRPr="006B5F38">
              <w:rPr>
                <w:rFonts w:ascii="Calibri" w:hAnsi="Calibri" w:cs="Calibri"/>
                <w:strike/>
                <w:color w:val="000000"/>
              </w:rPr>
              <w:t>2</w:t>
            </w:r>
            <w:r w:rsidRPr="006B5F38">
              <w:rPr>
                <w:rFonts w:ascii="Calibri" w:hAnsi="Calibri" w:cs="Calibri"/>
                <w:color w:val="000000"/>
              </w:rPr>
              <w:t>2,821,273</w:t>
            </w:r>
          </w:p>
        </w:tc>
        <w:tc>
          <w:tcPr>
            <w:tcW w:w="1494" w:type="dxa"/>
          </w:tcPr>
          <w:p w14:paraId="4DE929B9" w14:textId="77777777" w:rsidR="00C36368" w:rsidRPr="006B5F38" w:rsidRDefault="00C36368" w:rsidP="005E7856">
            <w:pPr>
              <w:jc w:val="both"/>
              <w:rPr>
                <w:rFonts w:ascii="Calibri" w:hAnsi="Calibri" w:cs="Calibri"/>
                <w:lang w:val="en-US"/>
              </w:rPr>
            </w:pPr>
            <w:r w:rsidRPr="006B5F38">
              <w:rPr>
                <w:rFonts w:ascii="Calibri" w:hAnsi="Calibri" w:cs="Calibri"/>
                <w:lang w:val="en-US"/>
              </w:rPr>
              <w:t>-</w:t>
            </w:r>
          </w:p>
        </w:tc>
        <w:tc>
          <w:tcPr>
            <w:tcW w:w="1276" w:type="dxa"/>
          </w:tcPr>
          <w:p w14:paraId="04F27A13" w14:textId="77777777" w:rsidR="00C36368" w:rsidRPr="006B5F38" w:rsidRDefault="00C36368" w:rsidP="005E7856">
            <w:pPr>
              <w:jc w:val="both"/>
              <w:rPr>
                <w:rFonts w:ascii="Calibri" w:hAnsi="Calibri" w:cs="Calibri"/>
                <w:lang w:val="en-US"/>
              </w:rPr>
            </w:pPr>
            <w:r w:rsidRPr="006B5F38">
              <w:rPr>
                <w:rFonts w:ascii="Calibri" w:hAnsi="Calibri" w:cs="Calibri"/>
                <w:lang w:val="en-US"/>
              </w:rPr>
              <w:t>-</w:t>
            </w:r>
          </w:p>
        </w:tc>
      </w:tr>
    </w:tbl>
    <w:p w14:paraId="2936D558" w14:textId="77777777" w:rsidR="00C36368" w:rsidRPr="006B5F38" w:rsidRDefault="00C36368" w:rsidP="00C36368">
      <w:pPr>
        <w:jc w:val="both"/>
        <w:rPr>
          <w:rFonts w:ascii="Calibri" w:hAnsi="Calibri" w:cs="Calibri"/>
          <w:sz w:val="18"/>
          <w:lang w:val="en-US"/>
        </w:rPr>
      </w:pPr>
      <w:r w:rsidRPr="006B5F38">
        <w:rPr>
          <w:rFonts w:ascii="Calibri" w:hAnsi="Calibri" w:cs="Calibri"/>
          <w:sz w:val="20"/>
          <w:vertAlign w:val="superscript"/>
          <w:lang w:val="en-US"/>
        </w:rPr>
        <w:lastRenderedPageBreak/>
        <w:br/>
      </w:r>
      <w:r w:rsidRPr="006B5F38">
        <w:rPr>
          <w:rFonts w:ascii="Calibri" w:hAnsi="Calibri" w:cs="Calibri"/>
          <w:sz w:val="18"/>
          <w:vertAlign w:val="superscript"/>
          <w:lang w:val="en-US"/>
        </w:rPr>
        <w:t xml:space="preserve">1 </w:t>
      </w:r>
      <w:r w:rsidRPr="006B5F38">
        <w:rPr>
          <w:rFonts w:ascii="Calibri" w:hAnsi="Calibri" w:cs="Calibri"/>
          <w:sz w:val="18"/>
          <w:lang w:val="en-US"/>
        </w:rPr>
        <w:t>Total Return is calculated by adding dividends paid in the year to the NAV and any performance incentive fees paid. The illustrative figures in the above example been chosen to show a range of performance throughout the five years.</w:t>
      </w:r>
    </w:p>
    <w:p w14:paraId="37A3694F" w14:textId="77777777" w:rsidR="00C36368" w:rsidRPr="006B5F38" w:rsidRDefault="00C36368" w:rsidP="00C36368">
      <w:pPr>
        <w:jc w:val="both"/>
        <w:rPr>
          <w:rFonts w:ascii="Calibri" w:hAnsi="Calibri" w:cs="Calibri"/>
          <w:sz w:val="18"/>
          <w:szCs w:val="18"/>
          <w:lang w:val="en-US"/>
        </w:rPr>
      </w:pPr>
    </w:p>
    <w:p w14:paraId="130BDB76" w14:textId="77777777" w:rsidR="00C36368" w:rsidRPr="006B5F38" w:rsidRDefault="00C36368" w:rsidP="00C36368">
      <w:pPr>
        <w:jc w:val="both"/>
        <w:rPr>
          <w:rFonts w:ascii="Calibri" w:hAnsi="Calibri" w:cs="Calibri"/>
          <w:sz w:val="18"/>
          <w:lang w:val="en-US"/>
        </w:rPr>
      </w:pPr>
      <w:r w:rsidRPr="006B5F38">
        <w:rPr>
          <w:rFonts w:ascii="Calibri" w:hAnsi="Calibri" w:cs="Calibri"/>
          <w:sz w:val="18"/>
          <w:vertAlign w:val="superscript"/>
          <w:lang w:val="en-US"/>
        </w:rPr>
        <w:t xml:space="preserve">2 </w:t>
      </w:r>
      <w:r w:rsidRPr="006B5F38">
        <w:rPr>
          <w:rFonts w:ascii="Calibri" w:hAnsi="Calibri" w:cs="Calibri"/>
          <w:sz w:val="18"/>
          <w:lang w:val="en-US"/>
        </w:rPr>
        <w:t>The illustrative Total Return in cash terms shows increases / decreases in the Total Return from a starting 'Company as a whole' NAV of £121 million following the Merger.</w:t>
      </w:r>
    </w:p>
    <w:p w14:paraId="48EEF696" w14:textId="77777777" w:rsidR="00C36368" w:rsidRPr="006B5F38" w:rsidRDefault="00C36368" w:rsidP="00C36368">
      <w:pPr>
        <w:jc w:val="both"/>
        <w:rPr>
          <w:rFonts w:ascii="Calibri" w:hAnsi="Calibri" w:cs="Calibri"/>
          <w:sz w:val="18"/>
          <w:szCs w:val="18"/>
          <w:vertAlign w:val="superscript"/>
          <w:lang w:val="en-US"/>
        </w:rPr>
      </w:pPr>
    </w:p>
    <w:p w14:paraId="1276C597" w14:textId="77777777" w:rsidR="00C36368" w:rsidRPr="006B5F38" w:rsidRDefault="00C36368" w:rsidP="00C36368">
      <w:pPr>
        <w:jc w:val="both"/>
        <w:rPr>
          <w:rFonts w:ascii="Calibri" w:hAnsi="Calibri" w:cs="Calibri"/>
          <w:sz w:val="18"/>
          <w:lang w:val="en-US"/>
        </w:rPr>
      </w:pPr>
      <w:r w:rsidRPr="006B5F38">
        <w:rPr>
          <w:rFonts w:ascii="Calibri" w:hAnsi="Calibri" w:cs="Calibri"/>
          <w:sz w:val="18"/>
          <w:szCs w:val="18"/>
          <w:vertAlign w:val="superscript"/>
          <w:lang w:val="en-US"/>
        </w:rPr>
        <w:t>3</w:t>
      </w:r>
      <w:r w:rsidRPr="006B5F38">
        <w:rPr>
          <w:rFonts w:ascii="Calibri" w:hAnsi="Calibri" w:cs="Calibri"/>
          <w:sz w:val="18"/>
          <w:szCs w:val="18"/>
          <w:lang w:val="en-US"/>
        </w:rPr>
        <w:t>The</w:t>
      </w:r>
      <w:r w:rsidRPr="006B5F38">
        <w:rPr>
          <w:rFonts w:ascii="Calibri" w:hAnsi="Calibri" w:cs="Calibri"/>
          <w:sz w:val="18"/>
          <w:lang w:val="en-US"/>
        </w:rPr>
        <w:t xml:space="preserve"> Hurdle is the higher of (</w:t>
      </w:r>
      <w:proofErr w:type="spellStart"/>
      <w:r w:rsidRPr="006B5F38">
        <w:rPr>
          <w:rFonts w:ascii="Calibri" w:hAnsi="Calibri" w:cs="Calibri"/>
          <w:sz w:val="18"/>
          <w:lang w:val="en-US"/>
        </w:rPr>
        <w:t>i</w:t>
      </w:r>
      <w:proofErr w:type="spellEnd"/>
      <w:r w:rsidRPr="006B5F38">
        <w:rPr>
          <w:rFonts w:ascii="Calibri" w:hAnsi="Calibri" w:cs="Calibri"/>
          <w:sz w:val="18"/>
          <w:lang w:val="en-US"/>
        </w:rPr>
        <w:t>) a NAV total return 110p per Share, increased each year in accordance with the base rate and (ii) the highest previous Total Return per Share.</w:t>
      </w:r>
    </w:p>
    <w:p w14:paraId="7186F750" w14:textId="77777777" w:rsidR="00C36368" w:rsidRPr="006B5F38" w:rsidRDefault="00C36368" w:rsidP="00C36368">
      <w:pPr>
        <w:jc w:val="both"/>
        <w:rPr>
          <w:rFonts w:ascii="Calibri" w:hAnsi="Calibri" w:cs="Calibri"/>
          <w:sz w:val="18"/>
          <w:szCs w:val="18"/>
          <w:vertAlign w:val="superscript"/>
          <w:lang w:val="en-US"/>
        </w:rPr>
      </w:pPr>
    </w:p>
    <w:p w14:paraId="61CAA083" w14:textId="77777777" w:rsidR="00C36368" w:rsidRPr="006B5F38" w:rsidRDefault="00C36368" w:rsidP="00C36368">
      <w:pPr>
        <w:jc w:val="both"/>
        <w:rPr>
          <w:rFonts w:ascii="Calibri" w:hAnsi="Calibri" w:cs="Calibri"/>
          <w:sz w:val="18"/>
          <w:szCs w:val="18"/>
          <w:lang w:val="en-US"/>
        </w:rPr>
      </w:pPr>
      <w:r w:rsidRPr="006B5F38">
        <w:rPr>
          <w:rFonts w:ascii="Calibri" w:hAnsi="Calibri" w:cs="Calibri"/>
          <w:sz w:val="18"/>
          <w:szCs w:val="18"/>
          <w:vertAlign w:val="superscript"/>
          <w:lang w:val="en-US"/>
        </w:rPr>
        <w:t>4</w:t>
      </w:r>
      <w:r w:rsidRPr="006B5F38">
        <w:rPr>
          <w:rFonts w:ascii="Calibri" w:hAnsi="Calibri" w:cs="Calibri"/>
          <w:sz w:val="18"/>
          <w:lang w:val="en-US"/>
        </w:rPr>
        <w:t xml:space="preserve"> The Hurdle in Years 4 and 5 is higher due to the 'high water mark' following the outperformance in Year 3 in respect of which a performance fee has already been paid.</w:t>
      </w:r>
      <w:r w:rsidRPr="006B5F38">
        <w:rPr>
          <w:rFonts w:ascii="Calibri" w:hAnsi="Calibri" w:cs="Calibri"/>
          <w:sz w:val="18"/>
          <w:szCs w:val="18"/>
          <w:lang w:val="en-US"/>
        </w:rPr>
        <w:t xml:space="preserve"> </w:t>
      </w:r>
    </w:p>
    <w:p w14:paraId="357CA35F" w14:textId="77777777" w:rsidR="00C36368" w:rsidRPr="006B5F38" w:rsidRDefault="00C36368" w:rsidP="00C36368">
      <w:pPr>
        <w:jc w:val="both"/>
        <w:rPr>
          <w:rFonts w:ascii="Calibri" w:hAnsi="Calibri" w:cs="Calibri"/>
          <w:sz w:val="18"/>
          <w:szCs w:val="18"/>
          <w:vertAlign w:val="superscript"/>
          <w:lang w:val="en-US"/>
        </w:rPr>
      </w:pPr>
    </w:p>
    <w:p w14:paraId="1A989CD1" w14:textId="1F1DF145" w:rsidR="00C36368" w:rsidRPr="000C7C16" w:rsidRDefault="00C36368" w:rsidP="00C36368">
      <w:pPr>
        <w:jc w:val="both"/>
        <w:rPr>
          <w:rFonts w:ascii="Calibri" w:hAnsi="Calibri"/>
          <w:sz w:val="22"/>
        </w:rPr>
      </w:pPr>
      <w:r w:rsidRPr="006B5F38">
        <w:rPr>
          <w:rFonts w:ascii="Calibri" w:hAnsi="Calibri" w:cs="Calibri"/>
          <w:sz w:val="18"/>
          <w:szCs w:val="18"/>
          <w:vertAlign w:val="superscript"/>
          <w:lang w:val="en-US"/>
        </w:rPr>
        <w:t xml:space="preserve">5 </w:t>
      </w:r>
      <w:r w:rsidRPr="006B5F38">
        <w:rPr>
          <w:rFonts w:ascii="Calibri" w:hAnsi="Calibri" w:cs="Calibri"/>
          <w:sz w:val="18"/>
          <w:szCs w:val="18"/>
          <w:lang w:val="en-US"/>
        </w:rPr>
        <w:t>The Excess Annual Return is the increase in the Total Return per Ordinary Share which is higher than the Hurdle.</w:t>
      </w:r>
    </w:p>
    <w:p w14:paraId="74C5235A" w14:textId="77777777" w:rsidR="00C36368" w:rsidRDefault="00C36368" w:rsidP="009A7A80">
      <w:pPr>
        <w:jc w:val="both"/>
        <w:rPr>
          <w:rFonts w:ascii="Calibri" w:hAnsi="Calibri" w:cs="Calibri"/>
          <w:sz w:val="22"/>
          <w:szCs w:val="22"/>
        </w:rPr>
      </w:pPr>
    </w:p>
    <w:p w14:paraId="51472187" w14:textId="4FFD649E" w:rsidR="008F2FFB" w:rsidRDefault="008F2FFB" w:rsidP="009A7A80">
      <w:pPr>
        <w:jc w:val="both"/>
        <w:rPr>
          <w:rFonts w:ascii="Calibri" w:hAnsi="Calibri" w:cs="Calibri"/>
          <w:sz w:val="22"/>
          <w:szCs w:val="22"/>
        </w:rPr>
      </w:pPr>
    </w:p>
    <w:p w14:paraId="1CB1428F" w14:textId="262BBB04" w:rsidR="003D156B" w:rsidRDefault="003D156B" w:rsidP="00734047">
      <w:pPr>
        <w:pStyle w:val="ListParagraph"/>
        <w:numPr>
          <w:ilvl w:val="0"/>
          <w:numId w:val="1"/>
        </w:numPr>
        <w:ind w:left="357" w:hanging="357"/>
        <w:jc w:val="both"/>
        <w:rPr>
          <w:rFonts w:ascii="Calibri" w:hAnsi="Calibri" w:cs="Calibri"/>
          <w:b/>
          <w:bCs/>
          <w:sz w:val="22"/>
          <w:szCs w:val="22"/>
        </w:rPr>
      </w:pPr>
      <w:r>
        <w:rPr>
          <w:rFonts w:ascii="Calibri" w:hAnsi="Calibri" w:cs="Calibri"/>
          <w:b/>
          <w:bCs/>
          <w:sz w:val="22"/>
          <w:szCs w:val="22"/>
        </w:rPr>
        <w:t>No further significant new matters</w:t>
      </w:r>
    </w:p>
    <w:p w14:paraId="55DE59E3" w14:textId="77777777" w:rsidR="00DE5509" w:rsidRDefault="00DE5509" w:rsidP="00DE5509">
      <w:pPr>
        <w:jc w:val="both"/>
        <w:rPr>
          <w:rFonts w:ascii="Calibri" w:hAnsi="Calibri" w:cs="Calibri"/>
          <w:b/>
          <w:bCs/>
          <w:sz w:val="22"/>
          <w:szCs w:val="22"/>
        </w:rPr>
      </w:pPr>
    </w:p>
    <w:p w14:paraId="4981549C" w14:textId="1453F553" w:rsidR="00DE5509" w:rsidRPr="00DE5509" w:rsidRDefault="00DE5509" w:rsidP="00DB5C6A">
      <w:pPr>
        <w:ind w:left="357"/>
        <w:jc w:val="both"/>
        <w:rPr>
          <w:rFonts w:ascii="Calibri" w:hAnsi="Calibri" w:cs="Calibri"/>
          <w:sz w:val="22"/>
          <w:szCs w:val="22"/>
        </w:rPr>
      </w:pPr>
      <w:r>
        <w:rPr>
          <w:rFonts w:ascii="Calibri" w:hAnsi="Calibri" w:cs="Calibri"/>
          <w:sz w:val="22"/>
          <w:szCs w:val="22"/>
        </w:rPr>
        <w:t>Save as disclosed in this document, there has been no significant new matter relating to the Company since the publication of the Prospectus.</w:t>
      </w:r>
    </w:p>
    <w:p w14:paraId="2BDCA46D" w14:textId="77777777" w:rsidR="003D156B" w:rsidRDefault="003D156B" w:rsidP="009A7A80">
      <w:pPr>
        <w:jc w:val="both"/>
        <w:rPr>
          <w:rFonts w:ascii="Calibri" w:hAnsi="Calibri" w:cs="Calibri"/>
          <w:sz w:val="22"/>
          <w:szCs w:val="22"/>
        </w:rPr>
      </w:pPr>
    </w:p>
    <w:p w14:paraId="392F15E1" w14:textId="77777777" w:rsidR="001B790C" w:rsidRPr="006B5F38" w:rsidRDefault="001B790C" w:rsidP="000C7C16">
      <w:pPr>
        <w:jc w:val="both"/>
        <w:rPr>
          <w:rFonts w:ascii="Calibri" w:hAnsi="Calibri" w:cs="Calibri"/>
          <w:sz w:val="22"/>
          <w:szCs w:val="22"/>
        </w:rPr>
      </w:pPr>
    </w:p>
    <w:p w14:paraId="66B3813B" w14:textId="77777777" w:rsidR="00F272BD" w:rsidRPr="006B5F38" w:rsidRDefault="00F272BD" w:rsidP="001B790C">
      <w:pPr>
        <w:jc w:val="both"/>
        <w:rPr>
          <w:rFonts w:ascii="Calibri" w:hAnsi="Calibri" w:cs="Calibri"/>
          <w:b/>
          <w:bCs/>
          <w:sz w:val="22"/>
          <w:szCs w:val="22"/>
        </w:rPr>
      </w:pPr>
      <w:r w:rsidRPr="006B5F38">
        <w:rPr>
          <w:rFonts w:ascii="Calibri" w:hAnsi="Calibri" w:cs="Calibri"/>
          <w:b/>
          <w:bCs/>
          <w:sz w:val="22"/>
          <w:szCs w:val="22"/>
        </w:rPr>
        <w:t>GENERAL INFORMATION</w:t>
      </w:r>
    </w:p>
    <w:p w14:paraId="1396D7A8" w14:textId="77777777" w:rsidR="00F272BD" w:rsidRPr="006B5F38" w:rsidRDefault="00F272BD" w:rsidP="001B790C">
      <w:pPr>
        <w:jc w:val="both"/>
        <w:rPr>
          <w:rFonts w:ascii="Calibri" w:hAnsi="Calibri" w:cs="Calibri"/>
          <w:sz w:val="22"/>
          <w:szCs w:val="22"/>
        </w:rPr>
      </w:pPr>
    </w:p>
    <w:p w14:paraId="11410FC1" w14:textId="367CC065" w:rsidR="001B790C" w:rsidRPr="006B5F38" w:rsidRDefault="00F272BD" w:rsidP="001B790C">
      <w:pPr>
        <w:jc w:val="both"/>
        <w:rPr>
          <w:rFonts w:ascii="Calibri" w:hAnsi="Calibri" w:cs="Calibri"/>
          <w:sz w:val="22"/>
          <w:szCs w:val="22"/>
        </w:rPr>
      </w:pPr>
      <w:r w:rsidRPr="006B5F38">
        <w:rPr>
          <w:rFonts w:ascii="Calibri" w:hAnsi="Calibri" w:cs="Calibri"/>
          <w:sz w:val="22"/>
          <w:szCs w:val="22"/>
        </w:rPr>
        <w:t xml:space="preserve">The Company will provide, without charge, to each person to whom a copy of this Supplement has been delivered, upon the written request of such person, a copy of any or all of the documents which are incorporated in whole or in part by reference herein or in the Prospectus. </w:t>
      </w:r>
      <w:r w:rsidR="001B790C" w:rsidRPr="006B5F38">
        <w:rPr>
          <w:rFonts w:ascii="Calibri" w:hAnsi="Calibri" w:cs="Calibri"/>
          <w:sz w:val="22"/>
          <w:szCs w:val="22"/>
        </w:rPr>
        <w:t>R</w:t>
      </w:r>
      <w:r w:rsidRPr="006B5F38">
        <w:rPr>
          <w:rFonts w:ascii="Calibri" w:hAnsi="Calibri" w:cs="Calibri"/>
          <w:sz w:val="22"/>
          <w:szCs w:val="22"/>
        </w:rPr>
        <w:t xml:space="preserve">equests for such documents should be directed to the Company at its principal office at </w:t>
      </w:r>
      <w:r w:rsidR="001B790C" w:rsidRPr="006B5F38">
        <w:rPr>
          <w:rFonts w:ascii="Calibri" w:hAnsi="Calibri" w:cs="Calibri"/>
          <w:sz w:val="22"/>
          <w:szCs w:val="22"/>
        </w:rPr>
        <w:t xml:space="preserve">c/o Foresight Group LLP, </w:t>
      </w:r>
      <w:r w:rsidRPr="006B5F38">
        <w:rPr>
          <w:rFonts w:ascii="Calibri" w:hAnsi="Calibri" w:cs="Calibri"/>
          <w:sz w:val="22"/>
          <w:szCs w:val="22"/>
        </w:rPr>
        <w:t xml:space="preserve">The Shard, 32 London Bridge Street, London SE1 9SG.  </w:t>
      </w:r>
      <w:r w:rsidR="00230C29" w:rsidRPr="006B5F38">
        <w:rPr>
          <w:rFonts w:ascii="Calibri" w:hAnsi="Calibri" w:cs="Calibri"/>
          <w:sz w:val="22"/>
          <w:szCs w:val="22"/>
        </w:rPr>
        <w:t>This</w:t>
      </w:r>
      <w:r w:rsidRPr="006B5F38">
        <w:rPr>
          <w:rFonts w:ascii="Calibri" w:hAnsi="Calibri" w:cs="Calibri"/>
          <w:sz w:val="22"/>
          <w:szCs w:val="22"/>
        </w:rPr>
        <w:t xml:space="preserve"> Supplement can also be viewed on the website of the Company at</w:t>
      </w:r>
      <w:r w:rsidR="00230C29" w:rsidRPr="006B5F38">
        <w:rPr>
          <w:rFonts w:ascii="Calibri" w:hAnsi="Calibri" w:cs="Calibri"/>
          <w:sz w:val="22"/>
          <w:szCs w:val="22"/>
        </w:rPr>
        <w:t xml:space="preserve"> </w:t>
      </w:r>
      <w:hyperlink r:id="rId9" w:history="1">
        <w:r w:rsidR="00776DC7">
          <w:rPr>
            <w:rStyle w:val="Hyperlink"/>
            <w:rFonts w:ascii="Calibri" w:hAnsi="Calibri" w:cs="Calibri"/>
            <w:sz w:val="22"/>
            <w:szCs w:val="22"/>
          </w:rPr>
          <w:t>https://www.foresight.group/products/foresight-ventures-vct-plc</w:t>
        </w:r>
      </w:hyperlink>
      <w:r w:rsidRPr="006B5F38">
        <w:rPr>
          <w:rFonts w:ascii="Calibri" w:hAnsi="Calibri" w:cs="Calibri"/>
          <w:sz w:val="22"/>
          <w:szCs w:val="22"/>
        </w:rPr>
        <w:t xml:space="preserve">. </w:t>
      </w:r>
    </w:p>
    <w:p w14:paraId="2C2A8608" w14:textId="77777777" w:rsidR="001B790C" w:rsidRPr="006B5F38" w:rsidRDefault="001B790C" w:rsidP="001B790C">
      <w:pPr>
        <w:jc w:val="both"/>
        <w:rPr>
          <w:rFonts w:ascii="Calibri" w:hAnsi="Calibri" w:cs="Calibri"/>
          <w:sz w:val="22"/>
          <w:szCs w:val="22"/>
        </w:rPr>
      </w:pPr>
    </w:p>
    <w:p w14:paraId="623B286E" w14:textId="7B489FE1" w:rsidR="00F272BD" w:rsidRPr="006B5F38" w:rsidRDefault="00F272BD" w:rsidP="001B790C">
      <w:pPr>
        <w:jc w:val="both"/>
        <w:rPr>
          <w:rFonts w:ascii="Calibri" w:hAnsi="Calibri" w:cs="Calibri"/>
          <w:sz w:val="22"/>
          <w:szCs w:val="22"/>
        </w:rPr>
      </w:pPr>
      <w:r w:rsidRPr="006B5F38">
        <w:rPr>
          <w:rFonts w:ascii="Calibri" w:hAnsi="Calibri" w:cs="Calibri"/>
          <w:sz w:val="22"/>
          <w:szCs w:val="22"/>
        </w:rPr>
        <w:t>To the extent that there is any inconsistency between (a) any statement in this Supplement or any statement incorporated by reference into the Prospectus by this Supplement and (b) any other statement in or incorporated by reference into the Prospectus, the statements in (a) above will prevail.  Save as disclosed in this Supplement, no other significant new factor, material mistake or material inaccuracy relating to information included in the Prospectus has arisen or been noted, as the case may be, since the publication of the Prospectus.</w:t>
      </w:r>
    </w:p>
    <w:p w14:paraId="5B8BED7A" w14:textId="77777777" w:rsidR="001B790C" w:rsidRPr="006B5F38" w:rsidRDefault="001B790C" w:rsidP="001B790C">
      <w:pPr>
        <w:jc w:val="both"/>
        <w:rPr>
          <w:rFonts w:ascii="Calibri" w:hAnsi="Calibri" w:cs="Calibri"/>
          <w:sz w:val="22"/>
          <w:szCs w:val="22"/>
        </w:rPr>
      </w:pPr>
    </w:p>
    <w:p w14:paraId="18BFA8FD" w14:textId="77777777" w:rsidR="001B790C" w:rsidRDefault="001B790C" w:rsidP="001B790C">
      <w:pPr>
        <w:jc w:val="both"/>
        <w:rPr>
          <w:rFonts w:ascii="Calibri" w:hAnsi="Calibri" w:cs="Calibri"/>
          <w:sz w:val="22"/>
          <w:szCs w:val="22"/>
        </w:rPr>
      </w:pPr>
    </w:p>
    <w:p w14:paraId="52219F9E" w14:textId="6AEDA35A" w:rsidR="008F2FFB" w:rsidRPr="006B5F38" w:rsidRDefault="008F2FFB" w:rsidP="001B790C">
      <w:pPr>
        <w:jc w:val="both"/>
        <w:rPr>
          <w:rFonts w:ascii="Calibri" w:hAnsi="Calibri" w:cs="Calibri"/>
          <w:sz w:val="22"/>
          <w:szCs w:val="22"/>
        </w:rPr>
      </w:pPr>
    </w:p>
    <w:p w14:paraId="46BCA836" w14:textId="629F933D" w:rsidR="001B790C" w:rsidRPr="006B5F38" w:rsidRDefault="00B569D9" w:rsidP="001B790C">
      <w:pPr>
        <w:jc w:val="both"/>
        <w:rPr>
          <w:rFonts w:ascii="Calibri" w:hAnsi="Calibri" w:cs="Calibri"/>
          <w:b/>
          <w:bCs/>
          <w:sz w:val="22"/>
          <w:szCs w:val="22"/>
        </w:rPr>
      </w:pPr>
      <w:r>
        <w:rPr>
          <w:rFonts w:ascii="Calibri" w:hAnsi="Calibri" w:cs="Calibri"/>
          <w:b/>
          <w:bCs/>
          <w:sz w:val="22"/>
          <w:szCs w:val="22"/>
        </w:rPr>
        <w:t>1</w:t>
      </w:r>
      <w:r w:rsidR="00EB1ED6">
        <w:rPr>
          <w:rFonts w:ascii="Calibri" w:hAnsi="Calibri" w:cs="Calibri"/>
          <w:b/>
          <w:bCs/>
          <w:sz w:val="22"/>
          <w:szCs w:val="22"/>
        </w:rPr>
        <w:t>9</w:t>
      </w:r>
      <w:bookmarkStart w:id="0" w:name="_GoBack"/>
      <w:bookmarkEnd w:id="0"/>
      <w:r>
        <w:rPr>
          <w:rFonts w:ascii="Calibri" w:hAnsi="Calibri" w:cs="Calibri"/>
          <w:b/>
          <w:bCs/>
          <w:sz w:val="22"/>
          <w:szCs w:val="22"/>
        </w:rPr>
        <w:t xml:space="preserve"> </w:t>
      </w:r>
      <w:r w:rsidR="008F2FFB">
        <w:rPr>
          <w:rFonts w:ascii="Calibri" w:hAnsi="Calibri" w:cs="Calibri"/>
          <w:b/>
          <w:bCs/>
          <w:sz w:val="22"/>
          <w:szCs w:val="22"/>
        </w:rPr>
        <w:t>DECEMBER</w:t>
      </w:r>
      <w:r w:rsidR="001B790C" w:rsidRPr="006B5F38">
        <w:rPr>
          <w:rFonts w:ascii="Calibri" w:hAnsi="Calibri" w:cs="Calibri"/>
          <w:b/>
          <w:bCs/>
          <w:sz w:val="22"/>
          <w:szCs w:val="22"/>
        </w:rPr>
        <w:t xml:space="preserve"> 2024</w:t>
      </w:r>
    </w:p>
    <w:sectPr w:rsidR="001B790C" w:rsidRPr="006B5F38" w:rsidSect="000C7C16">
      <w:headerReference w:type="even" r:id="rId10"/>
      <w:headerReference w:type="default" r:id="rId11"/>
      <w:footerReference w:type="even" r:id="rId12"/>
      <w:footerReference w:type="default" r:id="rId13"/>
      <w:headerReference w:type="first" r:id="rId14"/>
      <w:footerReference w:type="first" r:id="rId15"/>
      <w:pgSz w:w="11900" w:h="16840"/>
      <w:pgMar w:top="99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13307" w14:textId="77777777" w:rsidR="0093504C" w:rsidRDefault="0093504C" w:rsidP="001B790C">
      <w:r>
        <w:separator/>
      </w:r>
    </w:p>
  </w:endnote>
  <w:endnote w:type="continuationSeparator" w:id="0">
    <w:p w14:paraId="401213F4" w14:textId="77777777" w:rsidR="0093504C" w:rsidRDefault="0093504C" w:rsidP="001B790C">
      <w:r>
        <w:continuationSeparator/>
      </w:r>
    </w:p>
  </w:endnote>
  <w:endnote w:type="continuationNotice" w:id="1">
    <w:p w14:paraId="24713415" w14:textId="77777777" w:rsidR="0093504C" w:rsidRDefault="00935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3371562"/>
      <w:docPartObj>
        <w:docPartGallery w:val="Page Numbers (Bottom of Page)"/>
        <w:docPartUnique/>
      </w:docPartObj>
    </w:sdtPr>
    <w:sdtEndPr>
      <w:rPr>
        <w:rStyle w:val="PageNumber"/>
      </w:rPr>
    </w:sdtEndPr>
    <w:sdtContent>
      <w:p w14:paraId="6F7C572B" w14:textId="122E48C8" w:rsidR="001B790C" w:rsidRDefault="001B790C" w:rsidP="006945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0C433E" w14:textId="77777777" w:rsidR="001B790C" w:rsidRDefault="001B7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912741"/>
      <w:docPartObj>
        <w:docPartGallery w:val="Page Numbers (Bottom of Page)"/>
        <w:docPartUnique/>
      </w:docPartObj>
    </w:sdtPr>
    <w:sdtEndPr>
      <w:rPr>
        <w:rStyle w:val="PageNumber"/>
      </w:rPr>
    </w:sdtEndPr>
    <w:sdtContent>
      <w:p w14:paraId="72148764" w14:textId="0E2019BC" w:rsidR="001B790C" w:rsidRDefault="001B790C" w:rsidP="0069454D">
        <w:pPr>
          <w:pStyle w:val="Footer"/>
          <w:framePr w:wrap="none" w:vAnchor="text" w:hAnchor="margin" w:xAlign="center" w:y="1"/>
          <w:rPr>
            <w:rStyle w:val="PageNumber"/>
          </w:rPr>
        </w:pPr>
        <w:r w:rsidRPr="001B790C">
          <w:rPr>
            <w:rStyle w:val="PageNumber"/>
            <w:rFonts w:ascii="Calibri" w:hAnsi="Calibri" w:cs="Calibri"/>
            <w:sz w:val="18"/>
            <w:szCs w:val="18"/>
          </w:rPr>
          <w:fldChar w:fldCharType="begin"/>
        </w:r>
        <w:r w:rsidRPr="001B790C">
          <w:rPr>
            <w:rStyle w:val="PageNumber"/>
            <w:rFonts w:ascii="Calibri" w:hAnsi="Calibri" w:cs="Calibri"/>
            <w:sz w:val="18"/>
            <w:szCs w:val="18"/>
          </w:rPr>
          <w:instrText xml:space="preserve"> PAGE </w:instrText>
        </w:r>
        <w:r w:rsidRPr="001B790C">
          <w:rPr>
            <w:rStyle w:val="PageNumber"/>
            <w:rFonts w:ascii="Calibri" w:hAnsi="Calibri" w:cs="Calibri"/>
            <w:sz w:val="18"/>
            <w:szCs w:val="18"/>
          </w:rPr>
          <w:fldChar w:fldCharType="separate"/>
        </w:r>
        <w:r w:rsidRPr="001B790C">
          <w:rPr>
            <w:rStyle w:val="PageNumber"/>
            <w:rFonts w:ascii="Calibri" w:hAnsi="Calibri" w:cs="Calibri"/>
            <w:noProof/>
            <w:sz w:val="18"/>
            <w:szCs w:val="18"/>
          </w:rPr>
          <w:t>1</w:t>
        </w:r>
        <w:r w:rsidRPr="001B790C">
          <w:rPr>
            <w:rStyle w:val="PageNumber"/>
            <w:rFonts w:ascii="Calibri" w:hAnsi="Calibri" w:cs="Calibri"/>
            <w:sz w:val="18"/>
            <w:szCs w:val="18"/>
          </w:rPr>
          <w:fldChar w:fldCharType="end"/>
        </w:r>
      </w:p>
    </w:sdtContent>
  </w:sdt>
  <w:p w14:paraId="65AB276E" w14:textId="77777777" w:rsidR="001B790C" w:rsidRDefault="001B7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D70E1" w14:textId="77777777" w:rsidR="00DD791C" w:rsidRDefault="00DD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C1560" w14:textId="77777777" w:rsidR="0093504C" w:rsidRDefault="0093504C" w:rsidP="001B790C">
      <w:r>
        <w:separator/>
      </w:r>
    </w:p>
  </w:footnote>
  <w:footnote w:type="continuationSeparator" w:id="0">
    <w:p w14:paraId="4AFE1730" w14:textId="77777777" w:rsidR="0093504C" w:rsidRDefault="0093504C" w:rsidP="001B790C">
      <w:r>
        <w:continuationSeparator/>
      </w:r>
    </w:p>
  </w:footnote>
  <w:footnote w:type="continuationNotice" w:id="1">
    <w:p w14:paraId="0E42AF09" w14:textId="77777777" w:rsidR="0093504C" w:rsidRDefault="00935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966E3" w14:textId="77777777" w:rsidR="00DD791C" w:rsidRDefault="00DD7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138FC" w14:textId="77777777" w:rsidR="0041754F" w:rsidRDefault="004175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6DE6" w14:textId="77777777" w:rsidR="00DD791C" w:rsidRDefault="00DD7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168"/>
    <w:multiLevelType w:val="hybridMultilevel"/>
    <w:tmpl w:val="799A8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7C1774"/>
    <w:multiLevelType w:val="multilevel"/>
    <w:tmpl w:val="799A8C5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80"/>
    <w:rsid w:val="0000347E"/>
    <w:rsid w:val="00032017"/>
    <w:rsid w:val="000364CE"/>
    <w:rsid w:val="00047804"/>
    <w:rsid w:val="000C7C16"/>
    <w:rsid w:val="000E6753"/>
    <w:rsid w:val="000F7359"/>
    <w:rsid w:val="001014B6"/>
    <w:rsid w:val="00107422"/>
    <w:rsid w:val="001606C0"/>
    <w:rsid w:val="001831BB"/>
    <w:rsid w:val="001A1EC0"/>
    <w:rsid w:val="001B790C"/>
    <w:rsid w:val="001C4747"/>
    <w:rsid w:val="001C6E9A"/>
    <w:rsid w:val="002303E7"/>
    <w:rsid w:val="00230C29"/>
    <w:rsid w:val="00234BCB"/>
    <w:rsid w:val="0024594B"/>
    <w:rsid w:val="00270290"/>
    <w:rsid w:val="002717D7"/>
    <w:rsid w:val="00295203"/>
    <w:rsid w:val="002E4640"/>
    <w:rsid w:val="003243C7"/>
    <w:rsid w:val="00366B17"/>
    <w:rsid w:val="00387B2E"/>
    <w:rsid w:val="003C280C"/>
    <w:rsid w:val="003D156B"/>
    <w:rsid w:val="0041754F"/>
    <w:rsid w:val="00421013"/>
    <w:rsid w:val="00493CA2"/>
    <w:rsid w:val="004B322A"/>
    <w:rsid w:val="005236F6"/>
    <w:rsid w:val="0056106B"/>
    <w:rsid w:val="005E381B"/>
    <w:rsid w:val="00603E6F"/>
    <w:rsid w:val="00613E7A"/>
    <w:rsid w:val="00622ED2"/>
    <w:rsid w:val="00652D0C"/>
    <w:rsid w:val="006B4C0B"/>
    <w:rsid w:val="006B4FA3"/>
    <w:rsid w:val="006B5F38"/>
    <w:rsid w:val="006C69CE"/>
    <w:rsid w:val="00715956"/>
    <w:rsid w:val="00734047"/>
    <w:rsid w:val="00734D06"/>
    <w:rsid w:val="0077690B"/>
    <w:rsid w:val="00776DC7"/>
    <w:rsid w:val="007A143E"/>
    <w:rsid w:val="007B41AA"/>
    <w:rsid w:val="007E3D72"/>
    <w:rsid w:val="007F3884"/>
    <w:rsid w:val="008B4067"/>
    <w:rsid w:val="008F2FFB"/>
    <w:rsid w:val="00905034"/>
    <w:rsid w:val="0093504C"/>
    <w:rsid w:val="00983236"/>
    <w:rsid w:val="009A7A80"/>
    <w:rsid w:val="00A01F0E"/>
    <w:rsid w:val="00A16B0C"/>
    <w:rsid w:val="00A53AAC"/>
    <w:rsid w:val="00A65683"/>
    <w:rsid w:val="00A85A8C"/>
    <w:rsid w:val="00AD4F3E"/>
    <w:rsid w:val="00B07768"/>
    <w:rsid w:val="00B30AF9"/>
    <w:rsid w:val="00B353A6"/>
    <w:rsid w:val="00B569D9"/>
    <w:rsid w:val="00B77184"/>
    <w:rsid w:val="00B96D8D"/>
    <w:rsid w:val="00BB2A84"/>
    <w:rsid w:val="00BF397F"/>
    <w:rsid w:val="00BF79AB"/>
    <w:rsid w:val="00C10EF7"/>
    <w:rsid w:val="00C36368"/>
    <w:rsid w:val="00C603C5"/>
    <w:rsid w:val="00CA47BA"/>
    <w:rsid w:val="00CF7FA4"/>
    <w:rsid w:val="00D31A20"/>
    <w:rsid w:val="00D7014D"/>
    <w:rsid w:val="00D7522D"/>
    <w:rsid w:val="00D82652"/>
    <w:rsid w:val="00DB5C6A"/>
    <w:rsid w:val="00DD791C"/>
    <w:rsid w:val="00DE5509"/>
    <w:rsid w:val="00E07D88"/>
    <w:rsid w:val="00E12D08"/>
    <w:rsid w:val="00E334CF"/>
    <w:rsid w:val="00E91A13"/>
    <w:rsid w:val="00EA26A2"/>
    <w:rsid w:val="00EB1ED6"/>
    <w:rsid w:val="00ED3ABB"/>
    <w:rsid w:val="00ED5C3C"/>
    <w:rsid w:val="00ED5ED0"/>
    <w:rsid w:val="00F21355"/>
    <w:rsid w:val="00F21595"/>
    <w:rsid w:val="00F272BD"/>
    <w:rsid w:val="00F5417C"/>
    <w:rsid w:val="00F70B75"/>
    <w:rsid w:val="00F852A8"/>
    <w:rsid w:val="00FF1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EB9A"/>
  <w15:chartTrackingRefBased/>
  <w15:docId w15:val="{3DB31882-861E-F049-8D81-15D67B3F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A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A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A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A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A80"/>
    <w:rPr>
      <w:rFonts w:eastAsiaTheme="majorEastAsia" w:cstheme="majorBidi"/>
      <w:color w:val="272727" w:themeColor="text1" w:themeTint="D8"/>
    </w:rPr>
  </w:style>
  <w:style w:type="paragraph" w:styleId="Title">
    <w:name w:val="Title"/>
    <w:basedOn w:val="Normal"/>
    <w:next w:val="Normal"/>
    <w:link w:val="TitleChar"/>
    <w:uiPriority w:val="10"/>
    <w:qFormat/>
    <w:rsid w:val="009A7A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A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A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7A80"/>
    <w:rPr>
      <w:i/>
      <w:iCs/>
      <w:color w:val="404040" w:themeColor="text1" w:themeTint="BF"/>
    </w:rPr>
  </w:style>
  <w:style w:type="paragraph" w:styleId="ListParagraph">
    <w:name w:val="List Paragraph"/>
    <w:basedOn w:val="Normal"/>
    <w:uiPriority w:val="34"/>
    <w:qFormat/>
    <w:rsid w:val="009A7A80"/>
    <w:pPr>
      <w:ind w:left="720"/>
      <w:contextualSpacing/>
    </w:pPr>
  </w:style>
  <w:style w:type="character" w:styleId="IntenseEmphasis">
    <w:name w:val="Intense Emphasis"/>
    <w:basedOn w:val="DefaultParagraphFont"/>
    <w:uiPriority w:val="21"/>
    <w:qFormat/>
    <w:rsid w:val="009A7A80"/>
    <w:rPr>
      <w:i/>
      <w:iCs/>
      <w:color w:val="0F4761" w:themeColor="accent1" w:themeShade="BF"/>
    </w:rPr>
  </w:style>
  <w:style w:type="paragraph" w:styleId="IntenseQuote">
    <w:name w:val="Intense Quote"/>
    <w:basedOn w:val="Normal"/>
    <w:next w:val="Normal"/>
    <w:link w:val="IntenseQuoteChar"/>
    <w:uiPriority w:val="30"/>
    <w:qFormat/>
    <w:rsid w:val="009A7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A80"/>
    <w:rPr>
      <w:i/>
      <w:iCs/>
      <w:color w:val="0F4761" w:themeColor="accent1" w:themeShade="BF"/>
    </w:rPr>
  </w:style>
  <w:style w:type="character" w:styleId="IntenseReference">
    <w:name w:val="Intense Reference"/>
    <w:basedOn w:val="DefaultParagraphFont"/>
    <w:uiPriority w:val="32"/>
    <w:qFormat/>
    <w:rsid w:val="009A7A80"/>
    <w:rPr>
      <w:b/>
      <w:bCs/>
      <w:smallCaps/>
      <w:color w:val="0F4761" w:themeColor="accent1" w:themeShade="BF"/>
      <w:spacing w:val="5"/>
    </w:rPr>
  </w:style>
  <w:style w:type="table" w:styleId="TableGrid">
    <w:name w:val="Table Grid"/>
    <w:basedOn w:val="TableNormal"/>
    <w:uiPriority w:val="39"/>
    <w:rsid w:val="001B790C"/>
    <w:rPr>
      <w:rFonts w:ascii="Cambria" w:eastAsia="MS Mincho" w:hAnsi="Cambria"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B790C"/>
    <w:pPr>
      <w:tabs>
        <w:tab w:val="center" w:pos="4680"/>
        <w:tab w:val="right" w:pos="9360"/>
      </w:tabs>
    </w:pPr>
  </w:style>
  <w:style w:type="character" w:customStyle="1" w:styleId="FooterChar">
    <w:name w:val="Footer Char"/>
    <w:basedOn w:val="DefaultParagraphFont"/>
    <w:link w:val="Footer"/>
    <w:uiPriority w:val="99"/>
    <w:rsid w:val="001B790C"/>
  </w:style>
  <w:style w:type="character" w:styleId="PageNumber">
    <w:name w:val="page number"/>
    <w:basedOn w:val="DefaultParagraphFont"/>
    <w:uiPriority w:val="99"/>
    <w:semiHidden/>
    <w:unhideWhenUsed/>
    <w:rsid w:val="001B790C"/>
  </w:style>
  <w:style w:type="paragraph" w:styleId="Header">
    <w:name w:val="header"/>
    <w:basedOn w:val="Normal"/>
    <w:link w:val="HeaderChar"/>
    <w:uiPriority w:val="99"/>
    <w:unhideWhenUsed/>
    <w:rsid w:val="001B790C"/>
    <w:pPr>
      <w:tabs>
        <w:tab w:val="center" w:pos="4680"/>
        <w:tab w:val="right" w:pos="9360"/>
      </w:tabs>
    </w:pPr>
  </w:style>
  <w:style w:type="character" w:customStyle="1" w:styleId="HeaderChar">
    <w:name w:val="Header Char"/>
    <w:basedOn w:val="DefaultParagraphFont"/>
    <w:link w:val="Header"/>
    <w:uiPriority w:val="99"/>
    <w:rsid w:val="001B790C"/>
  </w:style>
  <w:style w:type="character" w:styleId="Hyperlink">
    <w:name w:val="Hyperlink"/>
    <w:basedOn w:val="DefaultParagraphFont"/>
    <w:uiPriority w:val="99"/>
    <w:unhideWhenUsed/>
    <w:rsid w:val="001B790C"/>
    <w:rPr>
      <w:color w:val="467886" w:themeColor="hyperlink"/>
      <w:u w:val="single"/>
    </w:rPr>
  </w:style>
  <w:style w:type="character" w:styleId="UnresolvedMention">
    <w:name w:val="Unresolved Mention"/>
    <w:basedOn w:val="DefaultParagraphFont"/>
    <w:uiPriority w:val="99"/>
    <w:semiHidden/>
    <w:unhideWhenUsed/>
    <w:rsid w:val="001B790C"/>
    <w:rPr>
      <w:color w:val="605E5C"/>
      <w:shd w:val="clear" w:color="auto" w:fill="E1DFDD"/>
    </w:rPr>
  </w:style>
  <w:style w:type="paragraph" w:styleId="Revision">
    <w:name w:val="Revision"/>
    <w:hidden/>
    <w:uiPriority w:val="99"/>
    <w:semiHidden/>
    <w:rsid w:val="002303E7"/>
  </w:style>
  <w:style w:type="character" w:styleId="FollowedHyperlink">
    <w:name w:val="FollowedHyperlink"/>
    <w:basedOn w:val="DefaultParagraphFont"/>
    <w:uiPriority w:val="99"/>
    <w:semiHidden/>
    <w:unhideWhenUsed/>
    <w:rsid w:val="00613E7A"/>
    <w:rPr>
      <w:color w:val="96607D" w:themeColor="followedHyperlink"/>
      <w:u w:val="single"/>
    </w:rPr>
  </w:style>
  <w:style w:type="numbering" w:customStyle="1" w:styleId="CurrentList1">
    <w:name w:val="Current List1"/>
    <w:uiPriority w:val="99"/>
    <w:rsid w:val="00B96D8D"/>
    <w:pPr>
      <w:numPr>
        <w:numId w:val="2"/>
      </w:numPr>
    </w:pPr>
  </w:style>
  <w:style w:type="paragraph" w:styleId="BalloonText">
    <w:name w:val="Balloon Text"/>
    <w:basedOn w:val="Normal"/>
    <w:link w:val="BalloonTextChar"/>
    <w:uiPriority w:val="99"/>
    <w:semiHidden/>
    <w:unhideWhenUsed/>
    <w:rsid w:val="006B4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sight.group/products/foresight-ventures-vct-pl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esight.group/products/foresight-ventures-vct-pl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EH!10640404.1</documentid>
  <senderid>FHT</senderid>
  <senderemail>FIONA.THOMPSON@DMWS.COM</senderemail>
  <lastmodified>2024-12-10T16:15:00.0000000+00:00</lastmodified>
  <database>EH</database>
</properties>
</file>

<file path=customXml/itemProps1.xml><?xml version="1.0" encoding="utf-8"?>
<ds:datastoreItem xmlns:ds="http://schemas.openxmlformats.org/officeDocument/2006/customXml" ds:itemID="{C55C631E-68E4-4FAD-AC3D-CBBD12B5E32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1900</Words>
  <Characters>9942</Characters>
  <Application>Microsoft Office Word</Application>
  <DocSecurity>0</DocSecurity>
  <Lines>261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Daly</dc:creator>
  <cp:keywords/>
  <dc:description/>
  <cp:lastModifiedBy>Dickson Minto</cp:lastModifiedBy>
  <cp:revision>2</cp:revision>
  <dcterms:created xsi:type="dcterms:W3CDTF">2024-12-19T07:08:00Z</dcterms:created>
  <dcterms:modified xsi:type="dcterms:W3CDTF">2024-12-19T07:08:00Z</dcterms:modified>
</cp:coreProperties>
</file>