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61C1" w14:textId="77777777" w:rsidR="0006408F" w:rsidRPr="00A514C2" w:rsidRDefault="0006408F" w:rsidP="0006408F">
      <w:pPr>
        <w:rPr>
          <w:rFonts w:cs="Arial"/>
          <w:b/>
          <w:sz w:val="22"/>
          <w:szCs w:val="22"/>
        </w:rPr>
      </w:pPr>
      <w:bookmarkStart w:id="0" w:name="_Hlk94094387"/>
    </w:p>
    <w:p w14:paraId="0E19DF8F" w14:textId="017AB046" w:rsidR="0001452A" w:rsidRPr="008B34E0" w:rsidRDefault="0001452A" w:rsidP="008E71CA">
      <w:pPr>
        <w:tabs>
          <w:tab w:val="left" w:pos="720"/>
          <w:tab w:val="center" w:pos="4513"/>
        </w:tabs>
        <w:spacing w:before="200"/>
        <w:rPr>
          <w:rFonts w:cs="Arial"/>
          <w:b/>
          <w:sz w:val="22"/>
          <w:szCs w:val="22"/>
        </w:rPr>
      </w:pPr>
      <w:r w:rsidRPr="008B34E0">
        <w:rPr>
          <w:rFonts w:cs="Arial"/>
          <w:b/>
          <w:sz w:val="22"/>
          <w:szCs w:val="22"/>
        </w:rPr>
        <w:t>Company number: 3213782</w:t>
      </w:r>
      <w:bookmarkEnd w:id="0"/>
    </w:p>
    <w:p w14:paraId="11A224BA" w14:textId="77777777" w:rsidR="001F0576" w:rsidRPr="008B34E0" w:rsidRDefault="001F0576" w:rsidP="008E71CA">
      <w:pPr>
        <w:tabs>
          <w:tab w:val="left" w:pos="720"/>
          <w:tab w:val="center" w:pos="4513"/>
        </w:tabs>
        <w:spacing w:before="200"/>
        <w:jc w:val="center"/>
        <w:rPr>
          <w:rFonts w:cs="Arial"/>
          <w:b/>
          <w:sz w:val="22"/>
          <w:szCs w:val="22"/>
        </w:rPr>
      </w:pPr>
      <w:r w:rsidRPr="008B34E0">
        <w:rPr>
          <w:rFonts w:cs="Arial"/>
          <w:b/>
          <w:sz w:val="22"/>
          <w:szCs w:val="22"/>
        </w:rPr>
        <w:t>COMPANIES ACT 2006</w:t>
      </w:r>
    </w:p>
    <w:p w14:paraId="1467BAC1" w14:textId="77777777" w:rsidR="001F0576" w:rsidRPr="008B34E0" w:rsidRDefault="001F0576" w:rsidP="008E71CA">
      <w:pPr>
        <w:spacing w:before="200"/>
        <w:jc w:val="center"/>
        <w:rPr>
          <w:rFonts w:cs="Arial"/>
          <w:b/>
          <w:sz w:val="22"/>
          <w:szCs w:val="22"/>
        </w:rPr>
      </w:pPr>
      <w:r w:rsidRPr="008B34E0">
        <w:rPr>
          <w:rFonts w:cs="Arial"/>
          <w:b/>
          <w:sz w:val="22"/>
          <w:szCs w:val="22"/>
        </w:rPr>
        <w:t>TOPPS TILES PLC</w:t>
      </w:r>
    </w:p>
    <w:p w14:paraId="4F765A29" w14:textId="018DDABE" w:rsidR="00502E86" w:rsidRDefault="001F0576" w:rsidP="00502E86">
      <w:pPr>
        <w:spacing w:before="200"/>
        <w:jc w:val="center"/>
        <w:rPr>
          <w:rFonts w:cs="Arial"/>
          <w:b/>
          <w:sz w:val="22"/>
          <w:szCs w:val="22"/>
        </w:rPr>
      </w:pPr>
      <w:r w:rsidRPr="008B34E0">
        <w:rPr>
          <w:rFonts w:cs="Arial"/>
          <w:b/>
          <w:sz w:val="22"/>
          <w:szCs w:val="22"/>
        </w:rPr>
        <w:t>(the "Company")</w:t>
      </w:r>
      <w:bookmarkStart w:id="1" w:name="_Hlk94094448"/>
    </w:p>
    <w:p w14:paraId="3A0D5103" w14:textId="1D5A3CC5" w:rsidR="008B34E0" w:rsidRPr="008B34E0" w:rsidRDefault="008B34E0" w:rsidP="00502E86">
      <w:pPr>
        <w:spacing w:before="200"/>
        <w:jc w:val="center"/>
        <w:rPr>
          <w:rFonts w:cs="Arial"/>
          <w:b/>
          <w:sz w:val="22"/>
          <w:szCs w:val="22"/>
        </w:rPr>
      </w:pPr>
      <w:r>
        <w:rPr>
          <w:rFonts w:cs="Arial"/>
          <w:b/>
          <w:sz w:val="22"/>
          <w:szCs w:val="22"/>
        </w:rPr>
        <w:t>Special Business conducted at the Annual General Meeting</w:t>
      </w:r>
    </w:p>
    <w:p w14:paraId="09D55A8B" w14:textId="609C6B28" w:rsidR="001F0576" w:rsidRDefault="001F0576" w:rsidP="00BC1D99">
      <w:pPr>
        <w:spacing w:before="240"/>
        <w:jc w:val="both"/>
        <w:rPr>
          <w:rFonts w:cs="Arial"/>
          <w:sz w:val="22"/>
          <w:szCs w:val="22"/>
        </w:rPr>
      </w:pPr>
      <w:r w:rsidRPr="008B34E0">
        <w:rPr>
          <w:rFonts w:cs="Arial"/>
          <w:sz w:val="22"/>
          <w:szCs w:val="22"/>
        </w:rPr>
        <w:t xml:space="preserve">At </w:t>
      </w:r>
      <w:r w:rsidR="00502E86" w:rsidRPr="008B34E0">
        <w:rPr>
          <w:rFonts w:cs="Arial"/>
          <w:sz w:val="22"/>
          <w:szCs w:val="22"/>
        </w:rPr>
        <w:t>the</w:t>
      </w:r>
      <w:r w:rsidRPr="008B34E0">
        <w:rPr>
          <w:rFonts w:cs="Arial"/>
          <w:sz w:val="22"/>
          <w:szCs w:val="22"/>
        </w:rPr>
        <w:t xml:space="preserve"> </w:t>
      </w:r>
      <w:r w:rsidR="00502E86" w:rsidRPr="008B34E0">
        <w:rPr>
          <w:rFonts w:cs="Arial"/>
          <w:sz w:val="22"/>
          <w:szCs w:val="22"/>
        </w:rPr>
        <w:t>A</w:t>
      </w:r>
      <w:r w:rsidRPr="008B34E0">
        <w:rPr>
          <w:rFonts w:cs="Arial"/>
          <w:sz w:val="22"/>
          <w:szCs w:val="22"/>
        </w:rPr>
        <w:t xml:space="preserve">nnual </w:t>
      </w:r>
      <w:r w:rsidR="00502E86" w:rsidRPr="008B34E0">
        <w:rPr>
          <w:rFonts w:cs="Arial"/>
          <w:sz w:val="22"/>
          <w:szCs w:val="22"/>
        </w:rPr>
        <w:t>G</w:t>
      </w:r>
      <w:r w:rsidRPr="008B34E0">
        <w:rPr>
          <w:rFonts w:cs="Arial"/>
          <w:sz w:val="22"/>
          <w:szCs w:val="22"/>
        </w:rPr>
        <w:t xml:space="preserve">eneral </w:t>
      </w:r>
      <w:r w:rsidR="00502E86" w:rsidRPr="008B34E0">
        <w:rPr>
          <w:rFonts w:cs="Arial"/>
          <w:sz w:val="22"/>
          <w:szCs w:val="22"/>
        </w:rPr>
        <w:t>M</w:t>
      </w:r>
      <w:r w:rsidRPr="008B34E0">
        <w:rPr>
          <w:rFonts w:cs="Arial"/>
          <w:sz w:val="22"/>
          <w:szCs w:val="22"/>
        </w:rPr>
        <w:t xml:space="preserve">eeting of the Company, duly convened and held at </w:t>
      </w:r>
      <w:r w:rsidR="00BD57BD">
        <w:rPr>
          <w:rFonts w:cs="Arial"/>
          <w:sz w:val="22"/>
          <w:szCs w:val="22"/>
        </w:rPr>
        <w:t xml:space="preserve">the </w:t>
      </w:r>
      <w:r w:rsidR="00502E86" w:rsidRPr="008B34E0">
        <w:rPr>
          <w:sz w:val="22"/>
          <w:szCs w:val="22"/>
        </w:rPr>
        <w:t>Marriott Hotel, Smith Way, Grove Park, Leicester LE19 1SW</w:t>
      </w:r>
      <w:r w:rsidR="008C24C4" w:rsidRPr="008B34E0">
        <w:rPr>
          <w:rFonts w:cs="Arial"/>
          <w:sz w:val="22"/>
          <w:szCs w:val="22"/>
        </w:rPr>
        <w:t xml:space="preserve"> </w:t>
      </w:r>
      <w:r w:rsidRPr="008B34E0">
        <w:rPr>
          <w:rFonts w:cs="Arial"/>
          <w:sz w:val="22"/>
          <w:szCs w:val="22"/>
        </w:rPr>
        <w:t xml:space="preserve">on </w:t>
      </w:r>
      <w:r w:rsidR="00502E86" w:rsidRPr="008B34E0">
        <w:rPr>
          <w:rFonts w:cs="Arial"/>
          <w:sz w:val="22"/>
          <w:szCs w:val="22"/>
        </w:rPr>
        <w:t>18</w:t>
      </w:r>
      <w:r w:rsidR="00691FFC" w:rsidRPr="008B34E0">
        <w:rPr>
          <w:rFonts w:cs="Arial"/>
          <w:sz w:val="22"/>
          <w:szCs w:val="22"/>
        </w:rPr>
        <w:t xml:space="preserve"> </w:t>
      </w:r>
      <w:r w:rsidRPr="008B34E0">
        <w:rPr>
          <w:rFonts w:cs="Arial"/>
          <w:sz w:val="22"/>
          <w:szCs w:val="22"/>
        </w:rPr>
        <w:t>January 20</w:t>
      </w:r>
      <w:r w:rsidR="00502E86" w:rsidRPr="008B34E0">
        <w:rPr>
          <w:rFonts w:cs="Arial"/>
          <w:sz w:val="22"/>
          <w:szCs w:val="22"/>
        </w:rPr>
        <w:t>23</w:t>
      </w:r>
      <w:r w:rsidRPr="008B34E0">
        <w:rPr>
          <w:rFonts w:cs="Arial"/>
          <w:sz w:val="22"/>
          <w:szCs w:val="22"/>
        </w:rPr>
        <w:t xml:space="preserve">, the following resolutions were </w:t>
      </w:r>
      <w:r w:rsidR="00502E86" w:rsidRPr="008B34E0">
        <w:rPr>
          <w:rFonts w:cs="Arial"/>
          <w:sz w:val="22"/>
          <w:szCs w:val="22"/>
        </w:rPr>
        <w:t xml:space="preserve">duly </w:t>
      </w:r>
      <w:r w:rsidRPr="008B34E0">
        <w:rPr>
          <w:rFonts w:cs="Arial"/>
          <w:sz w:val="22"/>
          <w:szCs w:val="22"/>
        </w:rPr>
        <w:t>passed</w:t>
      </w:r>
      <w:r w:rsidR="00502E86" w:rsidRPr="008B34E0">
        <w:rPr>
          <w:rFonts w:cs="Arial"/>
          <w:sz w:val="22"/>
          <w:szCs w:val="22"/>
        </w:rPr>
        <w:t xml:space="preserve"> as</w:t>
      </w:r>
      <w:r w:rsidRPr="008B34E0">
        <w:rPr>
          <w:rFonts w:cs="Arial"/>
          <w:sz w:val="22"/>
          <w:szCs w:val="22"/>
        </w:rPr>
        <w:t xml:space="preserve"> </w:t>
      </w:r>
      <w:r w:rsidR="00502E86" w:rsidRPr="008B34E0">
        <w:rPr>
          <w:rFonts w:cs="Arial"/>
          <w:sz w:val="22"/>
          <w:szCs w:val="22"/>
        </w:rPr>
        <w:t>ordinary resolutions of the Company</w:t>
      </w:r>
      <w:r w:rsidRPr="008B34E0">
        <w:rPr>
          <w:rFonts w:cs="Arial"/>
          <w:sz w:val="22"/>
          <w:szCs w:val="22"/>
        </w:rPr>
        <w:t>:</w:t>
      </w:r>
    </w:p>
    <w:bookmarkEnd w:id="1"/>
    <w:p w14:paraId="22787FC6" w14:textId="3EA7155B" w:rsidR="00BC1D99" w:rsidRPr="008B34E0" w:rsidRDefault="00502E86" w:rsidP="00502E86">
      <w:pPr>
        <w:spacing w:before="240"/>
        <w:jc w:val="center"/>
        <w:rPr>
          <w:b/>
          <w:bCs/>
          <w:sz w:val="22"/>
          <w:szCs w:val="22"/>
          <w:u w:val="single"/>
        </w:rPr>
      </w:pPr>
      <w:r w:rsidRPr="008B34E0">
        <w:rPr>
          <w:b/>
          <w:bCs/>
          <w:sz w:val="22"/>
          <w:szCs w:val="22"/>
          <w:u w:val="single"/>
        </w:rPr>
        <w:t>ORDINARY RESOLUTIONS</w:t>
      </w:r>
    </w:p>
    <w:p w14:paraId="70FC8BEA" w14:textId="3B5DA49E" w:rsidR="008B34E0" w:rsidRPr="008B34E0" w:rsidRDefault="008B34E0" w:rsidP="001406FC">
      <w:pPr>
        <w:spacing w:before="240"/>
        <w:ind w:left="720" w:hanging="720"/>
        <w:jc w:val="both"/>
        <w:rPr>
          <w:sz w:val="22"/>
          <w:szCs w:val="22"/>
        </w:rPr>
      </w:pPr>
      <w:r w:rsidRPr="008B34E0">
        <w:rPr>
          <w:sz w:val="22"/>
          <w:szCs w:val="22"/>
        </w:rPr>
        <w:t>13.</w:t>
      </w:r>
      <w:r w:rsidR="001406FC">
        <w:rPr>
          <w:sz w:val="22"/>
          <w:szCs w:val="22"/>
        </w:rPr>
        <w:tab/>
      </w:r>
      <w:r w:rsidRPr="008B34E0">
        <w:rPr>
          <w:sz w:val="22"/>
          <w:szCs w:val="22"/>
        </w:rPr>
        <w:t xml:space="preserve">THAT, the rules of the Topps Tiles Plc 2023 Share Plan (the “2023 Plan”), the principal terms of which are summarised in Appendix 1 to this Notice of Annual General Meeting, and produced in draft to this meeting and, for the purposes of identification, are initialled by the Chairman of the meeting, be and are hereby approved and the Directors be authorised to: </w:t>
      </w:r>
    </w:p>
    <w:p w14:paraId="7CD3AF88" w14:textId="6741BAB8" w:rsidR="008B34E0" w:rsidRPr="008B34E0" w:rsidRDefault="008B34E0" w:rsidP="001406FC">
      <w:pPr>
        <w:spacing w:before="240"/>
        <w:ind w:left="1440" w:hanging="720"/>
        <w:jc w:val="both"/>
        <w:rPr>
          <w:sz w:val="22"/>
          <w:szCs w:val="22"/>
        </w:rPr>
      </w:pPr>
      <w:r w:rsidRPr="008B34E0">
        <w:rPr>
          <w:sz w:val="22"/>
          <w:szCs w:val="22"/>
        </w:rPr>
        <w:t>a.</w:t>
      </w:r>
      <w:r w:rsidR="001406FC">
        <w:rPr>
          <w:sz w:val="22"/>
          <w:szCs w:val="22"/>
        </w:rPr>
        <w:tab/>
      </w:r>
      <w:r w:rsidRPr="008B34E0">
        <w:rPr>
          <w:sz w:val="22"/>
          <w:szCs w:val="22"/>
        </w:rPr>
        <w:t>make such modifications to the 2023 Plan as they may consider appropriate to take account of the requirements of best practice and for the implementation of the 2023 Plan and to adopt the 2023 Plan as so modified and to do all such other acts and things as they may consider appropriate to implement the 2023 Plan; and</w:t>
      </w:r>
    </w:p>
    <w:p w14:paraId="0031C4C7" w14:textId="2A555D04" w:rsidR="008B34E0" w:rsidRPr="008B34E0" w:rsidRDefault="008B34E0" w:rsidP="001406FC">
      <w:pPr>
        <w:spacing w:before="240"/>
        <w:ind w:left="1440" w:hanging="720"/>
        <w:jc w:val="both"/>
        <w:rPr>
          <w:sz w:val="22"/>
          <w:szCs w:val="22"/>
        </w:rPr>
      </w:pPr>
      <w:r w:rsidRPr="008B34E0">
        <w:rPr>
          <w:sz w:val="22"/>
          <w:szCs w:val="22"/>
        </w:rPr>
        <w:t>b.</w:t>
      </w:r>
      <w:r w:rsidR="001406FC">
        <w:rPr>
          <w:sz w:val="22"/>
          <w:szCs w:val="22"/>
        </w:rPr>
        <w:tab/>
      </w:r>
      <w:r w:rsidRPr="008B34E0">
        <w:rPr>
          <w:sz w:val="22"/>
          <w:szCs w:val="22"/>
        </w:rPr>
        <w:t xml:space="preserve">establish further plans based on the 2023 Plan but modified to take account of local tax, exchange control or securities laws in overseas territories, provided that any Shares made available under such further plans are treated as counting against the limits on individual or overall participation in the 2023 Plan. </w:t>
      </w:r>
    </w:p>
    <w:p w14:paraId="076F1812" w14:textId="0BD91485" w:rsidR="008B34E0" w:rsidRDefault="008B34E0" w:rsidP="001406FC">
      <w:pPr>
        <w:spacing w:before="240"/>
        <w:ind w:left="720" w:hanging="720"/>
        <w:jc w:val="both"/>
        <w:rPr>
          <w:sz w:val="22"/>
          <w:szCs w:val="22"/>
        </w:rPr>
      </w:pPr>
      <w:r w:rsidRPr="008B34E0">
        <w:rPr>
          <w:sz w:val="22"/>
          <w:szCs w:val="22"/>
        </w:rPr>
        <w:t>14.</w:t>
      </w:r>
      <w:r w:rsidR="001406FC">
        <w:rPr>
          <w:sz w:val="22"/>
          <w:szCs w:val="22"/>
        </w:rPr>
        <w:tab/>
      </w:r>
      <w:r w:rsidRPr="008B34E0">
        <w:rPr>
          <w:sz w:val="22"/>
          <w:szCs w:val="22"/>
        </w:rPr>
        <w:t xml:space="preserve">THAT, in substitution for any equivalent authorities and powers granted to the Directors prior to the passing of this resolution, the Directors be and they are generally and unconditionally authorised pursuant to section 551 of the Companies Act 2006 (the “Act”): </w:t>
      </w:r>
    </w:p>
    <w:p w14:paraId="1BBFE4C7" w14:textId="27F893BB" w:rsidR="008B34E0" w:rsidRDefault="008B34E0" w:rsidP="001406FC">
      <w:pPr>
        <w:spacing w:before="240"/>
        <w:ind w:left="1440" w:hanging="720"/>
        <w:jc w:val="both"/>
        <w:rPr>
          <w:sz w:val="22"/>
          <w:szCs w:val="22"/>
        </w:rPr>
      </w:pPr>
      <w:r w:rsidRPr="008B34E0">
        <w:rPr>
          <w:sz w:val="22"/>
          <w:szCs w:val="22"/>
        </w:rPr>
        <w:t>a.</w:t>
      </w:r>
      <w:r w:rsidR="001406FC">
        <w:rPr>
          <w:sz w:val="22"/>
          <w:szCs w:val="22"/>
        </w:rPr>
        <w:tab/>
      </w:r>
      <w:r w:rsidRPr="008B34E0">
        <w:rPr>
          <w:sz w:val="22"/>
          <w:szCs w:val="22"/>
        </w:rPr>
        <w:t xml:space="preserve">to exercise all powers of the Company to allot shares in the Company, and grant rights to subscribe for or to convert any security into shares of the Company (such shares, and rights to subscribe for or to convert any security into shares of the Company being “relevant securities”) up to an aggregate nominal amount of £2,183,168 (such amount to be reduced by the nominal amount of any allotments or grants made under paragraph (b) below in excess of £2,183,168); and further: </w:t>
      </w:r>
    </w:p>
    <w:p w14:paraId="16DBFE5C" w14:textId="4951AE13" w:rsidR="008B34E0" w:rsidRDefault="008B34E0" w:rsidP="001406FC">
      <w:pPr>
        <w:spacing w:before="240"/>
        <w:ind w:left="1440" w:hanging="720"/>
        <w:jc w:val="both"/>
        <w:rPr>
          <w:sz w:val="22"/>
          <w:szCs w:val="22"/>
        </w:rPr>
      </w:pPr>
      <w:r w:rsidRPr="008B34E0">
        <w:rPr>
          <w:sz w:val="22"/>
          <w:szCs w:val="22"/>
        </w:rPr>
        <w:t>b.</w:t>
      </w:r>
      <w:r w:rsidR="001406FC">
        <w:rPr>
          <w:sz w:val="22"/>
          <w:szCs w:val="22"/>
        </w:rPr>
        <w:tab/>
      </w:r>
      <w:r w:rsidRPr="008B34E0">
        <w:rPr>
          <w:sz w:val="22"/>
          <w:szCs w:val="22"/>
        </w:rPr>
        <w:t xml:space="preserve">to allot equity securities (as defined in section 560 of the Act) up to an aggregate nominal </w:t>
      </w:r>
      <w:r>
        <w:rPr>
          <w:sz w:val="22"/>
          <w:szCs w:val="22"/>
        </w:rPr>
        <w:t xml:space="preserve"> </w:t>
      </w:r>
      <w:r w:rsidRPr="008B34E0">
        <w:rPr>
          <w:sz w:val="22"/>
          <w:szCs w:val="22"/>
        </w:rPr>
        <w:t xml:space="preserve">amount of £4,366,336 (such amount to be reduced by the nominal amount of any allotments or grants made under paragraph (a) above) in connection with an offer by way of rights issue: </w:t>
      </w:r>
    </w:p>
    <w:p w14:paraId="7F6614AA" w14:textId="77777777" w:rsidR="001406FC" w:rsidRDefault="008B34E0" w:rsidP="001406FC">
      <w:pPr>
        <w:spacing w:before="240"/>
        <w:ind w:left="2160" w:hanging="720"/>
        <w:jc w:val="both"/>
        <w:rPr>
          <w:sz w:val="22"/>
          <w:szCs w:val="22"/>
        </w:rPr>
      </w:pPr>
      <w:r w:rsidRPr="008B34E0">
        <w:rPr>
          <w:sz w:val="22"/>
          <w:szCs w:val="22"/>
        </w:rPr>
        <w:t>i.</w:t>
      </w:r>
      <w:r w:rsidR="001406FC">
        <w:rPr>
          <w:sz w:val="22"/>
          <w:szCs w:val="22"/>
        </w:rPr>
        <w:tab/>
      </w:r>
      <w:r w:rsidRPr="008B34E0">
        <w:rPr>
          <w:sz w:val="22"/>
          <w:szCs w:val="22"/>
        </w:rPr>
        <w:t xml:space="preserve">in favour of holders of ordinary shares in the capital of the Company, where the equity securities respectively attributable to the interests of all such holders are proportionate (as nearly as practicable) to the </w:t>
      </w:r>
    </w:p>
    <w:p w14:paraId="7B849549" w14:textId="77777777" w:rsidR="001406FC" w:rsidRDefault="001406FC" w:rsidP="001406FC">
      <w:pPr>
        <w:spacing w:before="240"/>
        <w:ind w:left="2160" w:hanging="720"/>
        <w:jc w:val="both"/>
        <w:rPr>
          <w:sz w:val="22"/>
          <w:szCs w:val="22"/>
        </w:rPr>
      </w:pPr>
    </w:p>
    <w:p w14:paraId="05D477B8" w14:textId="77777777" w:rsidR="001406FC" w:rsidRDefault="001406FC" w:rsidP="001406FC">
      <w:pPr>
        <w:spacing w:before="240"/>
        <w:ind w:left="2160" w:hanging="720"/>
        <w:jc w:val="both"/>
        <w:rPr>
          <w:sz w:val="22"/>
          <w:szCs w:val="22"/>
        </w:rPr>
      </w:pPr>
    </w:p>
    <w:p w14:paraId="43E0C76C" w14:textId="285FFF5E" w:rsidR="008B34E0" w:rsidRDefault="008B34E0" w:rsidP="001406FC">
      <w:pPr>
        <w:spacing w:before="240"/>
        <w:ind w:left="2160"/>
        <w:jc w:val="both"/>
        <w:rPr>
          <w:sz w:val="22"/>
          <w:szCs w:val="22"/>
        </w:rPr>
      </w:pPr>
      <w:r w:rsidRPr="008B34E0">
        <w:rPr>
          <w:sz w:val="22"/>
          <w:szCs w:val="22"/>
        </w:rPr>
        <w:t>respective number of ordinary shares in the capital of the Company held by them; and</w:t>
      </w:r>
    </w:p>
    <w:p w14:paraId="7C064AD1" w14:textId="6CF2BABA" w:rsidR="008B34E0" w:rsidRDefault="008B34E0" w:rsidP="001406FC">
      <w:pPr>
        <w:spacing w:before="240"/>
        <w:ind w:left="2160" w:hanging="720"/>
        <w:jc w:val="both"/>
        <w:rPr>
          <w:sz w:val="22"/>
          <w:szCs w:val="22"/>
        </w:rPr>
      </w:pPr>
      <w:r w:rsidRPr="008B34E0">
        <w:rPr>
          <w:sz w:val="22"/>
          <w:szCs w:val="22"/>
        </w:rPr>
        <w:t>ii.</w:t>
      </w:r>
      <w:r w:rsidR="001406FC">
        <w:rPr>
          <w:sz w:val="22"/>
          <w:szCs w:val="22"/>
        </w:rPr>
        <w:tab/>
      </w:r>
      <w:r w:rsidRPr="008B34E0">
        <w:rPr>
          <w:sz w:val="22"/>
          <w:szCs w:val="22"/>
        </w:rPr>
        <w:t xml:space="preserve">to holders of any other equity securities as required by the rights of those securities or as the Directors otherwise consider necessary, </w:t>
      </w:r>
    </w:p>
    <w:p w14:paraId="3718D2FF" w14:textId="7B2FDD18" w:rsidR="008B34E0" w:rsidRPr="008B34E0" w:rsidRDefault="008B34E0" w:rsidP="001406FC">
      <w:pPr>
        <w:spacing w:before="240"/>
        <w:ind w:left="720"/>
        <w:jc w:val="both"/>
        <w:rPr>
          <w:sz w:val="22"/>
          <w:szCs w:val="22"/>
        </w:rPr>
      </w:pPr>
      <w:r w:rsidRPr="008B34E0">
        <w:rPr>
          <w:sz w:val="22"/>
          <w:szCs w:val="22"/>
        </w:rPr>
        <w:t>but subject to such exclusions or other arrangements as the Directors may deem necessary or expedient to deal with treasury shares, fractional entitlements or legal, regulatory or practical problems arising under the laws or requirements of any overseas territory or by virtue of shares being represented by depository receipts or the requirements of any regulatory body or stock exchange or any other matter whatsoever, provided that, unless previously revoked, varied or extended, this authority shall expire on the earlier of the date falling 15 months after the date of the passing of this resolution and the conclusion of the next Annual General Meeting of the Company, except that the Company may at any time before such expiry make an offer or agreement which would or might require relevant securities to be allotted after such expiry and the Directors may allot relevant securities in pursuance of such an offer or agreement as if this authority had not expired</w:t>
      </w:r>
      <w:r w:rsidR="00F84517">
        <w:rPr>
          <w:sz w:val="22"/>
          <w:szCs w:val="22"/>
        </w:rPr>
        <w:t>.</w:t>
      </w:r>
    </w:p>
    <w:p w14:paraId="3242F548" w14:textId="016A834D" w:rsidR="008B34E0" w:rsidRPr="008B34E0" w:rsidRDefault="001B2514" w:rsidP="00BC1D99">
      <w:pPr>
        <w:spacing w:before="240"/>
        <w:jc w:val="both"/>
        <w:rPr>
          <w:rFonts w:cs="Arial"/>
          <w:sz w:val="22"/>
          <w:szCs w:val="22"/>
        </w:rPr>
      </w:pPr>
      <w:r>
        <w:rPr>
          <w:rFonts w:cs="Arial"/>
          <w:sz w:val="22"/>
          <w:szCs w:val="22"/>
        </w:rPr>
        <w:t>This information is provided in compliance with Listing Rule 9.6.2</w:t>
      </w:r>
    </w:p>
    <w:sectPr w:rsidR="008B34E0" w:rsidRPr="008B34E0" w:rsidSect="008E71C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81BA0" w14:textId="77777777" w:rsidR="00B25C3C" w:rsidRDefault="00B25C3C" w:rsidP="00D769C9">
      <w:r>
        <w:separator/>
      </w:r>
    </w:p>
  </w:endnote>
  <w:endnote w:type="continuationSeparator" w:id="0">
    <w:p w14:paraId="7A307DD0" w14:textId="77777777" w:rsidR="00B25C3C" w:rsidRDefault="00B25C3C" w:rsidP="00D7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0551"/>
      <w:docPartObj>
        <w:docPartGallery w:val="Page Numbers (Bottom of Page)"/>
        <w:docPartUnique/>
      </w:docPartObj>
    </w:sdtPr>
    <w:sdtEndPr/>
    <w:sdtContent>
      <w:sdt>
        <w:sdtPr>
          <w:id w:val="1728636285"/>
          <w:docPartObj>
            <w:docPartGallery w:val="Page Numbers (Top of Page)"/>
            <w:docPartUnique/>
          </w:docPartObj>
        </w:sdtPr>
        <w:sdtEndPr/>
        <w:sdtContent>
          <w:p w14:paraId="626FFEB9" w14:textId="7C87CB32" w:rsidR="00F56F4E" w:rsidRDefault="00F56F4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1E2A99" w14:textId="16820611" w:rsidR="00F56F4E" w:rsidRDefault="00F56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86618" w14:textId="77777777" w:rsidR="00B25C3C" w:rsidRDefault="00B25C3C" w:rsidP="00D769C9">
      <w:r>
        <w:separator/>
      </w:r>
    </w:p>
  </w:footnote>
  <w:footnote w:type="continuationSeparator" w:id="0">
    <w:p w14:paraId="13C250B2" w14:textId="77777777" w:rsidR="00B25C3C" w:rsidRDefault="00B25C3C" w:rsidP="00D7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25D8" w14:textId="23EDFB62" w:rsidR="0006408F" w:rsidRDefault="00F56F4E" w:rsidP="008E71CA">
    <w:pPr>
      <w:pStyle w:val="Header"/>
      <w:jc w:val="right"/>
    </w:pPr>
    <w:r>
      <w:rPr>
        <w:noProof/>
      </w:rPr>
      <w:drawing>
        <wp:anchor distT="0" distB="0" distL="114300" distR="114300" simplePos="0" relativeHeight="251659264" behindDoc="0" locked="0" layoutInCell="1" allowOverlap="1" wp14:anchorId="4F3928B6" wp14:editId="378D2751">
          <wp:simplePos x="0" y="0"/>
          <wp:positionH relativeFrom="margin">
            <wp:posOffset>3026004</wp:posOffset>
          </wp:positionH>
          <wp:positionV relativeFrom="margin">
            <wp:posOffset>-804748</wp:posOffset>
          </wp:positionV>
          <wp:extent cx="3448050" cy="12096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4A385" w14:textId="3B335240" w:rsidR="00D5158F" w:rsidRDefault="00D5158F" w:rsidP="008E71CA">
    <w:pPr>
      <w:pStyle w:val="Header"/>
      <w:jc w:val="right"/>
    </w:pPr>
  </w:p>
  <w:p w14:paraId="2C997DDA" w14:textId="0E9FCFA7" w:rsidR="0006408F" w:rsidRDefault="0006408F" w:rsidP="008E71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452" w:hanging="284"/>
      </w:pPr>
      <w:rPr>
        <w:rFonts w:ascii="Calibri" w:hAnsi="Calibri" w:cs="Calibri"/>
        <w:b w:val="0"/>
        <w:bCs w:val="0"/>
        <w:color w:val="231F20"/>
        <w:w w:val="118"/>
        <w:sz w:val="18"/>
        <w:szCs w:val="18"/>
      </w:rPr>
    </w:lvl>
    <w:lvl w:ilvl="1">
      <w:start w:val="1"/>
      <w:numFmt w:val="lowerRoman"/>
      <w:lvlText w:val="%2."/>
      <w:lvlJc w:val="left"/>
      <w:pPr>
        <w:ind w:left="735" w:hanging="284"/>
      </w:pPr>
      <w:rPr>
        <w:rFonts w:ascii="Calibri" w:hAnsi="Calibri" w:cs="Calibri"/>
        <w:b w:val="0"/>
        <w:bCs w:val="0"/>
        <w:color w:val="231F20"/>
        <w:w w:val="112"/>
        <w:sz w:val="18"/>
        <w:szCs w:val="18"/>
      </w:rPr>
    </w:lvl>
    <w:lvl w:ilvl="2">
      <w:numFmt w:val="bullet"/>
      <w:lvlText w:val="•"/>
      <w:lvlJc w:val="left"/>
      <w:pPr>
        <w:ind w:left="1798" w:hanging="284"/>
      </w:pPr>
    </w:lvl>
    <w:lvl w:ilvl="3">
      <w:numFmt w:val="bullet"/>
      <w:lvlText w:val="•"/>
      <w:lvlJc w:val="left"/>
      <w:pPr>
        <w:ind w:left="2856" w:hanging="284"/>
      </w:pPr>
    </w:lvl>
    <w:lvl w:ilvl="4">
      <w:numFmt w:val="bullet"/>
      <w:lvlText w:val="•"/>
      <w:lvlJc w:val="left"/>
      <w:pPr>
        <w:ind w:left="3914" w:hanging="284"/>
      </w:pPr>
    </w:lvl>
    <w:lvl w:ilvl="5">
      <w:numFmt w:val="bullet"/>
      <w:lvlText w:val="•"/>
      <w:lvlJc w:val="left"/>
      <w:pPr>
        <w:ind w:left="4972" w:hanging="284"/>
      </w:pPr>
    </w:lvl>
    <w:lvl w:ilvl="6">
      <w:numFmt w:val="bullet"/>
      <w:lvlText w:val="•"/>
      <w:lvlJc w:val="left"/>
      <w:pPr>
        <w:ind w:left="6030" w:hanging="284"/>
      </w:pPr>
    </w:lvl>
    <w:lvl w:ilvl="7">
      <w:numFmt w:val="bullet"/>
      <w:lvlText w:val="•"/>
      <w:lvlJc w:val="left"/>
      <w:pPr>
        <w:ind w:left="7088" w:hanging="284"/>
      </w:pPr>
    </w:lvl>
    <w:lvl w:ilvl="8">
      <w:numFmt w:val="bullet"/>
      <w:lvlText w:val="•"/>
      <w:lvlJc w:val="left"/>
      <w:pPr>
        <w:ind w:left="8146" w:hanging="284"/>
      </w:pPr>
    </w:lvl>
  </w:abstractNum>
  <w:abstractNum w:abstractNumId="1" w15:restartNumberingAfterBreak="0">
    <w:nsid w:val="100659F9"/>
    <w:multiLevelType w:val="hybridMultilevel"/>
    <w:tmpl w:val="3836DD50"/>
    <w:lvl w:ilvl="0" w:tplc="CDFAA9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84003"/>
    <w:multiLevelType w:val="hybridMultilevel"/>
    <w:tmpl w:val="0C9C0876"/>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D6A6D4F"/>
    <w:multiLevelType w:val="multilevel"/>
    <w:tmpl w:val="98101F06"/>
    <w:lvl w:ilvl="0">
      <w:start w:val="1"/>
      <w:numFmt w:val="decimal"/>
      <w:lvlText w:val="%1."/>
      <w:lvlJc w:val="left"/>
      <w:pPr>
        <w:ind w:left="284" w:hanging="284"/>
      </w:pPr>
      <w:rPr>
        <w:b w:val="0"/>
        <w:bCs w:val="0"/>
        <w:color w:val="231F20"/>
        <w:w w:val="118"/>
        <w:sz w:val="18"/>
        <w:szCs w:val="18"/>
      </w:rPr>
    </w:lvl>
    <w:lvl w:ilvl="1">
      <w:start w:val="1"/>
      <w:numFmt w:val="lowerRoman"/>
      <w:lvlText w:val="%2."/>
      <w:lvlJc w:val="left"/>
      <w:pPr>
        <w:ind w:left="567" w:hanging="284"/>
      </w:pPr>
      <w:rPr>
        <w:rFonts w:ascii="Calibri" w:hAnsi="Calibri" w:cs="Calibri"/>
        <w:b w:val="0"/>
        <w:bCs w:val="0"/>
        <w:color w:val="231F20"/>
        <w:w w:val="112"/>
        <w:sz w:val="18"/>
        <w:szCs w:val="18"/>
      </w:rPr>
    </w:lvl>
    <w:lvl w:ilvl="2">
      <w:numFmt w:val="bullet"/>
      <w:lvlText w:val="•"/>
      <w:lvlJc w:val="left"/>
      <w:pPr>
        <w:ind w:left="1630" w:hanging="284"/>
      </w:pPr>
    </w:lvl>
    <w:lvl w:ilvl="3">
      <w:numFmt w:val="bullet"/>
      <w:lvlText w:val="•"/>
      <w:lvlJc w:val="left"/>
      <w:pPr>
        <w:ind w:left="2688" w:hanging="284"/>
      </w:pPr>
    </w:lvl>
    <w:lvl w:ilvl="4">
      <w:numFmt w:val="bullet"/>
      <w:lvlText w:val="•"/>
      <w:lvlJc w:val="left"/>
      <w:pPr>
        <w:ind w:left="3746" w:hanging="284"/>
      </w:pPr>
    </w:lvl>
    <w:lvl w:ilvl="5">
      <w:numFmt w:val="bullet"/>
      <w:lvlText w:val="•"/>
      <w:lvlJc w:val="left"/>
      <w:pPr>
        <w:ind w:left="4804" w:hanging="284"/>
      </w:pPr>
    </w:lvl>
    <w:lvl w:ilvl="6">
      <w:numFmt w:val="bullet"/>
      <w:lvlText w:val="•"/>
      <w:lvlJc w:val="left"/>
      <w:pPr>
        <w:ind w:left="5862" w:hanging="284"/>
      </w:pPr>
    </w:lvl>
    <w:lvl w:ilvl="7">
      <w:numFmt w:val="bullet"/>
      <w:lvlText w:val="•"/>
      <w:lvlJc w:val="left"/>
      <w:pPr>
        <w:ind w:left="6920" w:hanging="284"/>
      </w:pPr>
    </w:lvl>
    <w:lvl w:ilvl="8">
      <w:numFmt w:val="bullet"/>
      <w:lvlText w:val="•"/>
      <w:lvlJc w:val="left"/>
      <w:pPr>
        <w:ind w:left="7978" w:hanging="284"/>
      </w:pPr>
    </w:lvl>
  </w:abstractNum>
  <w:abstractNum w:abstractNumId="4" w15:restartNumberingAfterBreak="0">
    <w:nsid w:val="37E454E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B7712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B4D3FD1"/>
    <w:multiLevelType w:val="multilevel"/>
    <w:tmpl w:val="68A4CAE4"/>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EC5524B"/>
    <w:multiLevelType w:val="hybridMultilevel"/>
    <w:tmpl w:val="1E3EB060"/>
    <w:lvl w:ilvl="0" w:tplc="30684A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345A20"/>
    <w:multiLevelType w:val="hybridMultilevel"/>
    <w:tmpl w:val="2F4E214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AA1E5A"/>
    <w:multiLevelType w:val="multilevel"/>
    <w:tmpl w:val="00000885"/>
    <w:lvl w:ilvl="0">
      <w:start w:val="1"/>
      <w:numFmt w:val="lowerLetter"/>
      <w:lvlText w:val="%1."/>
      <w:lvlJc w:val="left"/>
      <w:pPr>
        <w:ind w:left="452" w:hanging="284"/>
      </w:pPr>
      <w:rPr>
        <w:rFonts w:ascii="Calibri" w:hAnsi="Calibri" w:cs="Calibri"/>
        <w:b w:val="0"/>
        <w:bCs w:val="0"/>
        <w:color w:val="231F20"/>
        <w:w w:val="118"/>
        <w:sz w:val="18"/>
        <w:szCs w:val="18"/>
      </w:rPr>
    </w:lvl>
    <w:lvl w:ilvl="1">
      <w:start w:val="1"/>
      <w:numFmt w:val="lowerRoman"/>
      <w:lvlText w:val="%2."/>
      <w:lvlJc w:val="left"/>
      <w:pPr>
        <w:ind w:left="735" w:hanging="284"/>
      </w:pPr>
      <w:rPr>
        <w:rFonts w:ascii="Calibri" w:hAnsi="Calibri" w:cs="Calibri"/>
        <w:b w:val="0"/>
        <w:bCs w:val="0"/>
        <w:color w:val="231F20"/>
        <w:w w:val="112"/>
        <w:sz w:val="18"/>
        <w:szCs w:val="18"/>
      </w:rPr>
    </w:lvl>
    <w:lvl w:ilvl="2">
      <w:numFmt w:val="bullet"/>
      <w:lvlText w:val="•"/>
      <w:lvlJc w:val="left"/>
      <w:pPr>
        <w:ind w:left="1798" w:hanging="284"/>
      </w:pPr>
    </w:lvl>
    <w:lvl w:ilvl="3">
      <w:numFmt w:val="bullet"/>
      <w:lvlText w:val="•"/>
      <w:lvlJc w:val="left"/>
      <w:pPr>
        <w:ind w:left="2856" w:hanging="284"/>
      </w:pPr>
    </w:lvl>
    <w:lvl w:ilvl="4">
      <w:numFmt w:val="bullet"/>
      <w:lvlText w:val="•"/>
      <w:lvlJc w:val="left"/>
      <w:pPr>
        <w:ind w:left="3914" w:hanging="284"/>
      </w:pPr>
    </w:lvl>
    <w:lvl w:ilvl="5">
      <w:numFmt w:val="bullet"/>
      <w:lvlText w:val="•"/>
      <w:lvlJc w:val="left"/>
      <w:pPr>
        <w:ind w:left="4972" w:hanging="284"/>
      </w:pPr>
    </w:lvl>
    <w:lvl w:ilvl="6">
      <w:numFmt w:val="bullet"/>
      <w:lvlText w:val="•"/>
      <w:lvlJc w:val="left"/>
      <w:pPr>
        <w:ind w:left="6030" w:hanging="284"/>
      </w:pPr>
    </w:lvl>
    <w:lvl w:ilvl="7">
      <w:numFmt w:val="bullet"/>
      <w:lvlText w:val="•"/>
      <w:lvlJc w:val="left"/>
      <w:pPr>
        <w:ind w:left="7088" w:hanging="284"/>
      </w:pPr>
    </w:lvl>
    <w:lvl w:ilvl="8">
      <w:numFmt w:val="bullet"/>
      <w:lvlText w:val="•"/>
      <w:lvlJc w:val="left"/>
      <w:pPr>
        <w:ind w:left="8146" w:hanging="284"/>
      </w:pPr>
    </w:lvl>
  </w:abstractNum>
  <w:abstractNum w:abstractNumId="10" w15:restartNumberingAfterBreak="0">
    <w:nsid w:val="647930D7"/>
    <w:multiLevelType w:val="hybridMultilevel"/>
    <w:tmpl w:val="5AEA56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2120319">
    <w:abstractNumId w:val="8"/>
  </w:num>
  <w:num w:numId="2" w16cid:durableId="898320162">
    <w:abstractNumId w:val="10"/>
  </w:num>
  <w:num w:numId="3" w16cid:durableId="2031637521">
    <w:abstractNumId w:val="2"/>
  </w:num>
  <w:num w:numId="4" w16cid:durableId="446856571">
    <w:abstractNumId w:val="1"/>
  </w:num>
  <w:num w:numId="5" w16cid:durableId="799766149">
    <w:abstractNumId w:val="5"/>
  </w:num>
  <w:num w:numId="6" w16cid:durableId="1422336783">
    <w:abstractNumId w:val="0"/>
  </w:num>
  <w:num w:numId="7" w16cid:durableId="1306203450">
    <w:abstractNumId w:val="9"/>
  </w:num>
  <w:num w:numId="8" w16cid:durableId="287904977">
    <w:abstractNumId w:val="3"/>
  </w:num>
  <w:num w:numId="9" w16cid:durableId="1862090904">
    <w:abstractNumId w:val="4"/>
  </w:num>
  <w:num w:numId="10" w16cid:durableId="1090926959">
    <w:abstractNumId w:val="7"/>
  </w:num>
  <w:num w:numId="11" w16cid:durableId="533465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576"/>
    <w:rsid w:val="0001452A"/>
    <w:rsid w:val="0004551A"/>
    <w:rsid w:val="000609EB"/>
    <w:rsid w:val="0006408F"/>
    <w:rsid w:val="00071C25"/>
    <w:rsid w:val="001144A4"/>
    <w:rsid w:val="001406FC"/>
    <w:rsid w:val="0015484E"/>
    <w:rsid w:val="001B2514"/>
    <w:rsid w:val="001F0576"/>
    <w:rsid w:val="00242EA9"/>
    <w:rsid w:val="002C4410"/>
    <w:rsid w:val="00352C27"/>
    <w:rsid w:val="003F2EC8"/>
    <w:rsid w:val="0050012C"/>
    <w:rsid w:val="00502E86"/>
    <w:rsid w:val="0067572C"/>
    <w:rsid w:val="00690ED0"/>
    <w:rsid w:val="00691FFC"/>
    <w:rsid w:val="006A623E"/>
    <w:rsid w:val="006C7444"/>
    <w:rsid w:val="007B5192"/>
    <w:rsid w:val="008B34E0"/>
    <w:rsid w:val="008C24C4"/>
    <w:rsid w:val="008E71CA"/>
    <w:rsid w:val="00922EC9"/>
    <w:rsid w:val="00956A70"/>
    <w:rsid w:val="00B25C3C"/>
    <w:rsid w:val="00B95E54"/>
    <w:rsid w:val="00BB3C90"/>
    <w:rsid w:val="00BC1D99"/>
    <w:rsid w:val="00BD57BD"/>
    <w:rsid w:val="00CD0C3C"/>
    <w:rsid w:val="00D01264"/>
    <w:rsid w:val="00D138B7"/>
    <w:rsid w:val="00D209B3"/>
    <w:rsid w:val="00D5158F"/>
    <w:rsid w:val="00D769C9"/>
    <w:rsid w:val="00E2182C"/>
    <w:rsid w:val="00F56F4E"/>
    <w:rsid w:val="00F84517"/>
    <w:rsid w:val="00FC6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F5168"/>
  <w15:chartTrackingRefBased/>
  <w15:docId w15:val="{DA41D22A-4E06-447F-82A3-E73D60A8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76"/>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0576"/>
    <w:pPr>
      <w:ind w:left="720"/>
      <w:contextualSpacing/>
    </w:pPr>
  </w:style>
  <w:style w:type="paragraph" w:styleId="BodyText">
    <w:name w:val="Body Text"/>
    <w:basedOn w:val="Normal"/>
    <w:link w:val="BodyTextChar"/>
    <w:uiPriority w:val="1"/>
    <w:qFormat/>
    <w:rsid w:val="002C4410"/>
    <w:pPr>
      <w:autoSpaceDE w:val="0"/>
      <w:autoSpaceDN w:val="0"/>
      <w:adjustRightInd w:val="0"/>
      <w:ind w:left="452"/>
    </w:pPr>
    <w:rPr>
      <w:rFonts w:ascii="Calibri" w:eastAsiaTheme="minorHAnsi" w:hAnsi="Calibri" w:cs="Calibri"/>
      <w:sz w:val="18"/>
      <w:szCs w:val="18"/>
      <w:lang w:eastAsia="en-US"/>
    </w:rPr>
  </w:style>
  <w:style w:type="character" w:customStyle="1" w:styleId="BodyTextChar">
    <w:name w:val="Body Text Char"/>
    <w:basedOn w:val="DefaultParagraphFont"/>
    <w:link w:val="BodyText"/>
    <w:uiPriority w:val="1"/>
    <w:rsid w:val="002C4410"/>
    <w:rPr>
      <w:rFonts w:ascii="Calibri" w:hAnsi="Calibri" w:cs="Calibri"/>
      <w:sz w:val="18"/>
      <w:szCs w:val="18"/>
    </w:rPr>
  </w:style>
  <w:style w:type="paragraph" w:styleId="Header">
    <w:name w:val="header"/>
    <w:basedOn w:val="Normal"/>
    <w:link w:val="HeaderChar"/>
    <w:uiPriority w:val="99"/>
    <w:unhideWhenUsed/>
    <w:rsid w:val="00D769C9"/>
    <w:pPr>
      <w:tabs>
        <w:tab w:val="center" w:pos="4513"/>
        <w:tab w:val="right" w:pos="9026"/>
      </w:tabs>
    </w:pPr>
  </w:style>
  <w:style w:type="character" w:customStyle="1" w:styleId="HeaderChar">
    <w:name w:val="Header Char"/>
    <w:basedOn w:val="DefaultParagraphFont"/>
    <w:link w:val="Header"/>
    <w:uiPriority w:val="99"/>
    <w:rsid w:val="00D769C9"/>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D769C9"/>
    <w:pPr>
      <w:tabs>
        <w:tab w:val="center" w:pos="4513"/>
        <w:tab w:val="right" w:pos="9026"/>
      </w:tabs>
    </w:pPr>
  </w:style>
  <w:style w:type="character" w:customStyle="1" w:styleId="FooterChar">
    <w:name w:val="Footer Char"/>
    <w:basedOn w:val="DefaultParagraphFont"/>
    <w:link w:val="Footer"/>
    <w:uiPriority w:val="99"/>
    <w:rsid w:val="00D769C9"/>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956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A70"/>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Topps Tiles Plc</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Hodder</dc:creator>
  <cp:keywords/>
  <dc:description/>
  <cp:lastModifiedBy>Richard Cole</cp:lastModifiedBy>
  <cp:revision>4</cp:revision>
  <cp:lastPrinted>2022-01-26T13:36:00Z</cp:lastPrinted>
  <dcterms:created xsi:type="dcterms:W3CDTF">2023-01-18T10:59:00Z</dcterms:created>
  <dcterms:modified xsi:type="dcterms:W3CDTF">2023-01-18T11:12:00Z</dcterms:modified>
</cp:coreProperties>
</file>