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005D" w14:textId="5F556D63" w:rsidR="00280CBF" w:rsidRPr="00280CBF" w:rsidRDefault="00280CBF" w:rsidP="00280CBF">
      <w:r w:rsidRPr="00280CBF">
        <w:t>1</w:t>
      </w:r>
      <w:r w:rsidR="00186D43">
        <w:t>5</w:t>
      </w:r>
      <w:r w:rsidRPr="00280CBF">
        <w:t xml:space="preserve"> January 202</w:t>
      </w:r>
      <w:r w:rsidR="00186D43">
        <w:t>5</w:t>
      </w:r>
    </w:p>
    <w:p w14:paraId="5DC7B026" w14:textId="77777777" w:rsidR="00280CBF" w:rsidRPr="00280CBF" w:rsidRDefault="00280CBF" w:rsidP="00280CBF">
      <w:r w:rsidRPr="00280CBF">
        <w:t> </w:t>
      </w:r>
    </w:p>
    <w:p w14:paraId="106858AD" w14:textId="77777777" w:rsidR="00280CBF" w:rsidRPr="00ED09E5" w:rsidRDefault="00280CBF" w:rsidP="00280CBF">
      <w:pPr>
        <w:rPr>
          <w:b/>
          <w:bCs/>
          <w:sz w:val="28"/>
          <w:szCs w:val="28"/>
        </w:rPr>
      </w:pPr>
      <w:r w:rsidRPr="00ED09E5">
        <w:rPr>
          <w:b/>
          <w:bCs/>
          <w:sz w:val="28"/>
          <w:szCs w:val="28"/>
        </w:rPr>
        <w:t>Topps Tiles Plc</w:t>
      </w:r>
    </w:p>
    <w:p w14:paraId="0E1EA6CA" w14:textId="77777777" w:rsidR="00280CBF" w:rsidRPr="00ED09E5" w:rsidRDefault="00280CBF" w:rsidP="00280CBF">
      <w:pPr>
        <w:rPr>
          <w:b/>
          <w:bCs/>
          <w:sz w:val="28"/>
          <w:szCs w:val="28"/>
        </w:rPr>
      </w:pPr>
      <w:r w:rsidRPr="00ED09E5">
        <w:rPr>
          <w:b/>
          <w:bCs/>
        </w:rPr>
        <w:t> </w:t>
      </w:r>
    </w:p>
    <w:p w14:paraId="48F140DD" w14:textId="77777777" w:rsidR="00280CBF" w:rsidRDefault="00280CBF" w:rsidP="00280CBF">
      <w:pPr>
        <w:rPr>
          <w:b/>
          <w:bCs/>
          <w:sz w:val="28"/>
          <w:szCs w:val="28"/>
        </w:rPr>
      </w:pPr>
      <w:r w:rsidRPr="00ED09E5">
        <w:rPr>
          <w:b/>
          <w:bCs/>
          <w:sz w:val="28"/>
          <w:szCs w:val="28"/>
        </w:rPr>
        <w:t>Result of AGM</w:t>
      </w:r>
    </w:p>
    <w:p w14:paraId="2942348B" w14:textId="77777777" w:rsidR="00ED09E5" w:rsidRPr="00ED09E5" w:rsidRDefault="00ED09E5" w:rsidP="00280CBF">
      <w:pPr>
        <w:rPr>
          <w:b/>
          <w:bCs/>
          <w:sz w:val="28"/>
          <w:szCs w:val="28"/>
        </w:rPr>
      </w:pPr>
    </w:p>
    <w:p w14:paraId="7260AB0D" w14:textId="2D7779C2" w:rsidR="00635F9B" w:rsidRDefault="00280CBF" w:rsidP="00280CBF">
      <w:r w:rsidRPr="00280CBF">
        <w:t>Topps Tiles Plc (the "</w:t>
      </w:r>
      <w:r w:rsidRPr="00280CBF">
        <w:rPr>
          <w:b/>
          <w:bCs/>
        </w:rPr>
        <w:t>Company</w:t>
      </w:r>
      <w:r w:rsidRPr="00280CBF">
        <w:t>"), the UK's leading tile specialist, announces that at its Annual General Meeting (the "</w:t>
      </w:r>
      <w:r w:rsidRPr="00280CBF">
        <w:rPr>
          <w:b/>
          <w:bCs/>
        </w:rPr>
        <w:t>AGM</w:t>
      </w:r>
      <w:r w:rsidRPr="00280CBF">
        <w:t xml:space="preserve">") held earlier today, all of the </w:t>
      </w:r>
      <w:r w:rsidR="00241CE2">
        <w:t>R</w:t>
      </w:r>
      <w:r w:rsidRPr="00280CBF">
        <w:t>esolutions</w:t>
      </w:r>
      <w:r w:rsidR="00983924">
        <w:t xml:space="preserve"> </w:t>
      </w:r>
      <w:r w:rsidRPr="00280CBF">
        <w:t>proposed</w:t>
      </w:r>
      <w:r w:rsidR="00635F9B">
        <w:t xml:space="preserve"> (1 -1</w:t>
      </w:r>
      <w:r w:rsidR="00186D43">
        <w:t>3</w:t>
      </w:r>
      <w:r w:rsidR="00635F9B">
        <w:t>)</w:t>
      </w:r>
      <w:r w:rsidR="00DE7B38">
        <w:t>,</w:t>
      </w:r>
      <w:r w:rsidRPr="00280CBF">
        <w:t xml:space="preserve"> were duly passed by the requisite majority on a poll.</w:t>
      </w:r>
    </w:p>
    <w:p w14:paraId="6A5241F0" w14:textId="34420E51" w:rsidR="00280CBF" w:rsidRPr="00280CBF" w:rsidRDefault="00280CBF" w:rsidP="00280CBF">
      <w:r w:rsidRPr="00280CBF">
        <w:t>The full text of each resolution is contained in the 202</w:t>
      </w:r>
      <w:r w:rsidR="00186D43">
        <w:t>5</w:t>
      </w:r>
      <w:r w:rsidRPr="00280CBF">
        <w:t xml:space="preserve"> Notice of AGM which is available on the Company's website </w:t>
      </w:r>
      <w:r w:rsidR="00DE7B38">
        <w:rPr>
          <w:b/>
          <w:bCs/>
        </w:rPr>
        <w:t>www.toppsgroup.com.</w:t>
      </w:r>
      <w:r w:rsidR="00DE7B38" w:rsidRPr="00280CBF">
        <w:t xml:space="preserve"> </w:t>
      </w:r>
    </w:p>
    <w:p w14:paraId="70B8845A" w14:textId="77777777" w:rsidR="00280CBF" w:rsidRPr="00280CBF" w:rsidRDefault="00280CBF" w:rsidP="00280CBF">
      <w:r w:rsidRPr="00280CBF">
        <w:t> </w:t>
      </w:r>
    </w:p>
    <w:p w14:paraId="71BA6DAC" w14:textId="1391C58C" w:rsidR="00280CBF" w:rsidRPr="00280CBF" w:rsidRDefault="00280CBF" w:rsidP="00280CBF">
      <w:r w:rsidRPr="00280CBF">
        <w:t xml:space="preserve">The following table shows the total number of votes cast for each </w:t>
      </w:r>
      <w:r w:rsidR="00257435">
        <w:t>R</w:t>
      </w:r>
      <w:r w:rsidRPr="00280CBF">
        <w:t>esolution:</w:t>
      </w:r>
    </w:p>
    <w:p w14:paraId="26135F83" w14:textId="6E501D22" w:rsidR="009F14AA" w:rsidRDefault="009F14AA" w:rsidP="00280CBF">
      <w:pPr>
        <w:rPr>
          <w:noProof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7"/>
        <w:gridCol w:w="2443"/>
        <w:gridCol w:w="1106"/>
        <w:gridCol w:w="617"/>
        <w:gridCol w:w="1017"/>
        <w:gridCol w:w="617"/>
        <w:gridCol w:w="1106"/>
        <w:gridCol w:w="617"/>
        <w:gridCol w:w="1488"/>
      </w:tblGrid>
      <w:tr w:rsidR="000D4162" w:rsidRPr="0051267A" w14:paraId="3DFC5E29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4E06C4DE" w14:textId="77777777" w:rsidR="0051267A" w:rsidRPr="0051267A" w:rsidRDefault="0051267A" w:rsidP="0051267A">
            <w:pPr>
              <w:rPr>
                <w:b/>
                <w:bCs/>
                <w:noProof/>
              </w:rPr>
            </w:pPr>
            <w:r w:rsidRPr="0051267A">
              <w:rPr>
                <w:b/>
                <w:bCs/>
                <w:noProof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74BB649E" w14:textId="77777777" w:rsidR="0051267A" w:rsidRPr="0051267A" w:rsidRDefault="0051267A" w:rsidP="0051267A">
            <w:pPr>
              <w:rPr>
                <w:b/>
                <w:bCs/>
                <w:noProof/>
              </w:rPr>
            </w:pPr>
            <w:r w:rsidRPr="0051267A">
              <w:rPr>
                <w:b/>
                <w:bCs/>
                <w:noProof/>
              </w:rPr>
              <w:t>Resolution</w:t>
            </w:r>
          </w:p>
        </w:tc>
        <w:tc>
          <w:tcPr>
            <w:tcW w:w="1109" w:type="dxa"/>
            <w:gridSpan w:val="2"/>
            <w:noWrap/>
            <w:hideMark/>
          </w:tcPr>
          <w:p w14:paraId="540FF7C9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VOTES FOR</w:t>
            </w:r>
          </w:p>
        </w:tc>
        <w:tc>
          <w:tcPr>
            <w:tcW w:w="1634" w:type="dxa"/>
            <w:gridSpan w:val="2"/>
            <w:noWrap/>
            <w:hideMark/>
          </w:tcPr>
          <w:p w14:paraId="03A1B390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VOTES AGAINST</w:t>
            </w:r>
          </w:p>
        </w:tc>
        <w:tc>
          <w:tcPr>
            <w:tcW w:w="1723" w:type="dxa"/>
            <w:gridSpan w:val="2"/>
            <w:noWrap/>
            <w:hideMark/>
          </w:tcPr>
          <w:p w14:paraId="6D72511C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VOTES TOTAL</w:t>
            </w:r>
          </w:p>
        </w:tc>
        <w:tc>
          <w:tcPr>
            <w:tcW w:w="1488" w:type="dxa"/>
            <w:noWrap/>
            <w:hideMark/>
          </w:tcPr>
          <w:p w14:paraId="559E890B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WITHHELD</w:t>
            </w:r>
          </w:p>
        </w:tc>
      </w:tr>
      <w:tr w:rsidR="000D4162" w:rsidRPr="0051267A" w14:paraId="35DB0078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15B52BB4" w14:textId="77777777" w:rsidR="0051267A" w:rsidRPr="0051267A" w:rsidRDefault="0051267A" w:rsidP="0051267A">
            <w:pPr>
              <w:rPr>
                <w:b/>
                <w:bCs/>
                <w:noProof/>
              </w:rPr>
            </w:pPr>
            <w:r w:rsidRPr="0051267A">
              <w:rPr>
                <w:b/>
                <w:bCs/>
                <w:noProof/>
              </w:rPr>
              <w:t> </w:t>
            </w:r>
          </w:p>
        </w:tc>
        <w:tc>
          <w:tcPr>
            <w:tcW w:w="2443" w:type="dxa"/>
            <w:noWrap/>
            <w:hideMark/>
          </w:tcPr>
          <w:p w14:paraId="625A65F1" w14:textId="77777777" w:rsidR="0051267A" w:rsidRPr="0051267A" w:rsidRDefault="0051267A" w:rsidP="0051267A">
            <w:pPr>
              <w:rPr>
                <w:b/>
                <w:bCs/>
                <w:noProof/>
              </w:rPr>
            </w:pPr>
            <w:r w:rsidRPr="0051267A">
              <w:rPr>
                <w:b/>
                <w:bCs/>
                <w:noProof/>
              </w:rPr>
              <w:t> </w:t>
            </w:r>
          </w:p>
        </w:tc>
        <w:tc>
          <w:tcPr>
            <w:tcW w:w="492" w:type="dxa"/>
            <w:noWrap/>
            <w:hideMark/>
          </w:tcPr>
          <w:p w14:paraId="4105A851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Number of votes</w:t>
            </w:r>
          </w:p>
        </w:tc>
        <w:tc>
          <w:tcPr>
            <w:tcW w:w="617" w:type="dxa"/>
            <w:noWrap/>
            <w:hideMark/>
          </w:tcPr>
          <w:p w14:paraId="1116F622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1017" w:type="dxa"/>
            <w:noWrap/>
            <w:hideMark/>
          </w:tcPr>
          <w:p w14:paraId="38ED2D80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Number of votes</w:t>
            </w:r>
          </w:p>
        </w:tc>
        <w:tc>
          <w:tcPr>
            <w:tcW w:w="617" w:type="dxa"/>
            <w:noWrap/>
            <w:hideMark/>
          </w:tcPr>
          <w:p w14:paraId="7DF75559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1106" w:type="dxa"/>
            <w:noWrap/>
            <w:hideMark/>
          </w:tcPr>
          <w:p w14:paraId="14922CF9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Number of votes</w:t>
            </w:r>
          </w:p>
        </w:tc>
        <w:tc>
          <w:tcPr>
            <w:tcW w:w="617" w:type="dxa"/>
            <w:noWrap/>
            <w:hideMark/>
          </w:tcPr>
          <w:p w14:paraId="46D406D3" w14:textId="77777777" w:rsidR="0051267A" w:rsidRPr="00D37998" w:rsidRDefault="0051267A" w:rsidP="0051267A">
            <w:pPr>
              <w:rPr>
                <w:b/>
                <w:bCs/>
                <w:noProof/>
                <w:sz w:val="20"/>
                <w:szCs w:val="20"/>
              </w:rPr>
            </w:pPr>
            <w:r w:rsidRPr="00D37998">
              <w:rPr>
                <w:b/>
                <w:bCs/>
                <w:noProof/>
                <w:sz w:val="20"/>
                <w:szCs w:val="20"/>
              </w:rPr>
              <w:t>% of ISC</w:t>
            </w:r>
          </w:p>
        </w:tc>
        <w:tc>
          <w:tcPr>
            <w:tcW w:w="1488" w:type="dxa"/>
            <w:noWrap/>
            <w:hideMark/>
          </w:tcPr>
          <w:p w14:paraId="69830432" w14:textId="6244F417" w:rsidR="00D37998" w:rsidRDefault="00D37998" w:rsidP="0051267A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Number of </w:t>
            </w:r>
          </w:p>
          <w:p w14:paraId="4F16B999" w14:textId="4A243145" w:rsidR="0051267A" w:rsidRPr="00D37998" w:rsidRDefault="00D37998" w:rsidP="0051267A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votes</w:t>
            </w:r>
          </w:p>
        </w:tc>
      </w:tr>
      <w:tr w:rsidR="000D4162" w:rsidRPr="005B6E56" w14:paraId="2D6F4C83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2DADC5ED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2443" w:type="dxa"/>
            <w:noWrap/>
            <w:hideMark/>
          </w:tcPr>
          <w:p w14:paraId="7E8ECFC3" w14:textId="77777777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Approval of the Company’s annual report and accounts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4A9" w14:textId="7EC73FE9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90,056,746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44F1" w14:textId="7A25DB4C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99.98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D1AD" w14:textId="3D9B0BB3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17,034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B10" w14:textId="007BE82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043" w14:textId="66AC98CF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90,073,780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9FF2" w14:textId="3C819BA2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45.80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FD4D" w14:textId="67F35F55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58,569,649 </w:t>
            </w:r>
          </w:p>
        </w:tc>
      </w:tr>
      <w:tr w:rsidR="000D4162" w:rsidRPr="005B6E56" w14:paraId="53E8B812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21D719C1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2443" w:type="dxa"/>
            <w:noWrap/>
            <w:hideMark/>
          </w:tcPr>
          <w:p w14:paraId="5403C49F" w14:textId="77777777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Declaration of a final dividend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ADA" w14:textId="73EF9FD8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148,626,895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5708" w14:textId="195AFE34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5F2" w14:textId="4708761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16,534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7F1" w14:textId="40CFD71A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6C6" w14:textId="404E128A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148,643,429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FC0B" w14:textId="533C63B4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46A" w14:textId="45B265AC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0   </w:t>
            </w:r>
          </w:p>
        </w:tc>
      </w:tr>
      <w:tr w:rsidR="000D4162" w:rsidRPr="005B6E56" w14:paraId="658F2DDF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21EA61E8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2443" w:type="dxa"/>
            <w:noWrap/>
            <w:hideMark/>
          </w:tcPr>
          <w:p w14:paraId="37BAD32E" w14:textId="77777777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Approval of the directors’ remuneration report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3A5" w14:textId="00959CE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89,902,727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A2CD" w14:textId="52D6D3A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60.49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5B7" w14:textId="484D4A0E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58,723,165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F0A" w14:textId="2B4CEA93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39.51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A05E" w14:textId="31CB8A72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148,625,892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1D4" w14:textId="4EC9BFAA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7E41" w14:textId="078225B5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17,537 </w:t>
            </w:r>
          </w:p>
        </w:tc>
      </w:tr>
      <w:tr w:rsidR="000D4162" w:rsidRPr="005B6E56" w14:paraId="46A7F484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40DFAEEF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2443" w:type="dxa"/>
            <w:noWrap/>
            <w:hideMark/>
          </w:tcPr>
          <w:p w14:paraId="6046E861" w14:textId="66FC8A72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Election of Denise Jagger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BE1D" w14:textId="37309E2B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148,596,299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F18" w14:textId="16828171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3CF" w14:textId="6AD844BE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26,355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C67E" w14:textId="3D4F6E72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B5C1" w14:textId="694C30C4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148,622,654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68C1" w14:textId="2CCABD58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46E" w14:textId="72840E5E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20,775 </w:t>
            </w:r>
          </w:p>
        </w:tc>
      </w:tr>
      <w:tr w:rsidR="000D4162" w:rsidRPr="005B6E56" w14:paraId="7CD67ECB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345C3CA7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2443" w:type="dxa"/>
            <w:noWrap/>
            <w:hideMark/>
          </w:tcPr>
          <w:p w14:paraId="518F9E32" w14:textId="6201F85C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Election of Martin Payne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C19A" w14:textId="7D6716C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148,565,119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7D3" w14:textId="27AC826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368" w14:textId="477CEC6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56,035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35B" w14:textId="5ABA6F5F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63A" w14:textId="6EDBCF6D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148,621,154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2371" w14:textId="78CE919D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6DC1" w14:textId="19D8353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22,275 </w:t>
            </w:r>
          </w:p>
        </w:tc>
      </w:tr>
      <w:tr w:rsidR="000D4162" w:rsidRPr="005B6E56" w14:paraId="55349C99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4BCB3159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443" w:type="dxa"/>
            <w:noWrap/>
            <w:hideMark/>
          </w:tcPr>
          <w:p w14:paraId="4D310A0F" w14:textId="55A723E4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Re-election of Paul Forman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C69" w14:textId="0F6A59CC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88,357,627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59D" w14:textId="1BD0DBDB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98.23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06A" w14:textId="6B8AB273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1,591,412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4709" w14:textId="7C942773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469" w14:textId="125FC10A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89,949,039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5634" w14:textId="27B51A2A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45.73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C5C" w14:textId="2237351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58,694,390 </w:t>
            </w:r>
          </w:p>
        </w:tc>
      </w:tr>
      <w:tr w:rsidR="000D4162" w:rsidRPr="005B6E56" w14:paraId="69AA8968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5E6877FD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2443" w:type="dxa"/>
            <w:noWrap/>
            <w:hideMark/>
          </w:tcPr>
          <w:p w14:paraId="68D02004" w14:textId="64E26388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Re-election of Robert Parker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401" w14:textId="2C51077D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89,893,498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914" w14:textId="368F1FE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60.48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F62" w14:textId="778C019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58,731,652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1149" w14:textId="7A85DD9F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39.52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737" w14:textId="118BA41E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148,625,150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D93" w14:textId="69B986E9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D03" w14:textId="4CB9989A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18,279 </w:t>
            </w:r>
          </w:p>
        </w:tc>
      </w:tr>
      <w:tr w:rsidR="000D4162" w:rsidRPr="005B6E56" w14:paraId="5B44A1D4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4E665B95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2443" w:type="dxa"/>
            <w:noWrap/>
            <w:hideMark/>
          </w:tcPr>
          <w:p w14:paraId="47D4462F" w14:textId="1A266B1C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Re-election of Stephen Hopson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7DC" w14:textId="389DC12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148,458,889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6425" w14:textId="2BC69A82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563" w14:textId="78428DB4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166,261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78E" w14:textId="09897CD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C17" w14:textId="26CDFC01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148,625,150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E678" w14:textId="0D7987B1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3AB" w14:textId="4418889C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18,279 </w:t>
            </w:r>
          </w:p>
        </w:tc>
      </w:tr>
      <w:tr w:rsidR="000D4162" w:rsidRPr="005B6E56" w14:paraId="391CD0F3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73013062" w14:textId="7777777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2443" w:type="dxa"/>
            <w:noWrap/>
            <w:hideMark/>
          </w:tcPr>
          <w:p w14:paraId="0FAA0ECC" w14:textId="43EB893B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Re-election of Diana Breeze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0DE" w14:textId="6650553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89,201,659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B670" w14:textId="7D2247A9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60.02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C98" w14:textId="2432A985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59,424,991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1E" w14:textId="5C782DFF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39.98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5AF5" w14:textId="3B685E0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148,626,650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204C" w14:textId="0A574C20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05C2" w14:textId="2C012428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16,779 </w:t>
            </w:r>
          </w:p>
        </w:tc>
      </w:tr>
      <w:tr w:rsidR="000D4162" w:rsidRPr="005B6E56" w14:paraId="6130CD65" w14:textId="77777777" w:rsidTr="000D4162">
        <w:trPr>
          <w:trHeight w:val="300"/>
        </w:trPr>
        <w:tc>
          <w:tcPr>
            <w:tcW w:w="387" w:type="dxa"/>
            <w:noWrap/>
          </w:tcPr>
          <w:p w14:paraId="2753FE85" w14:textId="65B9AFF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2443" w:type="dxa"/>
            <w:noWrap/>
          </w:tcPr>
          <w:p w14:paraId="5C57F20E" w14:textId="214ECE9C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Re-election of Kari Daniels as a director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F6B4" w14:textId="4F84ECBC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147,763,308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1548" w14:textId="272427D1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4659" w14:textId="37D50F1A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863,342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79FB" w14:textId="1BA678E2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6E1F" w14:textId="3BFD7911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148,626,650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703B" w14:textId="52100B4A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6087" w14:textId="08BA6DA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16,779 </w:t>
            </w:r>
          </w:p>
        </w:tc>
      </w:tr>
      <w:tr w:rsidR="000D4162" w:rsidRPr="005B6E56" w14:paraId="22A1B839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2188BC4B" w14:textId="5B9A89E2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2443" w:type="dxa"/>
            <w:noWrap/>
            <w:hideMark/>
          </w:tcPr>
          <w:p w14:paraId="15AC3DB3" w14:textId="207C0D3E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Re-appointment of Forvis Mazars LLP as auditor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533" w14:textId="3DA688AB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148,615,395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FB6" w14:textId="3118357F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5DA" w14:textId="7D566E0C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24,534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088" w14:textId="4AA0F36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E0F" w14:textId="6D3E703A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148,639,929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0851" w14:textId="4C8E0168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0796" w14:textId="280E4055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3,500 </w:t>
            </w:r>
          </w:p>
        </w:tc>
      </w:tr>
      <w:tr w:rsidR="000D4162" w:rsidRPr="005B6E56" w14:paraId="1CF396CE" w14:textId="77777777" w:rsidTr="000D4162">
        <w:trPr>
          <w:trHeight w:val="300"/>
        </w:trPr>
        <w:tc>
          <w:tcPr>
            <w:tcW w:w="387" w:type="dxa"/>
            <w:noWrap/>
            <w:hideMark/>
          </w:tcPr>
          <w:p w14:paraId="3125150F" w14:textId="26B0E57F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2443" w:type="dxa"/>
            <w:noWrap/>
            <w:hideMark/>
          </w:tcPr>
          <w:p w14:paraId="76A5BCAF" w14:textId="77777777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Authorisation of the auditor’s remuneration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66A" w14:textId="1403C515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148,609,620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FA1" w14:textId="08C9284D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99.99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547" w14:textId="46F062A4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16,534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AB4" w14:textId="281BB95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C0EC" w14:textId="4F2E2337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148,626,154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0D28" w14:textId="7ED8BF5B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ED4" w14:textId="1B045602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17,275 </w:t>
            </w:r>
          </w:p>
        </w:tc>
      </w:tr>
      <w:tr w:rsidR="000D4162" w:rsidRPr="005B6E56" w14:paraId="55E98E2B" w14:textId="77777777" w:rsidTr="000D4162">
        <w:trPr>
          <w:trHeight w:val="255"/>
        </w:trPr>
        <w:tc>
          <w:tcPr>
            <w:tcW w:w="387" w:type="dxa"/>
            <w:noWrap/>
            <w:hideMark/>
          </w:tcPr>
          <w:p w14:paraId="47ED23DE" w14:textId="05CB9660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2443" w:type="dxa"/>
            <w:noWrap/>
            <w:hideMark/>
          </w:tcPr>
          <w:p w14:paraId="6F85DCFA" w14:textId="77777777" w:rsidR="00D37998" w:rsidRPr="000D4162" w:rsidRDefault="00D37998" w:rsidP="00D37998">
            <w:pPr>
              <w:rPr>
                <w:noProof/>
                <w:sz w:val="20"/>
                <w:szCs w:val="20"/>
              </w:rPr>
            </w:pPr>
            <w:r w:rsidRPr="000D4162">
              <w:rPr>
                <w:noProof/>
                <w:sz w:val="20"/>
                <w:szCs w:val="20"/>
              </w:rPr>
              <w:t>Directors’ authority to allot shares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6125" w14:textId="6BA09C56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89,979,675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23D" w14:textId="04106225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60.54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323" w14:textId="43611B74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58,659,758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B94E" w14:textId="0391DEB1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39.46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9E2A" w14:textId="308460B1" w:rsidR="00D37998" w:rsidRPr="005B6E56" w:rsidRDefault="00D37998" w:rsidP="00D37998">
            <w:pPr>
              <w:rPr>
                <w:noProof/>
                <w:sz w:val="16"/>
                <w:szCs w:val="16"/>
              </w:rPr>
            </w:pP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148,639,433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BFC" w14:textId="5C31F853" w:rsidR="00D37998" w:rsidRPr="00D37998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7998">
              <w:rPr>
                <w:rFonts w:ascii="Arial" w:hAnsi="Arial" w:cs="Arial"/>
                <w:color w:val="000000"/>
                <w:sz w:val="16"/>
                <w:szCs w:val="16"/>
              </w:rPr>
              <w:t>75.57</w:t>
            </w:r>
          </w:p>
        </w:tc>
        <w:tc>
          <w:tcPr>
            <w:tcW w:w="1488" w:type="dxa"/>
            <w:noWrap/>
            <w:hideMark/>
          </w:tcPr>
          <w:p w14:paraId="1911AB69" w14:textId="7970D8B3" w:rsidR="00D37998" w:rsidRPr="005B6E56" w:rsidRDefault="00D37998" w:rsidP="00D379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Pr="005B6E56">
              <w:rPr>
                <w:rFonts w:ascii="Arial" w:hAnsi="Arial" w:cs="Arial"/>
                <w:color w:val="000000"/>
                <w:sz w:val="16"/>
                <w:szCs w:val="16"/>
              </w:rPr>
              <w:t>3,996</w:t>
            </w:r>
          </w:p>
        </w:tc>
      </w:tr>
    </w:tbl>
    <w:p w14:paraId="624A366E" w14:textId="77777777" w:rsidR="00C17614" w:rsidRDefault="00C17614" w:rsidP="00280CBF"/>
    <w:p w14:paraId="32813A24" w14:textId="77777777" w:rsidR="00280CBF" w:rsidRPr="00280CBF" w:rsidRDefault="00280CBF" w:rsidP="00280CBF">
      <w:r w:rsidRPr="00280CBF">
        <w:t>Notes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8355"/>
      </w:tblGrid>
      <w:tr w:rsidR="00280CBF" w:rsidRPr="00280CBF" w14:paraId="2D344C57" w14:textId="77777777" w:rsidTr="00280CB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A032CC" w14:textId="77777777" w:rsidR="00280CBF" w:rsidRPr="00280CBF" w:rsidRDefault="00280CBF" w:rsidP="00280CBF">
            <w:r w:rsidRPr="00280CBF">
              <w:t>1.</w:t>
            </w:r>
          </w:p>
        </w:tc>
        <w:tc>
          <w:tcPr>
            <w:tcW w:w="8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C98D07" w14:textId="77777777" w:rsidR="00280CBF" w:rsidRPr="00280CBF" w:rsidRDefault="00280CBF" w:rsidP="00280CBF">
            <w:r w:rsidRPr="00280CBF">
              <w:t>Any proxy appointments which gave discretion to the Chairman have been included in the "Total votes for" total.</w:t>
            </w:r>
          </w:p>
        </w:tc>
      </w:tr>
      <w:tr w:rsidR="00280CBF" w:rsidRPr="00280CBF" w14:paraId="0F9ECC11" w14:textId="77777777" w:rsidTr="00280CB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176C1" w14:textId="77777777" w:rsidR="00280CBF" w:rsidRPr="00280CBF" w:rsidRDefault="00280CBF" w:rsidP="00280CBF">
            <w:r w:rsidRPr="00280CBF">
              <w:t>2.</w:t>
            </w:r>
          </w:p>
        </w:tc>
        <w:tc>
          <w:tcPr>
            <w:tcW w:w="8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59917" w14:textId="5C11CD9E" w:rsidR="00280CBF" w:rsidRPr="00280CBF" w:rsidRDefault="00280CBF" w:rsidP="00280CBF">
            <w:r w:rsidRPr="00280CBF">
              <w:t xml:space="preserve">A "Vote Withheld" is not a valid vote in English law and was not counted in the calculation of the proportion of the votes "For" or "Against" a </w:t>
            </w:r>
            <w:r w:rsidR="00E64E3B">
              <w:t>R</w:t>
            </w:r>
            <w:r w:rsidRPr="00280CBF">
              <w:t>esolution.</w:t>
            </w:r>
          </w:p>
        </w:tc>
      </w:tr>
      <w:tr w:rsidR="00280CBF" w:rsidRPr="00280CBF" w14:paraId="165C5866" w14:textId="77777777" w:rsidTr="00280CBF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7714E" w14:textId="77777777" w:rsidR="00280CBF" w:rsidRPr="00280CBF" w:rsidRDefault="00280CBF" w:rsidP="00280CBF">
            <w:r w:rsidRPr="00280CBF">
              <w:t>3.</w:t>
            </w:r>
          </w:p>
        </w:tc>
        <w:tc>
          <w:tcPr>
            <w:tcW w:w="8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92A1F6" w14:textId="77777777" w:rsidR="00280CBF" w:rsidRPr="00280CBF" w:rsidRDefault="00280CBF" w:rsidP="00280CBF">
            <w:r w:rsidRPr="00280CBF">
              <w:t>As at the date of the AGM the issued share capital of the Company was 196,681,818 ordinary shares of 3.33 pence each.</w:t>
            </w:r>
          </w:p>
        </w:tc>
      </w:tr>
    </w:tbl>
    <w:p w14:paraId="6FB80875" w14:textId="77777777" w:rsidR="00280CBF" w:rsidRPr="00280CBF" w:rsidRDefault="00280CBF" w:rsidP="00280CBF">
      <w:r w:rsidRPr="00280CBF">
        <w:t> </w:t>
      </w:r>
    </w:p>
    <w:p w14:paraId="022974AE" w14:textId="19D563B4" w:rsidR="00280CBF" w:rsidRPr="00280CBF" w:rsidRDefault="00280CBF" w:rsidP="00280CBF">
      <w:r w:rsidRPr="00280CBF">
        <w:t>The Board would like to thank shareholders for their engagement and support ahead of the AGM and throughout the year. Whil</w:t>
      </w:r>
      <w:r w:rsidR="00012FC3">
        <w:t>st</w:t>
      </w:r>
      <w:r w:rsidRPr="00280CBF">
        <w:t xml:space="preserve"> the majority of the </w:t>
      </w:r>
      <w:r w:rsidR="00682E40">
        <w:t>R</w:t>
      </w:r>
      <w:r w:rsidRPr="00280CBF">
        <w:t xml:space="preserve">esolutions were passed with majorities in excess </w:t>
      </w:r>
      <w:r w:rsidRPr="00CC2885">
        <w:t xml:space="preserve">of </w:t>
      </w:r>
      <w:r w:rsidR="00CC2885" w:rsidRPr="00CC2885">
        <w:t>50</w:t>
      </w:r>
      <w:r w:rsidRPr="00CC2885">
        <w:t>%,</w:t>
      </w:r>
      <w:r w:rsidRPr="00280CBF">
        <w:t xml:space="preserve"> the Board notes that Resolution </w:t>
      </w:r>
      <w:r w:rsidR="006F0BCD">
        <w:t xml:space="preserve">3, </w:t>
      </w:r>
      <w:r w:rsidR="00595CE0">
        <w:t xml:space="preserve">Resolution </w:t>
      </w:r>
      <w:r w:rsidR="006F0BCD">
        <w:t xml:space="preserve">7, Resolution 9 </w:t>
      </w:r>
      <w:r w:rsidR="00DF5F04">
        <w:t>and</w:t>
      </w:r>
      <w:r w:rsidR="00F00AA2">
        <w:t xml:space="preserve"> R</w:t>
      </w:r>
      <w:r w:rsidR="00FB0B50">
        <w:t>esoluti</w:t>
      </w:r>
      <w:r w:rsidR="00143624">
        <w:t xml:space="preserve">on </w:t>
      </w:r>
      <w:r w:rsidR="006F0BCD">
        <w:t>13</w:t>
      </w:r>
      <w:r w:rsidR="00143624">
        <w:t>,</w:t>
      </w:r>
      <w:r w:rsidRPr="00280CBF">
        <w:t xml:space="preserve"> passed with a majority of less than 80% (receiving votes in favour of </w:t>
      </w:r>
      <w:r w:rsidR="006F0BCD">
        <w:t>60.49</w:t>
      </w:r>
      <w:r w:rsidR="001D14A6">
        <w:t xml:space="preserve">%, </w:t>
      </w:r>
      <w:r w:rsidR="006F0BCD">
        <w:t>60.48</w:t>
      </w:r>
      <w:r w:rsidR="00155FF8">
        <w:t>%</w:t>
      </w:r>
      <w:r w:rsidR="006F0BCD">
        <w:t>, 60.02%</w:t>
      </w:r>
      <w:r w:rsidR="00155FF8">
        <w:t xml:space="preserve"> and </w:t>
      </w:r>
      <w:r w:rsidR="006F0BCD">
        <w:t>60.54</w:t>
      </w:r>
      <w:r w:rsidR="00155FF8">
        <w:t>% respectively</w:t>
      </w:r>
      <w:r w:rsidR="00DC4FCD">
        <w:t>)</w:t>
      </w:r>
      <w:r w:rsidR="006F0BCD">
        <w:t>.</w:t>
      </w:r>
    </w:p>
    <w:p w14:paraId="0B6DFA93" w14:textId="77777777" w:rsidR="00280CBF" w:rsidRPr="00280CBF" w:rsidRDefault="00280CBF" w:rsidP="00280CBF">
      <w:r w:rsidRPr="00280CBF">
        <w:t> </w:t>
      </w:r>
    </w:p>
    <w:p w14:paraId="15329833" w14:textId="7318285C" w:rsidR="00280CBF" w:rsidRPr="00280CBF" w:rsidRDefault="00280CBF" w:rsidP="00280CBF">
      <w:r w:rsidRPr="00280CBF">
        <w:t>In accordance with provision 4 of the UK Corporate Governance Code (the "</w:t>
      </w:r>
      <w:r w:rsidRPr="00280CBF">
        <w:rPr>
          <w:b/>
          <w:bCs/>
        </w:rPr>
        <w:t>Code</w:t>
      </w:r>
      <w:r w:rsidRPr="00280CBF">
        <w:t xml:space="preserve">"), the Board confirms that it will consult and engage with the relevant shareholders to understand and discuss their views with respect to these </w:t>
      </w:r>
      <w:r w:rsidR="00682E40">
        <w:t>R</w:t>
      </w:r>
      <w:r w:rsidRPr="00280CBF">
        <w:t>esolutions. An update will be provided within six months of the AGM, in accordance with the Code.</w:t>
      </w:r>
    </w:p>
    <w:p w14:paraId="510588E0" w14:textId="77777777" w:rsidR="00280CBF" w:rsidRPr="00280CBF" w:rsidRDefault="00280CBF" w:rsidP="005B0E3B">
      <w:pPr>
        <w:jc w:val="both"/>
      </w:pPr>
      <w:r w:rsidRPr="00280CBF">
        <w:t> </w:t>
      </w:r>
    </w:p>
    <w:p w14:paraId="5C60D858" w14:textId="44DB92BD" w:rsidR="00280CBF" w:rsidRPr="00280CBF" w:rsidRDefault="00280CBF" w:rsidP="00ED088A">
      <w:pPr>
        <w:jc w:val="both"/>
      </w:pPr>
      <w:r w:rsidRPr="00280CBF">
        <w:t>These results will shortly be available on the Company's website</w:t>
      </w:r>
      <w:r w:rsidR="005B0E3B">
        <w:t xml:space="preserve"> a</w:t>
      </w:r>
      <w:r w:rsidRPr="00280CBF">
        <w:t>t </w:t>
      </w:r>
      <w:proofErr w:type="gramStart"/>
      <w:r w:rsidRPr="00280CBF">
        <w:rPr>
          <w:b/>
          <w:bCs/>
        </w:rPr>
        <w:t>www.</w:t>
      </w:r>
      <w:r w:rsidR="00D3336C" w:rsidRPr="00D3336C">
        <w:rPr>
          <w:b/>
          <w:bCs/>
        </w:rPr>
        <w:t>toppsgro</w:t>
      </w:r>
      <w:r w:rsidR="00D3336C">
        <w:rPr>
          <w:b/>
          <w:bCs/>
        </w:rPr>
        <w:t>up.com</w:t>
      </w:r>
      <w:r w:rsidRPr="00280CBF">
        <w:t>  and</w:t>
      </w:r>
      <w:proofErr w:type="gramEnd"/>
      <w:r w:rsidRPr="00280CBF">
        <w:t xml:space="preserve">, in accordance with </w:t>
      </w:r>
      <w:r w:rsidR="000456EA">
        <w:t xml:space="preserve">UK </w:t>
      </w:r>
      <w:r w:rsidRPr="00280CBF">
        <w:t xml:space="preserve">Listing Rule </w:t>
      </w:r>
      <w:r w:rsidR="000456EA">
        <w:t>6.4.2</w:t>
      </w:r>
      <w:r w:rsidRPr="00280CBF">
        <w:t xml:space="preserve">, copies of the </w:t>
      </w:r>
      <w:r w:rsidR="00682E40">
        <w:t>R</w:t>
      </w:r>
      <w:r w:rsidRPr="00280CBF">
        <w:t>esolutions that were passed at the meeting and that do not constitute ordinary business at an annual general meeting will be submitted to the National Storage Mechanism</w:t>
      </w:r>
      <w:r w:rsidR="00ED088A">
        <w:t>.</w:t>
      </w:r>
      <w:r w:rsidRPr="00280CBF">
        <w:t xml:space="preserve"> and will shortly be available for inspection</w:t>
      </w:r>
      <w:r w:rsidR="00ED088A">
        <w:t xml:space="preserve"> a</w:t>
      </w:r>
      <w:r w:rsidRPr="00280CBF">
        <w:t>t </w:t>
      </w:r>
      <w:r w:rsidR="000456EA" w:rsidRPr="000456EA">
        <w:t>https://data.fca.org.uk/#/nsm/nationalstoragemechanism</w:t>
      </w:r>
      <w:r w:rsidR="00051860">
        <w:rPr>
          <w:rStyle w:val="Hyperlink"/>
          <w:b/>
          <w:bCs/>
        </w:rPr>
        <w:t>.</w:t>
      </w:r>
    </w:p>
    <w:p w14:paraId="04A8E3A3" w14:textId="6C72528F" w:rsidR="00280CBF" w:rsidRPr="00280CBF" w:rsidRDefault="00280CBF" w:rsidP="00280CBF">
      <w:r w:rsidRPr="00280CBF">
        <w:t>  </w:t>
      </w:r>
    </w:p>
    <w:p w14:paraId="5E31949E" w14:textId="77777777" w:rsidR="00280CBF" w:rsidRPr="00280CBF" w:rsidRDefault="00280CBF" w:rsidP="00280CBF">
      <w:r w:rsidRPr="00280CBF">
        <w:t>Enquiries:</w:t>
      </w:r>
    </w:p>
    <w:p w14:paraId="2F1F5847" w14:textId="77777777" w:rsidR="00280CBF" w:rsidRPr="00280CBF" w:rsidRDefault="00280CBF" w:rsidP="00280CBF">
      <w:r w:rsidRPr="00280CBF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430"/>
      </w:tblGrid>
      <w:tr w:rsidR="00280CBF" w:rsidRPr="00280CBF" w14:paraId="51B6DF12" w14:textId="77777777" w:rsidTr="00280CB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8A5E54" w14:textId="77777777" w:rsidR="00280CBF" w:rsidRPr="00280CBF" w:rsidRDefault="00280CBF" w:rsidP="00280CBF">
            <w:r w:rsidRPr="00280CBF">
              <w:t>Topps Tiles Plc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1A1BF" w14:textId="77777777" w:rsidR="00280CBF" w:rsidRPr="00280CBF" w:rsidRDefault="00280CBF" w:rsidP="00280CBF">
            <w:r w:rsidRPr="00280CBF">
              <w:t> </w:t>
            </w:r>
          </w:p>
        </w:tc>
      </w:tr>
      <w:tr w:rsidR="00280CBF" w:rsidRPr="00280CBF" w14:paraId="0DCE8C15" w14:textId="77777777" w:rsidTr="00280CB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98A8B4" w14:textId="396C404A" w:rsidR="00280CBF" w:rsidRPr="00280CBF" w:rsidRDefault="00973D5A" w:rsidP="00280CBF">
            <w:r>
              <w:t>Joanne Steer</w:t>
            </w:r>
            <w:r w:rsidR="00280CBF" w:rsidRPr="00280CBF">
              <w:t>, Company Secretary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CE233" w14:textId="77777777" w:rsidR="00280CBF" w:rsidRPr="00280CBF" w:rsidRDefault="00280CBF" w:rsidP="00280CBF">
            <w:r w:rsidRPr="00280CBF">
              <w:t>0116 282 8000</w:t>
            </w:r>
          </w:p>
        </w:tc>
      </w:tr>
      <w:tr w:rsidR="00280CBF" w:rsidRPr="00280CBF" w14:paraId="62D6442E" w14:textId="77777777" w:rsidTr="00280CB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E0B508" w14:textId="77777777" w:rsidR="00280CBF" w:rsidRPr="00280CBF" w:rsidRDefault="00280CBF" w:rsidP="00280CBF">
            <w:r w:rsidRPr="00280CBF">
              <w:t> 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DBE9D" w14:textId="77777777" w:rsidR="00280CBF" w:rsidRPr="00280CBF" w:rsidRDefault="00280CBF" w:rsidP="00280CBF">
            <w:r w:rsidRPr="00280CBF">
              <w:t> </w:t>
            </w:r>
          </w:p>
        </w:tc>
      </w:tr>
      <w:tr w:rsidR="00280CBF" w:rsidRPr="00280CBF" w14:paraId="5E318C9B" w14:textId="77777777" w:rsidTr="00280CB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CE7BA" w14:textId="77777777" w:rsidR="00280CBF" w:rsidRPr="00280CBF" w:rsidRDefault="00280CBF" w:rsidP="00280CBF">
            <w:r w:rsidRPr="00280CBF">
              <w:t>Citigate Dewe Rogerson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2B0B3" w14:textId="77777777" w:rsidR="00280CBF" w:rsidRPr="00280CBF" w:rsidRDefault="00280CBF" w:rsidP="00280CBF">
            <w:r w:rsidRPr="00280CBF">
              <w:t> </w:t>
            </w:r>
          </w:p>
        </w:tc>
      </w:tr>
      <w:tr w:rsidR="00280CBF" w:rsidRPr="00280CBF" w14:paraId="56FCBFEF" w14:textId="77777777" w:rsidTr="00280CB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EBFE63" w14:textId="606F1781" w:rsidR="00280CBF" w:rsidRPr="00280CBF" w:rsidRDefault="00280CBF" w:rsidP="00280CBF">
            <w:r w:rsidRPr="00280CBF">
              <w:t xml:space="preserve">Kevin Smith 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8ADAE7" w14:textId="77777777" w:rsidR="00280CBF" w:rsidRPr="00280CBF" w:rsidRDefault="00280CBF" w:rsidP="00280CBF">
            <w:r w:rsidRPr="00280CBF">
              <w:t>020 7638 9571</w:t>
            </w:r>
          </w:p>
        </w:tc>
      </w:tr>
    </w:tbl>
    <w:p w14:paraId="395C22DE" w14:textId="77777777" w:rsidR="00280CBF" w:rsidRPr="00280CBF" w:rsidRDefault="00280CBF" w:rsidP="00280CBF">
      <w:r w:rsidRPr="00280CBF">
        <w:t> </w:t>
      </w:r>
    </w:p>
    <w:p w14:paraId="4C08F1EA" w14:textId="4CC880BD" w:rsidR="00280CBF" w:rsidRPr="00280CBF" w:rsidRDefault="00280CBF" w:rsidP="00280CBF"/>
    <w:p w14:paraId="13263545" w14:textId="77777777" w:rsidR="004E59E7" w:rsidRDefault="004E59E7"/>
    <w:sectPr w:rsidR="004E59E7" w:rsidSect="00B005B3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BF"/>
    <w:rsid w:val="00012FC3"/>
    <w:rsid w:val="000456EA"/>
    <w:rsid w:val="00051860"/>
    <w:rsid w:val="000B7FB7"/>
    <w:rsid w:val="000C5854"/>
    <w:rsid w:val="000D4162"/>
    <w:rsid w:val="00143624"/>
    <w:rsid w:val="00145DC4"/>
    <w:rsid w:val="00155FF8"/>
    <w:rsid w:val="00186D43"/>
    <w:rsid w:val="001B26A1"/>
    <w:rsid w:val="001B7437"/>
    <w:rsid w:val="001D14A6"/>
    <w:rsid w:val="00241CE2"/>
    <w:rsid w:val="00257435"/>
    <w:rsid w:val="00280CBF"/>
    <w:rsid w:val="002E5E34"/>
    <w:rsid w:val="00317D26"/>
    <w:rsid w:val="0034147C"/>
    <w:rsid w:val="003662D5"/>
    <w:rsid w:val="00384AB3"/>
    <w:rsid w:val="003D2BD7"/>
    <w:rsid w:val="00446290"/>
    <w:rsid w:val="004639B5"/>
    <w:rsid w:val="004A13F7"/>
    <w:rsid w:val="004B1F69"/>
    <w:rsid w:val="004E59E7"/>
    <w:rsid w:val="0051267A"/>
    <w:rsid w:val="00516558"/>
    <w:rsid w:val="00543A23"/>
    <w:rsid w:val="00570727"/>
    <w:rsid w:val="00595CE0"/>
    <w:rsid w:val="005A7030"/>
    <w:rsid w:val="005B0E3B"/>
    <w:rsid w:val="005B6E56"/>
    <w:rsid w:val="005E58E0"/>
    <w:rsid w:val="006303FA"/>
    <w:rsid w:val="00635F9B"/>
    <w:rsid w:val="00682E40"/>
    <w:rsid w:val="006C2797"/>
    <w:rsid w:val="006F0BCD"/>
    <w:rsid w:val="00750DA9"/>
    <w:rsid w:val="007747F2"/>
    <w:rsid w:val="007A6A93"/>
    <w:rsid w:val="007C614A"/>
    <w:rsid w:val="00876091"/>
    <w:rsid w:val="00890242"/>
    <w:rsid w:val="00972F7B"/>
    <w:rsid w:val="00973D5A"/>
    <w:rsid w:val="00983924"/>
    <w:rsid w:val="009C27D2"/>
    <w:rsid w:val="009E35E5"/>
    <w:rsid w:val="009F14AA"/>
    <w:rsid w:val="00A00EEA"/>
    <w:rsid w:val="00A35FF1"/>
    <w:rsid w:val="00A658A2"/>
    <w:rsid w:val="00AA45EE"/>
    <w:rsid w:val="00AF710B"/>
    <w:rsid w:val="00B005B3"/>
    <w:rsid w:val="00B34DBD"/>
    <w:rsid w:val="00B83827"/>
    <w:rsid w:val="00BE6AFF"/>
    <w:rsid w:val="00C17614"/>
    <w:rsid w:val="00C8139F"/>
    <w:rsid w:val="00CA4AEE"/>
    <w:rsid w:val="00CC16AC"/>
    <w:rsid w:val="00CC2885"/>
    <w:rsid w:val="00D12925"/>
    <w:rsid w:val="00D21281"/>
    <w:rsid w:val="00D3336C"/>
    <w:rsid w:val="00D37998"/>
    <w:rsid w:val="00DC4FCD"/>
    <w:rsid w:val="00DE7B38"/>
    <w:rsid w:val="00DF5F04"/>
    <w:rsid w:val="00DF670D"/>
    <w:rsid w:val="00E145F2"/>
    <w:rsid w:val="00E21AEC"/>
    <w:rsid w:val="00E26E26"/>
    <w:rsid w:val="00E64E3B"/>
    <w:rsid w:val="00ED088A"/>
    <w:rsid w:val="00ED09E5"/>
    <w:rsid w:val="00ED2491"/>
    <w:rsid w:val="00ED4299"/>
    <w:rsid w:val="00F00AA2"/>
    <w:rsid w:val="00F23B8B"/>
    <w:rsid w:val="00FB0B50"/>
    <w:rsid w:val="00FB628F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73DE"/>
  <w15:chartTrackingRefBased/>
  <w15:docId w15:val="{C8C32E72-7915-4394-B4F3-A1F9580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C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0C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C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58A2"/>
    <w:pPr>
      <w:spacing w:after="0" w:line="240" w:lineRule="auto"/>
    </w:pPr>
  </w:style>
  <w:style w:type="paragraph" w:styleId="NoSpacing">
    <w:name w:val="No Spacing"/>
    <w:uiPriority w:val="1"/>
    <w:qFormat/>
    <w:rsid w:val="00ED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3a4280d-247f-40fe-a49f-17a34f283239}" enabled="0" method="" siteId="{13a4280d-247f-40fe-a49f-17a34f28323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Steer</cp:lastModifiedBy>
  <cp:revision>2</cp:revision>
  <dcterms:created xsi:type="dcterms:W3CDTF">2025-01-15T14:37:00Z</dcterms:created>
  <dcterms:modified xsi:type="dcterms:W3CDTF">2025-01-15T14:37:00Z</dcterms:modified>
</cp:coreProperties>
</file>