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EB51" w14:textId="46954861" w:rsidR="00270F8B" w:rsidRPr="005A57D0" w:rsidRDefault="00270F8B" w:rsidP="00270F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31 May</w:t>
      </w:r>
      <w:r w:rsidRPr="005A57D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202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</w:t>
      </w:r>
    </w:p>
    <w:p w14:paraId="30646F13" w14:textId="77777777" w:rsidR="00270F8B" w:rsidRPr="005A57D0" w:rsidRDefault="00270F8B" w:rsidP="00270F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57D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1805EE11" w14:textId="77777777" w:rsidR="00270F8B" w:rsidRPr="005A57D0" w:rsidRDefault="00270F8B" w:rsidP="00270F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57D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Xaar plc</w:t>
      </w:r>
    </w:p>
    <w:p w14:paraId="368AC490" w14:textId="77777777" w:rsidR="00270F8B" w:rsidRPr="005A57D0" w:rsidRDefault="00270F8B" w:rsidP="00270F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04A39F9C" w14:textId="37EF93D9" w:rsidR="00270F8B" w:rsidRPr="005A57D0" w:rsidRDefault="00270F8B" w:rsidP="00270F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Result of AGM</w:t>
      </w:r>
    </w:p>
    <w:p w14:paraId="142EC83D" w14:textId="77777777" w:rsidR="00270F8B" w:rsidRPr="005A57D0" w:rsidRDefault="00270F8B" w:rsidP="00270F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57D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758BEFC7" w14:textId="3C20366D" w:rsidR="00270F8B" w:rsidRDefault="00270F8B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A57D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Xaar plc ("Xaar" or "the Group" or "the Company"), the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leading </w:t>
      </w:r>
      <w:r w:rsidRPr="005A57D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inkjet printing technology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</w:t>
      </w:r>
      <w:r w:rsidRPr="005A57D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roup,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pleased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to announce that, at the Annual General Meeting of the Company held on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31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May 202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set out in the Notice of AGM, all resolutions put to the meeting were duly passed.</w:t>
      </w:r>
    </w:p>
    <w:p w14:paraId="3371DB29" w14:textId="77777777" w:rsidR="00270F8B" w:rsidRPr="00270F8B" w:rsidRDefault="00270F8B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7944573" w14:textId="0787CE9A" w:rsidR="00270F8B" w:rsidRDefault="00270F8B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poll was held on each of the resolutions and was passed by the required majority. Resolutions 1 to 10 were passed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 ordinary resolutions. Resolutions 11 to 1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were passed as special resolutions. </w:t>
      </w:r>
    </w:p>
    <w:p w14:paraId="269EFB6C" w14:textId="77777777" w:rsidR="00270F8B" w:rsidRDefault="00270F8B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1C49836" w14:textId="000DA5D1" w:rsidR="00270F8B" w:rsidRDefault="00270F8B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results of the poll were as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270F8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follows:</w:t>
      </w:r>
    </w:p>
    <w:p w14:paraId="1C8B45C3" w14:textId="77777777" w:rsidR="001D7CFE" w:rsidRDefault="001D7CFE" w:rsidP="00270F8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1055"/>
        <w:gridCol w:w="1494"/>
        <w:gridCol w:w="957"/>
        <w:gridCol w:w="1255"/>
        <w:gridCol w:w="1061"/>
      </w:tblGrid>
      <w:tr w:rsidR="001D7CFE" w:rsidRPr="00A34778" w14:paraId="0C6DC5D1" w14:textId="77777777" w:rsidTr="001D7CFE">
        <w:trPr>
          <w:trHeight w:val="1050"/>
        </w:trPr>
        <w:tc>
          <w:tcPr>
            <w:tcW w:w="1594" w:type="dxa"/>
            <w:vMerge w:val="restart"/>
            <w:shd w:val="clear" w:color="auto" w:fill="auto"/>
            <w:hideMark/>
          </w:tcPr>
          <w:p w14:paraId="5B33F05A" w14:textId="77777777" w:rsidR="001D7CFE" w:rsidRPr="001D7CFE" w:rsidRDefault="001D7CFE" w:rsidP="001D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Resolution</w:t>
            </w:r>
          </w:p>
        </w:tc>
        <w:tc>
          <w:tcPr>
            <w:tcW w:w="2649" w:type="dxa"/>
            <w:gridSpan w:val="2"/>
            <w:shd w:val="clear" w:color="auto" w:fill="auto"/>
            <w:hideMark/>
          </w:tcPr>
          <w:p w14:paraId="7298882E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Votes For</w:t>
            </w:r>
          </w:p>
        </w:tc>
        <w:tc>
          <w:tcPr>
            <w:tcW w:w="2451" w:type="dxa"/>
            <w:gridSpan w:val="2"/>
            <w:shd w:val="clear" w:color="auto" w:fill="auto"/>
            <w:hideMark/>
          </w:tcPr>
          <w:p w14:paraId="60AD4498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Votes Against</w:t>
            </w:r>
          </w:p>
        </w:tc>
        <w:tc>
          <w:tcPr>
            <w:tcW w:w="1255" w:type="dxa"/>
            <w:shd w:val="clear" w:color="auto" w:fill="auto"/>
            <w:hideMark/>
          </w:tcPr>
          <w:p w14:paraId="722D6D08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Votes cast (excluding Withheld)</w:t>
            </w:r>
          </w:p>
        </w:tc>
        <w:tc>
          <w:tcPr>
            <w:tcW w:w="1057" w:type="dxa"/>
            <w:shd w:val="clear" w:color="auto" w:fill="auto"/>
            <w:hideMark/>
          </w:tcPr>
          <w:p w14:paraId="53BCC8BC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Votes Withheld</w:t>
            </w:r>
          </w:p>
        </w:tc>
      </w:tr>
      <w:tr w:rsidR="001D7CFE" w:rsidRPr="00A34778" w14:paraId="4301F6BB" w14:textId="77777777" w:rsidTr="001D7CFE">
        <w:trPr>
          <w:trHeight w:val="790"/>
        </w:trPr>
        <w:tc>
          <w:tcPr>
            <w:tcW w:w="1594" w:type="dxa"/>
            <w:vMerge/>
            <w:vAlign w:val="center"/>
            <w:hideMark/>
          </w:tcPr>
          <w:p w14:paraId="6A4A9D84" w14:textId="77777777" w:rsidR="001D7CFE" w:rsidRPr="001D7CFE" w:rsidRDefault="001D7CFE" w:rsidP="001D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14:paraId="4B89D2CE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of shares</w:t>
            </w:r>
          </w:p>
        </w:tc>
        <w:tc>
          <w:tcPr>
            <w:tcW w:w="1055" w:type="dxa"/>
            <w:shd w:val="clear" w:color="auto" w:fill="auto"/>
            <w:hideMark/>
          </w:tcPr>
          <w:p w14:paraId="0168FA5D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shares voted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35966E0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of shares</w:t>
            </w:r>
          </w:p>
        </w:tc>
        <w:tc>
          <w:tcPr>
            <w:tcW w:w="957" w:type="dxa"/>
            <w:shd w:val="clear" w:color="auto" w:fill="auto"/>
            <w:hideMark/>
          </w:tcPr>
          <w:p w14:paraId="07CC75D9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of shares voted</w:t>
            </w:r>
          </w:p>
        </w:tc>
        <w:tc>
          <w:tcPr>
            <w:tcW w:w="1255" w:type="dxa"/>
            <w:shd w:val="clear" w:color="auto" w:fill="auto"/>
            <w:hideMark/>
          </w:tcPr>
          <w:p w14:paraId="49D1B5F9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14:paraId="0D3EF321" w14:textId="77777777" w:rsidR="001D7CFE" w:rsidRPr="001D7CFE" w:rsidRDefault="001D7CFE" w:rsidP="001D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of shares</w:t>
            </w:r>
          </w:p>
        </w:tc>
      </w:tr>
      <w:tr w:rsidR="001D7CFE" w:rsidRPr="00A34778" w14:paraId="59E09D4F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3D63312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162BC5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60,245,064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63DFBDB4" w14:textId="11827281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  <w:r w:rsidRP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7D7E6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E67115A" w14:textId="3FA4DCD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5311A50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60,245,064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6F4D6C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190,364</w:t>
            </w:r>
          </w:p>
        </w:tc>
      </w:tr>
      <w:tr w:rsidR="001D7CFE" w:rsidRPr="00A34778" w14:paraId="3FABB59D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18FFB3B2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49D7EE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60,236,074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4919D8C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9D3B7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199,158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DFFAF9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0.33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64FFAF22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FEE9A8C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</w:tr>
      <w:tr w:rsidR="001D7CFE" w:rsidRPr="00A34778" w14:paraId="5F53221B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39633030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D3C675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60,431,688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15586D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23BBB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1,044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AE4C60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358EC7F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60,432,732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19A80FC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2,696</w:t>
            </w:r>
          </w:p>
        </w:tc>
      </w:tr>
      <w:tr w:rsidR="001D7CFE" w:rsidRPr="00A34778" w14:paraId="35635506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1350487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9F9C5B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4E22E34F" w14:textId="68C1AA1E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  <w:r w:rsidRP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7721C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145754C4" w14:textId="5838E453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755BA0A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72EB1A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</w:tr>
      <w:tr w:rsidR="001D7CFE" w:rsidRPr="00A34778" w14:paraId="30281FEA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3EC1A7D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650A2B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52,161,825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7E7F4ED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86.31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00CB2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8,273,407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A7E556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13.69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1BA05B1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1D2698C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</w:tr>
      <w:tr w:rsidR="001D7CFE" w:rsidRPr="00A34778" w14:paraId="423A4FD0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0E5D17D2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467958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59,481,855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4E0256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98.42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078D3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953,377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AC1B560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1.58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3457EC6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15250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</w:tr>
      <w:tr w:rsidR="001D7CFE" w:rsidRPr="00A34778" w14:paraId="6BA1FC24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5214C95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27CBBD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60,434,959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63FDC0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E91B70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BCE842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7CB17D7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028787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</w:tr>
      <w:tr w:rsidR="001D7CFE" w:rsidRPr="00A34778" w14:paraId="399A813A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4052D08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417017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58,258,206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41A123ED" w14:textId="68A827FF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96.7</w:t>
            </w:r>
            <w:r w:rsidRP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EC1D2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1,986,661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6283EA2" w14:textId="199C1A8C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</w:t>
            </w:r>
            <w:r w:rsid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10F7AD4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60,244,867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8BF9A9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190,561</w:t>
            </w:r>
          </w:p>
        </w:tc>
      </w:tr>
      <w:tr w:rsidR="001D7CFE" w:rsidRPr="00A34778" w14:paraId="294EC412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775C56E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C7EA4A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58,994,131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118042B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97.62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8C0CF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1,441,296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17DB540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2.38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5434402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60,435,427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8DFDC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1D7CFE" w:rsidRPr="00A34778" w14:paraId="2DBCC947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4DC4A04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B46D24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58,994,131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6FD2CD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97.62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ADAEB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1,441,100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071452F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2.38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31BF6ED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60,435,231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80C5F9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</w:tr>
      <w:tr w:rsidR="001D7CFE" w:rsidRPr="00A34778" w14:paraId="22286A12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3E8267F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BDB009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50,224,388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BB176F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83.37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2ED09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10,018,176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904A398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16.63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5204D24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60,242,564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E04331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192,864</w:t>
            </w:r>
          </w:p>
        </w:tc>
      </w:tr>
      <w:tr w:rsidR="001D7CFE" w:rsidRPr="00A34778" w14:paraId="57D017C1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037A0C4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C35F48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60,419,319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CF2DF1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6585E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16,109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6DCE646D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0.03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21EF995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60,435,428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FD98BAB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1D7CFE" w:rsidRPr="00A34778" w14:paraId="33510742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652C320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B8864D3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60,229,151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6A90DF8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DBEEAC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206,277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A6011E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329BA775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60,435,428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873F37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1D7CFE" w:rsidRPr="00A34778" w14:paraId="6392D8D4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46904AB0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288E285E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60,234,560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70AF5D3C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99.67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98C4C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200,868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09C0E0A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0.33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47764306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60,435,428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EF62269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1D7CFE" w:rsidRPr="00A34778" w14:paraId="126AF262" w14:textId="77777777" w:rsidTr="001D7CFE">
        <w:trPr>
          <w:trHeight w:val="290"/>
        </w:trPr>
        <w:tc>
          <w:tcPr>
            <w:tcW w:w="1594" w:type="dxa"/>
            <w:shd w:val="clear" w:color="auto" w:fill="auto"/>
            <w:noWrap/>
            <w:hideMark/>
          </w:tcPr>
          <w:p w14:paraId="1395302F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5D663584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60,423,232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51FFCDE" w14:textId="0E20AC76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  <w:r w:rsidRP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34AA6A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2A7A6F37" w14:textId="564BD83C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A3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255" w:type="dxa"/>
            <w:shd w:val="clear" w:color="000000" w:fill="FFFFFF"/>
            <w:noWrap/>
            <w:vAlign w:val="bottom"/>
            <w:hideMark/>
          </w:tcPr>
          <w:p w14:paraId="36094821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60,423,232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D20E7D7" w14:textId="77777777" w:rsidR="001D7CFE" w:rsidRPr="001D7CFE" w:rsidRDefault="001D7CFE" w:rsidP="001D7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7C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12,196</w:t>
            </w:r>
          </w:p>
        </w:tc>
      </w:tr>
    </w:tbl>
    <w:p w14:paraId="6D93C552" w14:textId="77777777" w:rsidR="001D7CFE" w:rsidRPr="005A57D0" w:rsidRDefault="001D7CFE" w:rsidP="00270F8B">
      <w:pPr>
        <w:shd w:val="clear" w:color="auto" w:fill="FFFFFF"/>
        <w:spacing w:after="0" w:line="242" w:lineRule="atLeast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6E4BA22" w14:textId="77777777" w:rsidR="003603E1" w:rsidRPr="003603E1" w:rsidRDefault="003603E1" w:rsidP="003603E1">
      <w:pPr>
        <w:pStyle w:val="BodyText"/>
        <w:spacing w:before="1"/>
        <w:rPr>
          <w:sz w:val="22"/>
          <w:szCs w:val="22"/>
        </w:rPr>
      </w:pPr>
      <w:r w:rsidRPr="003603E1">
        <w:rPr>
          <w:sz w:val="22"/>
          <w:szCs w:val="22"/>
        </w:rPr>
        <w:t>*Any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proxy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appointments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which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gave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discretion to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the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Chairman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have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been included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in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the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>"Votes</w:t>
      </w:r>
      <w:r w:rsidRPr="003603E1">
        <w:rPr>
          <w:spacing w:val="-1"/>
          <w:sz w:val="22"/>
          <w:szCs w:val="22"/>
        </w:rPr>
        <w:t xml:space="preserve"> </w:t>
      </w:r>
      <w:r w:rsidRPr="003603E1">
        <w:rPr>
          <w:sz w:val="22"/>
          <w:szCs w:val="22"/>
        </w:rPr>
        <w:t xml:space="preserve">For" </w:t>
      </w:r>
      <w:r w:rsidRPr="003603E1">
        <w:rPr>
          <w:spacing w:val="-2"/>
          <w:sz w:val="22"/>
          <w:szCs w:val="22"/>
        </w:rPr>
        <w:t>total.</w:t>
      </w:r>
    </w:p>
    <w:p w14:paraId="5FC55F8D" w14:textId="77777777" w:rsidR="003603E1" w:rsidRDefault="003603E1" w:rsidP="003603E1">
      <w:pPr>
        <w:pStyle w:val="BodyText"/>
        <w:spacing w:before="3"/>
        <w:rPr>
          <w:sz w:val="22"/>
          <w:szCs w:val="22"/>
        </w:rPr>
      </w:pPr>
    </w:p>
    <w:p w14:paraId="31EF7CB7" w14:textId="67540B93" w:rsidR="003603E1" w:rsidRPr="000D32B2" w:rsidRDefault="003603E1" w:rsidP="003603E1">
      <w:pPr>
        <w:pStyle w:val="BodyText"/>
        <w:rPr>
          <w:sz w:val="22"/>
          <w:szCs w:val="22"/>
        </w:rPr>
      </w:pPr>
      <w:r w:rsidRPr="000D32B2">
        <w:rPr>
          <w:sz w:val="22"/>
          <w:szCs w:val="22"/>
        </w:rPr>
        <w:t xml:space="preserve">The total number of shares in issue at the voting date is </w:t>
      </w:r>
      <w:r w:rsidR="00C66EC5" w:rsidRPr="000D32B2">
        <w:rPr>
          <w:sz w:val="22"/>
          <w:szCs w:val="22"/>
        </w:rPr>
        <w:t>78,535,005</w:t>
      </w:r>
      <w:r w:rsidRPr="000D32B2">
        <w:rPr>
          <w:sz w:val="22"/>
          <w:szCs w:val="22"/>
        </w:rPr>
        <w:t>.</w:t>
      </w:r>
      <w:r w:rsidRPr="000D32B2">
        <w:rPr>
          <w:spacing w:val="40"/>
          <w:sz w:val="22"/>
          <w:szCs w:val="22"/>
        </w:rPr>
        <w:t xml:space="preserve"> </w:t>
      </w:r>
      <w:r w:rsidRPr="000D32B2">
        <w:rPr>
          <w:sz w:val="22"/>
          <w:szCs w:val="22"/>
        </w:rPr>
        <w:t>A vote withheld is not a vote in law and is not counted in the calculation of the proportion of votes for and against the resolution.</w:t>
      </w:r>
    </w:p>
    <w:p w14:paraId="4B903FD0" w14:textId="77777777" w:rsidR="003603E1" w:rsidRPr="000D32B2" w:rsidRDefault="003603E1" w:rsidP="003603E1">
      <w:pPr>
        <w:pStyle w:val="BodyText"/>
        <w:spacing w:before="1"/>
        <w:rPr>
          <w:sz w:val="22"/>
          <w:szCs w:val="22"/>
        </w:rPr>
      </w:pPr>
    </w:p>
    <w:p w14:paraId="77ECE567" w14:textId="01192210" w:rsidR="003603E1" w:rsidRPr="000D32B2" w:rsidRDefault="003603E1" w:rsidP="0043373D">
      <w:pPr>
        <w:rPr>
          <w:rFonts w:ascii="Arial" w:hAnsi="Arial" w:cs="Arial"/>
          <w:color w:val="4472C4" w:themeColor="accent1"/>
        </w:rPr>
      </w:pPr>
      <w:r w:rsidRPr="000D32B2">
        <w:rPr>
          <w:rFonts w:ascii="Arial" w:hAnsi="Arial" w:cs="Arial"/>
        </w:rPr>
        <w:t>The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full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text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of all of the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resolutions can be found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in the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Notice of Annual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General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Meeting as appended to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>the</w:t>
      </w:r>
      <w:r w:rsidRPr="000D32B2">
        <w:rPr>
          <w:rFonts w:ascii="Arial" w:hAnsi="Arial" w:cs="Arial"/>
          <w:spacing w:val="-1"/>
        </w:rPr>
        <w:t xml:space="preserve"> </w:t>
      </w:r>
      <w:r w:rsidRPr="000D32B2">
        <w:rPr>
          <w:rFonts w:ascii="Arial" w:hAnsi="Arial" w:cs="Arial"/>
        </w:rPr>
        <w:t xml:space="preserve">Annual Report 2022, which has been submitted to the National Storage Mechanism and is available for inspection at </w:t>
      </w:r>
      <w:r w:rsidRPr="000D32B2">
        <w:rPr>
          <w:rFonts w:ascii="Arial" w:hAnsi="Arial" w:cs="Arial"/>
          <w:color w:val="4472C4" w:themeColor="accent1"/>
        </w:rPr>
        <w:t>h</w:t>
      </w:r>
      <w:r w:rsidRPr="000D32B2">
        <w:rPr>
          <w:rFonts w:ascii="Arial" w:hAnsi="Arial" w:cs="Arial"/>
          <w:color w:val="4472C4" w:themeColor="accent1"/>
          <w:u w:val="single" w:color="0000FF"/>
        </w:rPr>
        <w:t>ttps://data.fca.org.uk/#/nsm/nationalstoragemechanism</w:t>
      </w:r>
      <w:r w:rsidRPr="000D32B2">
        <w:rPr>
          <w:rFonts w:ascii="Arial" w:hAnsi="Arial" w:cs="Arial"/>
          <w:color w:val="4472C4" w:themeColor="accent1"/>
          <w:spacing w:val="-5"/>
        </w:rPr>
        <w:t xml:space="preserve"> </w:t>
      </w:r>
      <w:r w:rsidRPr="000D32B2">
        <w:rPr>
          <w:rFonts w:ascii="Arial" w:hAnsi="Arial" w:cs="Arial"/>
          <w:color w:val="4472C4" w:themeColor="accent1"/>
        </w:rPr>
        <w:t xml:space="preserve">and </w:t>
      </w:r>
      <w:hyperlink r:id="rId6" w:history="1">
        <w:r w:rsidR="00C66EC5" w:rsidRPr="000D32B2">
          <w:rPr>
            <w:rStyle w:val="Hyperlink"/>
            <w:rFonts w:ascii="Arial" w:hAnsi="Arial" w:cs="Arial"/>
            <w:color w:val="4472C4" w:themeColor="accent1"/>
          </w:rPr>
          <w:t>5315_xaar_annual-report_2022_hyperlink.pdf (xaargroup.com)</w:t>
        </w:r>
      </w:hyperlink>
    </w:p>
    <w:p w14:paraId="65A829C5" w14:textId="5EE507C8" w:rsidR="00C240A2" w:rsidRDefault="00C240A2" w:rsidP="006C14E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C240A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 xml:space="preserve"> </w:t>
      </w:r>
    </w:p>
    <w:p w14:paraId="02F567B6" w14:textId="50C86D00" w:rsidR="00270F8B" w:rsidRPr="003B0E9A" w:rsidRDefault="00270F8B" w:rsidP="00270F8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3B0E9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Enquiries:</w:t>
      </w:r>
    </w:p>
    <w:p w14:paraId="1B985EFA" w14:textId="77777777" w:rsidR="00270F8B" w:rsidRDefault="00270F8B" w:rsidP="00270F8B">
      <w:pPr>
        <w:shd w:val="clear" w:color="auto" w:fill="FFFFFF"/>
        <w:spacing w:after="0" w:line="231" w:lineRule="atLeast"/>
        <w:jc w:val="both"/>
        <w:rPr>
          <w:rFonts w:ascii="Arial" w:eastAsia="Times New Roman" w:hAnsi="Arial" w:cs="Arial"/>
          <w:b/>
          <w:bCs/>
          <w:smallCaps/>
          <w:color w:val="000000"/>
          <w:kern w:val="0"/>
          <w:lang w:eastAsia="en-GB"/>
          <w14:ligatures w14:val="none"/>
        </w:rPr>
      </w:pP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840"/>
      </w:tblGrid>
      <w:tr w:rsidR="00270F8B" w:rsidRPr="003B0E9A" w14:paraId="041CEBAA" w14:textId="77777777" w:rsidTr="0078589F">
        <w:trPr>
          <w:tblCellSpacing w:w="0" w:type="dxa"/>
        </w:trPr>
        <w:tc>
          <w:tcPr>
            <w:tcW w:w="5235" w:type="dxa"/>
            <w:hideMark/>
          </w:tcPr>
          <w:p w14:paraId="3F805698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Xaar plc</w:t>
            </w:r>
          </w:p>
        </w:tc>
        <w:tc>
          <w:tcPr>
            <w:tcW w:w="3840" w:type="dxa"/>
            <w:hideMark/>
          </w:tcPr>
          <w:p w14:paraId="3986D16C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+44 (0) 1223 423 663 </w:t>
            </w:r>
          </w:p>
        </w:tc>
      </w:tr>
      <w:tr w:rsidR="00270F8B" w:rsidRPr="003B0E9A" w14:paraId="763655C9" w14:textId="77777777" w:rsidTr="0078589F">
        <w:trPr>
          <w:tblCellSpacing w:w="0" w:type="dxa"/>
        </w:trPr>
        <w:tc>
          <w:tcPr>
            <w:tcW w:w="5235" w:type="dxa"/>
            <w:hideMark/>
          </w:tcPr>
          <w:p w14:paraId="64897A8C" w14:textId="67E07B82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Julia Crane, Company Secretary and Legal Counsel</w:t>
            </w:r>
          </w:p>
        </w:tc>
        <w:tc>
          <w:tcPr>
            <w:tcW w:w="3840" w:type="dxa"/>
            <w:hideMark/>
          </w:tcPr>
          <w:p w14:paraId="092F49FE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70F8B" w:rsidRPr="003B0E9A" w14:paraId="42312AA2" w14:textId="77777777" w:rsidTr="0078589F">
        <w:trPr>
          <w:tblCellSpacing w:w="0" w:type="dxa"/>
        </w:trPr>
        <w:tc>
          <w:tcPr>
            <w:tcW w:w="5235" w:type="dxa"/>
            <w:hideMark/>
          </w:tcPr>
          <w:p w14:paraId="1D85E8EC" w14:textId="29EF26C2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0" w:type="dxa"/>
            <w:hideMark/>
          </w:tcPr>
          <w:p w14:paraId="3545649A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70F8B" w:rsidRPr="003B0E9A" w14:paraId="7176D538" w14:textId="77777777" w:rsidTr="0078589F">
        <w:trPr>
          <w:tblCellSpacing w:w="0" w:type="dxa"/>
        </w:trPr>
        <w:tc>
          <w:tcPr>
            <w:tcW w:w="5235" w:type="dxa"/>
            <w:hideMark/>
          </w:tcPr>
          <w:p w14:paraId="733D55A6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30BC87A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Teneo </w:t>
            </w:r>
          </w:p>
          <w:p w14:paraId="4616BDDF" w14:textId="77777777" w:rsidR="00270F8B" w:rsidRPr="003B0E9A" w:rsidRDefault="00270F8B" w:rsidP="0078589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721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color w:val="212721"/>
                <w:kern w:val="0"/>
                <w:lang w:eastAsia="en-GB"/>
                <w14:ligatures w14:val="none"/>
              </w:rPr>
              <w:t>Giles Kernick</w:t>
            </w:r>
          </w:p>
          <w:p w14:paraId="717EEDC6" w14:textId="77777777" w:rsidR="00270F8B" w:rsidRPr="003B0E9A" w:rsidRDefault="00270F8B" w:rsidP="007858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color w:val="212721"/>
                <w:kern w:val="0"/>
                <w:lang w:eastAsia="en-GB"/>
                <w14:ligatures w14:val="none"/>
              </w:rPr>
              <w:t>Olivia Lucas</w:t>
            </w:r>
          </w:p>
        </w:tc>
        <w:tc>
          <w:tcPr>
            <w:tcW w:w="0" w:type="auto"/>
            <w:vAlign w:val="center"/>
            <w:hideMark/>
          </w:tcPr>
          <w:p w14:paraId="2D74B5FF" w14:textId="77777777" w:rsidR="00270F8B" w:rsidRPr="003B0E9A" w:rsidRDefault="00270F8B" w:rsidP="00785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0E9A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>+44 (0) 207 353 4200</w:t>
            </w:r>
          </w:p>
        </w:tc>
      </w:tr>
    </w:tbl>
    <w:p w14:paraId="76DEC086" w14:textId="77777777" w:rsidR="00270F8B" w:rsidRDefault="00270F8B" w:rsidP="00270F8B"/>
    <w:p w14:paraId="5A8CC632" w14:textId="77777777" w:rsidR="00270F8B" w:rsidRDefault="00270F8B" w:rsidP="00270F8B"/>
    <w:p w14:paraId="73700650" w14:textId="77777777" w:rsidR="00327B32" w:rsidRDefault="00327B32"/>
    <w:sectPr w:rsidR="00327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D8FC" w14:textId="77777777" w:rsidR="00972031" w:rsidRDefault="00972031" w:rsidP="00972031">
      <w:pPr>
        <w:spacing w:after="0" w:line="240" w:lineRule="auto"/>
      </w:pPr>
      <w:r>
        <w:separator/>
      </w:r>
    </w:p>
  </w:endnote>
  <w:endnote w:type="continuationSeparator" w:id="0">
    <w:p w14:paraId="219F742D" w14:textId="77777777" w:rsidR="00972031" w:rsidRDefault="00972031" w:rsidP="0097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7070" w14:textId="77777777" w:rsidR="00972031" w:rsidRDefault="0097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08B" w14:textId="77777777" w:rsidR="00972031" w:rsidRDefault="00972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4394" w14:textId="77777777" w:rsidR="00972031" w:rsidRDefault="0097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81AC" w14:textId="77777777" w:rsidR="00972031" w:rsidRDefault="00972031" w:rsidP="00972031">
      <w:pPr>
        <w:spacing w:after="0" w:line="240" w:lineRule="auto"/>
      </w:pPr>
      <w:r>
        <w:separator/>
      </w:r>
    </w:p>
  </w:footnote>
  <w:footnote w:type="continuationSeparator" w:id="0">
    <w:p w14:paraId="4931E1BE" w14:textId="77777777" w:rsidR="00972031" w:rsidRDefault="00972031" w:rsidP="0097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44B6" w14:textId="77777777" w:rsidR="00972031" w:rsidRDefault="0097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F68C" w14:textId="35E12E33" w:rsidR="00972031" w:rsidRDefault="00972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4091" w14:textId="77777777" w:rsidR="00972031" w:rsidRDefault="00972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B"/>
    <w:rsid w:val="00092091"/>
    <w:rsid w:val="000D32B2"/>
    <w:rsid w:val="0010735B"/>
    <w:rsid w:val="001D7CFE"/>
    <w:rsid w:val="00270F8B"/>
    <w:rsid w:val="00327B32"/>
    <w:rsid w:val="003603E1"/>
    <w:rsid w:val="004001C5"/>
    <w:rsid w:val="00400A69"/>
    <w:rsid w:val="0043373D"/>
    <w:rsid w:val="006C14ED"/>
    <w:rsid w:val="008467F2"/>
    <w:rsid w:val="00966AE7"/>
    <w:rsid w:val="00972031"/>
    <w:rsid w:val="00A34778"/>
    <w:rsid w:val="00B278D7"/>
    <w:rsid w:val="00B44031"/>
    <w:rsid w:val="00C240A2"/>
    <w:rsid w:val="00C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1C8C3"/>
  <w15:chartTrackingRefBased/>
  <w15:docId w15:val="{25922D07-BD28-4BEF-BB18-BE0CC36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03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5"/>
      <w:szCs w:val="15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603E1"/>
    <w:rPr>
      <w:rFonts w:ascii="Arial" w:eastAsia="Arial" w:hAnsi="Arial" w:cs="Arial"/>
      <w:kern w:val="0"/>
      <w:sz w:val="15"/>
      <w:szCs w:val="15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03E1"/>
    <w:pPr>
      <w:widowControl w:val="0"/>
      <w:autoSpaceDE w:val="0"/>
      <w:autoSpaceDN w:val="0"/>
      <w:spacing w:before="43" w:after="0" w:line="240" w:lineRule="auto"/>
      <w:jc w:val="right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66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31"/>
  </w:style>
  <w:style w:type="paragraph" w:styleId="Footer">
    <w:name w:val="footer"/>
    <w:basedOn w:val="Normal"/>
    <w:link w:val="FooterChar"/>
    <w:uiPriority w:val="99"/>
    <w:unhideWhenUsed/>
    <w:rsid w:val="0097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aargroup.com/media/3251/5315_xaar_annual-report_2022_hyperlink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Crane</dc:creator>
  <cp:keywords/>
  <dc:description/>
  <cp:lastModifiedBy>Julia Crane</cp:lastModifiedBy>
  <cp:revision>14</cp:revision>
  <cp:lastPrinted>2023-05-28T16:40:00Z</cp:lastPrinted>
  <dcterms:created xsi:type="dcterms:W3CDTF">2023-05-26T12:36:00Z</dcterms:created>
  <dcterms:modified xsi:type="dcterms:W3CDTF">2023-05-31T10:09:00Z</dcterms:modified>
</cp:coreProperties>
</file>