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39B1" w14:textId="43EF0C70" w:rsidR="00A00A09" w:rsidRPr="00A00A09" w:rsidRDefault="00A00A09" w:rsidP="00132D6F">
      <w:pPr>
        <w:pStyle w:val="BodyText"/>
        <w:spacing w:before="94" w:line="271" w:lineRule="auto"/>
        <w:ind w:firstLine="5"/>
        <w:jc w:val="both"/>
        <w:rPr>
          <w:b/>
          <w:bCs/>
        </w:rPr>
      </w:pPr>
      <w:r w:rsidRPr="00A00A09">
        <w:rPr>
          <w:b/>
          <w:bCs/>
        </w:rPr>
        <w:t>ARTEMIS ALPHA TRUST PLC ( “the Company”</w:t>
      </w:r>
    </w:p>
    <w:p w14:paraId="76821638" w14:textId="1B025C10" w:rsidR="00A00A09" w:rsidRPr="00A00A09" w:rsidRDefault="00A00A09" w:rsidP="00132D6F">
      <w:pPr>
        <w:pStyle w:val="BodyText"/>
        <w:spacing w:before="94" w:line="271" w:lineRule="auto"/>
        <w:ind w:firstLine="5"/>
        <w:jc w:val="both"/>
        <w:rPr>
          <w:b/>
          <w:bCs/>
        </w:rPr>
      </w:pPr>
      <w:r w:rsidRPr="00A00A09">
        <w:rPr>
          <w:b/>
          <w:bCs/>
        </w:rPr>
        <w:t>Registered Number: 00253644</w:t>
      </w:r>
    </w:p>
    <w:p w14:paraId="44928C8E" w14:textId="45270D03" w:rsidR="00A00A09" w:rsidRPr="00A00A09" w:rsidRDefault="00A00A09" w:rsidP="00132D6F">
      <w:pPr>
        <w:pStyle w:val="BodyText"/>
        <w:spacing w:before="94" w:line="271" w:lineRule="auto"/>
        <w:ind w:firstLine="5"/>
        <w:jc w:val="both"/>
        <w:rPr>
          <w:b/>
          <w:bCs/>
        </w:rPr>
      </w:pPr>
    </w:p>
    <w:p w14:paraId="2789CBB9" w14:textId="03353F76" w:rsidR="00A00A09" w:rsidRPr="00A00A09" w:rsidRDefault="00A00A09" w:rsidP="00132D6F">
      <w:pPr>
        <w:pStyle w:val="BodyText"/>
        <w:spacing w:before="94" w:line="271" w:lineRule="auto"/>
        <w:ind w:firstLine="5"/>
        <w:jc w:val="both"/>
      </w:pPr>
      <w:r w:rsidRPr="00A00A09">
        <w:rPr>
          <w:noProof/>
        </w:rPr>
        <mc:AlternateContent>
          <mc:Choice Requires="wps">
            <w:drawing>
              <wp:anchor distT="0" distB="0" distL="0" distR="0" simplePos="0" relativeHeight="251661312" behindDoc="1" locked="0" layoutInCell="1" allowOverlap="1" wp14:anchorId="5FCC1DD7" wp14:editId="34A1AB6E">
                <wp:simplePos x="0" y="0"/>
                <wp:positionH relativeFrom="page">
                  <wp:posOffset>892189</wp:posOffset>
                </wp:positionH>
                <wp:positionV relativeFrom="paragraph">
                  <wp:posOffset>570477</wp:posOffset>
                </wp:positionV>
                <wp:extent cx="572706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5726893" y="0"/>
                              </a:lnTo>
                            </a:path>
                          </a:pathLst>
                        </a:custGeom>
                        <a:ln w="9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6E54C" id="Graphic 1" o:spid="_x0000_s1026" style="position:absolute;margin-left:70.25pt;margin-top:44.9pt;width:450.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" path="m,l5726893,e" filled="f" strokeweight=".25106mm">
                <v:path arrowok="t"/>
                <w10:wrap type="topAndBottom" anchorx="page"/>
              </v:shape>
            </w:pict>
          </mc:Fallback>
        </mc:AlternateContent>
      </w:r>
      <w:r w:rsidRPr="00A00A09">
        <w:t>Extract</w:t>
      </w:r>
      <w:r w:rsidRPr="00A00A09">
        <w:rPr>
          <w:spacing w:val="-1"/>
        </w:rPr>
        <w:t xml:space="preserve"> </w:t>
      </w:r>
      <w:r w:rsidRPr="00A00A09">
        <w:t>of</w:t>
      </w:r>
      <w:r w:rsidRPr="00A00A09">
        <w:rPr>
          <w:spacing w:val="-13"/>
        </w:rPr>
        <w:t xml:space="preserve"> </w:t>
      </w:r>
      <w:r w:rsidRPr="00A00A09">
        <w:t>the</w:t>
      </w:r>
      <w:r w:rsidRPr="00A00A09">
        <w:rPr>
          <w:spacing w:val="-14"/>
        </w:rPr>
        <w:t xml:space="preserve"> </w:t>
      </w:r>
      <w:r w:rsidRPr="00A00A09">
        <w:t>Special</w:t>
      </w:r>
      <w:r w:rsidRPr="00A00A09">
        <w:rPr>
          <w:spacing w:val="-8"/>
        </w:rPr>
        <w:t xml:space="preserve"> </w:t>
      </w:r>
      <w:r w:rsidRPr="00A00A09">
        <w:t>Resolutions passed</w:t>
      </w:r>
      <w:r w:rsidRPr="00A00A09">
        <w:rPr>
          <w:spacing w:val="-9"/>
        </w:rPr>
        <w:t xml:space="preserve"> </w:t>
      </w:r>
      <w:r w:rsidRPr="00A00A09">
        <w:t>at</w:t>
      </w:r>
      <w:r w:rsidRPr="00A00A09">
        <w:rPr>
          <w:spacing w:val="-13"/>
        </w:rPr>
        <w:t xml:space="preserve"> </w:t>
      </w:r>
      <w:r w:rsidRPr="00A00A09">
        <w:t>the</w:t>
      </w:r>
      <w:r w:rsidRPr="00A00A09">
        <w:rPr>
          <w:spacing w:val="-11"/>
        </w:rPr>
        <w:t xml:space="preserve"> </w:t>
      </w:r>
      <w:r w:rsidRPr="00A00A09">
        <w:t>Annual</w:t>
      </w:r>
      <w:r w:rsidRPr="00A00A09">
        <w:rPr>
          <w:spacing w:val="-9"/>
        </w:rPr>
        <w:t xml:space="preserve"> </w:t>
      </w:r>
      <w:r w:rsidRPr="00A00A09">
        <w:t>General</w:t>
      </w:r>
      <w:r w:rsidRPr="00A00A09">
        <w:rPr>
          <w:spacing w:val="-3"/>
        </w:rPr>
        <w:t xml:space="preserve"> </w:t>
      </w:r>
      <w:r w:rsidRPr="00A00A09">
        <w:t>Meeting</w:t>
      </w:r>
      <w:r w:rsidRPr="00A00A09">
        <w:rPr>
          <w:spacing w:val="-14"/>
        </w:rPr>
        <w:t xml:space="preserve"> </w:t>
      </w:r>
      <w:r w:rsidRPr="00A00A09">
        <w:t>of</w:t>
      </w:r>
      <w:r w:rsidRPr="00A00A09">
        <w:rPr>
          <w:spacing w:val="-10"/>
        </w:rPr>
        <w:t xml:space="preserve"> </w:t>
      </w:r>
      <w:r w:rsidRPr="00A00A09">
        <w:t>the</w:t>
      </w:r>
      <w:r w:rsidRPr="00A00A09">
        <w:rPr>
          <w:spacing w:val="-14"/>
        </w:rPr>
        <w:t xml:space="preserve"> </w:t>
      </w:r>
      <w:r w:rsidRPr="00A00A09">
        <w:t>Company held</w:t>
      </w:r>
      <w:r w:rsidRPr="00A00A09">
        <w:rPr>
          <w:spacing w:val="-11"/>
        </w:rPr>
        <w:t xml:space="preserve"> </w:t>
      </w:r>
      <w:r w:rsidRPr="00A00A09">
        <w:t>at</w:t>
      </w:r>
      <w:r w:rsidRPr="00A00A09">
        <w:rPr>
          <w:spacing w:val="-9"/>
        </w:rPr>
        <w:t xml:space="preserve"> </w:t>
      </w:r>
      <w:r w:rsidRPr="00A00A09">
        <w:t>the offices of</w:t>
      </w:r>
      <w:r w:rsidRPr="00A00A09">
        <w:rPr>
          <w:spacing w:val="-6"/>
        </w:rPr>
        <w:t xml:space="preserve"> </w:t>
      </w:r>
      <w:r w:rsidRPr="00A00A09">
        <w:t>Artemis Fund</w:t>
      </w:r>
      <w:r w:rsidRPr="00A00A09">
        <w:rPr>
          <w:spacing w:val="-4"/>
        </w:rPr>
        <w:t xml:space="preserve"> </w:t>
      </w:r>
      <w:r w:rsidRPr="00A00A09">
        <w:t>Managers Limited, Cassini</w:t>
      </w:r>
      <w:r w:rsidRPr="00A00A09">
        <w:rPr>
          <w:spacing w:val="-1"/>
        </w:rPr>
        <w:t xml:space="preserve"> </w:t>
      </w:r>
      <w:r w:rsidRPr="00A00A09">
        <w:t>House,</w:t>
      </w:r>
      <w:r w:rsidRPr="00A00A09">
        <w:rPr>
          <w:spacing w:val="-2"/>
        </w:rPr>
        <w:t xml:space="preserve"> </w:t>
      </w:r>
      <w:r w:rsidRPr="00A00A09">
        <w:t>57</w:t>
      </w:r>
      <w:r w:rsidRPr="00A00A09">
        <w:rPr>
          <w:spacing w:val="-11"/>
        </w:rPr>
        <w:t xml:space="preserve"> </w:t>
      </w:r>
      <w:r w:rsidRPr="00A00A09">
        <w:t>St.</w:t>
      </w:r>
      <w:r w:rsidRPr="00A00A09">
        <w:rPr>
          <w:spacing w:val="-6"/>
        </w:rPr>
        <w:t xml:space="preserve"> </w:t>
      </w:r>
      <w:r w:rsidRPr="00A00A09">
        <w:t>James's Street, London</w:t>
      </w:r>
      <w:r w:rsidRPr="00A00A09">
        <w:rPr>
          <w:spacing w:val="-3"/>
        </w:rPr>
        <w:t xml:space="preserve"> </w:t>
      </w:r>
      <w:r w:rsidRPr="00A00A09">
        <w:t>SW1A</w:t>
      </w:r>
      <w:r w:rsidRPr="00A00A09">
        <w:rPr>
          <w:spacing w:val="-2"/>
        </w:rPr>
        <w:t xml:space="preserve"> </w:t>
      </w:r>
      <w:r w:rsidRPr="00A00A09">
        <w:t xml:space="preserve">1LD on Thursday, </w:t>
      </w:r>
      <w:r w:rsidR="00180E6B">
        <w:t xml:space="preserve">17 October 2024 </w:t>
      </w:r>
      <w:r w:rsidRPr="00A00A09">
        <w:t>at 10.00am</w:t>
      </w:r>
    </w:p>
    <w:p w14:paraId="6C5952A5" w14:textId="77777777" w:rsidR="00A00A09" w:rsidRPr="00A00A09" w:rsidRDefault="00A00A09" w:rsidP="00132D6F">
      <w:pPr>
        <w:pStyle w:val="BodyText"/>
        <w:jc w:val="both"/>
      </w:pPr>
    </w:p>
    <w:p w14:paraId="35339CC8" w14:textId="399AF5FC" w:rsidR="00A00A09" w:rsidRDefault="00A00A09" w:rsidP="00132D6F">
      <w:pPr>
        <w:pStyle w:val="Heading1"/>
        <w:spacing w:line="494" w:lineRule="auto"/>
        <w:ind w:left="0" w:firstLine="3"/>
        <w:rPr>
          <w:w w:val="105"/>
          <w:sz w:val="20"/>
          <w:szCs w:val="20"/>
        </w:rPr>
      </w:pPr>
      <w:r w:rsidRPr="00A00A09">
        <w:rPr>
          <w:w w:val="105"/>
          <w:sz w:val="20"/>
          <w:szCs w:val="20"/>
        </w:rPr>
        <w:t>Resolution</w:t>
      </w:r>
      <w:r w:rsidRPr="00A00A09">
        <w:rPr>
          <w:spacing w:val="-16"/>
          <w:w w:val="105"/>
          <w:sz w:val="20"/>
          <w:szCs w:val="20"/>
        </w:rPr>
        <w:t xml:space="preserve"> </w:t>
      </w:r>
      <w:r w:rsidRPr="00A00A09">
        <w:rPr>
          <w:w w:val="105"/>
          <w:sz w:val="20"/>
          <w:szCs w:val="20"/>
        </w:rPr>
        <w:t>1</w:t>
      </w:r>
      <w:r w:rsidR="00180E6B">
        <w:rPr>
          <w:w w:val="105"/>
          <w:sz w:val="20"/>
          <w:szCs w:val="20"/>
        </w:rPr>
        <w:t>2</w:t>
      </w:r>
      <w:r w:rsidRPr="00A00A09">
        <w:rPr>
          <w:spacing w:val="-15"/>
          <w:w w:val="105"/>
          <w:sz w:val="20"/>
          <w:szCs w:val="20"/>
        </w:rPr>
        <w:t xml:space="preserve"> </w:t>
      </w:r>
      <w:r w:rsidRPr="00A00A09">
        <w:rPr>
          <w:w w:val="105"/>
          <w:sz w:val="20"/>
          <w:szCs w:val="20"/>
        </w:rPr>
        <w:t>-</w:t>
      </w:r>
      <w:r w:rsidRPr="00A00A09">
        <w:rPr>
          <w:spacing w:val="3"/>
          <w:w w:val="105"/>
          <w:sz w:val="20"/>
          <w:szCs w:val="20"/>
        </w:rPr>
        <w:t xml:space="preserve"> </w:t>
      </w:r>
      <w:r w:rsidRPr="00A00A09">
        <w:rPr>
          <w:w w:val="105"/>
          <w:sz w:val="20"/>
          <w:szCs w:val="20"/>
        </w:rPr>
        <w:t>Special</w:t>
      </w:r>
      <w:r w:rsidRPr="00A00A09">
        <w:rPr>
          <w:spacing w:val="-15"/>
          <w:w w:val="105"/>
          <w:sz w:val="20"/>
          <w:szCs w:val="20"/>
        </w:rPr>
        <w:t xml:space="preserve"> </w:t>
      </w:r>
      <w:r w:rsidRPr="00A00A09">
        <w:rPr>
          <w:w w:val="105"/>
          <w:sz w:val="20"/>
          <w:szCs w:val="20"/>
        </w:rPr>
        <w:t xml:space="preserve">Resolution </w:t>
      </w:r>
    </w:p>
    <w:p w14:paraId="3EB02392" w14:textId="4D404212" w:rsidR="00A00A09" w:rsidRPr="00A00A09" w:rsidRDefault="00A00A09" w:rsidP="00132D6F">
      <w:pPr>
        <w:pStyle w:val="Heading1"/>
        <w:spacing w:line="494" w:lineRule="auto"/>
        <w:ind w:left="0" w:firstLine="3"/>
        <w:rPr>
          <w:sz w:val="20"/>
          <w:szCs w:val="20"/>
        </w:rPr>
      </w:pPr>
      <w:r w:rsidRPr="00A00A09">
        <w:rPr>
          <w:w w:val="105"/>
          <w:sz w:val="20"/>
          <w:szCs w:val="20"/>
        </w:rPr>
        <w:t>IT WAS RESOLVED:</w:t>
      </w:r>
    </w:p>
    <w:p w14:paraId="06517734" w14:textId="2E61786B" w:rsidR="00A00A09" w:rsidRPr="00A00A09" w:rsidRDefault="00A00A09" w:rsidP="00132D6F">
      <w:pPr>
        <w:pStyle w:val="BodyText"/>
        <w:ind w:firstLine="3"/>
        <w:jc w:val="both"/>
      </w:pPr>
      <w:r w:rsidRPr="00A00A09">
        <w:t>That, the Company be and is hereby generally and unconditionally authorised in accordance with section 701 of</w:t>
      </w:r>
      <w:r w:rsidRPr="00A00A09">
        <w:rPr>
          <w:spacing w:val="-6"/>
        </w:rPr>
        <w:t xml:space="preserve"> </w:t>
      </w:r>
      <w:r w:rsidRPr="00A00A09">
        <w:t>the</w:t>
      </w:r>
      <w:r w:rsidRPr="00A00A09">
        <w:rPr>
          <w:spacing w:val="-6"/>
        </w:rPr>
        <w:t xml:space="preserve"> </w:t>
      </w:r>
      <w:r w:rsidRPr="00A00A09">
        <w:t>Act</w:t>
      </w:r>
      <w:r w:rsidRPr="00A00A09">
        <w:rPr>
          <w:spacing w:val="-4"/>
        </w:rPr>
        <w:t xml:space="preserve"> </w:t>
      </w:r>
      <w:r w:rsidRPr="00A00A09">
        <w:t>to</w:t>
      </w:r>
      <w:r w:rsidRPr="00A00A09">
        <w:rPr>
          <w:spacing w:val="-2"/>
        </w:rPr>
        <w:t xml:space="preserve"> </w:t>
      </w:r>
      <w:r w:rsidRPr="00A00A09">
        <w:t>make</w:t>
      </w:r>
      <w:r w:rsidRPr="00A00A09">
        <w:rPr>
          <w:spacing w:val="-9"/>
        </w:rPr>
        <w:t xml:space="preserve"> </w:t>
      </w:r>
      <w:r w:rsidRPr="00A00A09">
        <w:t>market purchases (within the</w:t>
      </w:r>
      <w:r w:rsidRPr="00A00A09">
        <w:rPr>
          <w:spacing w:val="-9"/>
        </w:rPr>
        <w:t xml:space="preserve"> </w:t>
      </w:r>
      <w:r w:rsidRPr="00A00A09">
        <w:t>meaning of</w:t>
      </w:r>
      <w:r w:rsidRPr="00A00A09">
        <w:rPr>
          <w:spacing w:val="-4"/>
        </w:rPr>
        <w:t xml:space="preserve"> </w:t>
      </w:r>
      <w:r w:rsidRPr="00A00A09">
        <w:t>section 693</w:t>
      </w:r>
      <w:r w:rsidRPr="00A00A09">
        <w:rPr>
          <w:spacing w:val="-9"/>
        </w:rPr>
        <w:t xml:space="preserve"> </w:t>
      </w:r>
      <w:r w:rsidRPr="00A00A09">
        <w:t>of</w:t>
      </w:r>
      <w:r w:rsidRPr="00A00A09">
        <w:rPr>
          <w:spacing w:val="-2"/>
        </w:rPr>
        <w:t xml:space="preserve"> </w:t>
      </w:r>
      <w:r w:rsidRPr="00A00A09">
        <w:t>the</w:t>
      </w:r>
      <w:r w:rsidRPr="00A00A09">
        <w:rPr>
          <w:spacing w:val="-2"/>
        </w:rPr>
        <w:t xml:space="preserve"> </w:t>
      </w:r>
      <w:r w:rsidRPr="00A00A09">
        <w:t>Act</w:t>
      </w:r>
      <w:r w:rsidR="004054BB">
        <w:t>)</w:t>
      </w:r>
      <w:r w:rsidRPr="00A00A09">
        <w:t xml:space="preserve"> of</w:t>
      </w:r>
      <w:r w:rsidRPr="00A00A09">
        <w:rPr>
          <w:spacing w:val="-2"/>
        </w:rPr>
        <w:t xml:space="preserve"> </w:t>
      </w:r>
      <w:r w:rsidRPr="00A00A09">
        <w:t>its issued</w:t>
      </w:r>
      <w:r w:rsidRPr="00A00A09">
        <w:rPr>
          <w:spacing w:val="-1"/>
        </w:rPr>
        <w:t xml:space="preserve"> </w:t>
      </w:r>
      <w:r w:rsidRPr="00A00A09">
        <w:t>ordinary shares for cancellation or to</w:t>
      </w:r>
      <w:r w:rsidRPr="00A00A09">
        <w:rPr>
          <w:spacing w:val="-2"/>
        </w:rPr>
        <w:t xml:space="preserve"> </w:t>
      </w:r>
      <w:r w:rsidRPr="00A00A09">
        <w:t>be</w:t>
      </w:r>
      <w:r w:rsidRPr="00A00A09">
        <w:rPr>
          <w:spacing w:val="-6"/>
        </w:rPr>
        <w:t xml:space="preserve"> </w:t>
      </w:r>
      <w:r w:rsidRPr="00A00A09">
        <w:t>held in</w:t>
      </w:r>
      <w:r w:rsidRPr="00A00A09">
        <w:rPr>
          <w:spacing w:val="-6"/>
        </w:rPr>
        <w:t xml:space="preserve"> </w:t>
      </w:r>
      <w:r w:rsidRPr="00A00A09">
        <w:t>treasury, provided that:</w:t>
      </w:r>
    </w:p>
    <w:p w14:paraId="7E56AD39" w14:textId="77777777" w:rsidR="00A00A09" w:rsidRPr="00A00A09" w:rsidRDefault="00A00A09" w:rsidP="00132D6F">
      <w:pPr>
        <w:pStyle w:val="BodyText"/>
        <w:spacing w:before="9"/>
        <w:jc w:val="both"/>
      </w:pPr>
    </w:p>
    <w:p w14:paraId="5E4071C5" w14:textId="185D7AD2" w:rsidR="00A00A09" w:rsidRPr="00A00A09" w:rsidRDefault="004054BB" w:rsidP="00132D6F">
      <w:pPr>
        <w:pStyle w:val="BodyText"/>
        <w:numPr>
          <w:ilvl w:val="0"/>
          <w:numId w:val="2"/>
        </w:numPr>
        <w:spacing w:line="237" w:lineRule="auto"/>
        <w:ind w:left="360"/>
        <w:jc w:val="both"/>
      </w:pPr>
      <w:r w:rsidRPr="00C125F2">
        <w:t>the maximum aggregate number of ordinary shares hereby authorised to be purchased shall not exceed 4,903,701 or, if less, that number of ordinary shares which is equal to 14.99% of the issued ordinary share capital of the Company (excluding treasury shares) as at the date of this Resolution</w:t>
      </w:r>
      <w:r w:rsidR="00A00A09" w:rsidRPr="00A00A09">
        <w:t>;</w:t>
      </w:r>
    </w:p>
    <w:p w14:paraId="69597B64" w14:textId="77777777" w:rsidR="00A00A09" w:rsidRPr="00A00A09" w:rsidRDefault="00A00A09" w:rsidP="00132D6F">
      <w:pPr>
        <w:pStyle w:val="BodyText"/>
        <w:spacing w:before="5"/>
        <w:ind w:left="360"/>
        <w:jc w:val="both"/>
      </w:pPr>
    </w:p>
    <w:p w14:paraId="28DF8997" w14:textId="610B20DF" w:rsidR="00A00A09" w:rsidRPr="00A00A09" w:rsidRDefault="00A00A09" w:rsidP="00132D6F">
      <w:pPr>
        <w:pStyle w:val="BodyText"/>
        <w:numPr>
          <w:ilvl w:val="0"/>
          <w:numId w:val="2"/>
        </w:numPr>
        <w:spacing w:before="1" w:line="237" w:lineRule="auto"/>
        <w:ind w:left="360"/>
        <w:jc w:val="both"/>
      </w:pPr>
      <w:r w:rsidRPr="00A00A09">
        <w:t>the</w:t>
      </w:r>
      <w:r w:rsidRPr="00A00A09">
        <w:rPr>
          <w:spacing w:val="-12"/>
        </w:rPr>
        <w:t xml:space="preserve"> </w:t>
      </w:r>
      <w:r w:rsidRPr="00A00A09">
        <w:t>minimum price</w:t>
      </w:r>
      <w:r w:rsidRPr="00A00A09">
        <w:rPr>
          <w:spacing w:val="-4"/>
        </w:rPr>
        <w:t xml:space="preserve"> </w:t>
      </w:r>
      <w:r w:rsidRPr="00A00A09">
        <w:t>which</w:t>
      </w:r>
      <w:r w:rsidRPr="00A00A09">
        <w:rPr>
          <w:spacing w:val="-11"/>
        </w:rPr>
        <w:t xml:space="preserve"> </w:t>
      </w:r>
      <w:r w:rsidRPr="00A00A09">
        <w:t>may</w:t>
      </w:r>
      <w:r w:rsidRPr="00A00A09">
        <w:rPr>
          <w:spacing w:val="-9"/>
        </w:rPr>
        <w:t xml:space="preserve"> </w:t>
      </w:r>
      <w:r w:rsidRPr="00A00A09">
        <w:t>be</w:t>
      </w:r>
      <w:r w:rsidRPr="00A00A09">
        <w:rPr>
          <w:spacing w:val="-11"/>
        </w:rPr>
        <w:t xml:space="preserve"> </w:t>
      </w:r>
      <w:r w:rsidRPr="00A00A09">
        <w:t>paid</w:t>
      </w:r>
      <w:r w:rsidRPr="00A00A09">
        <w:rPr>
          <w:spacing w:val="-12"/>
        </w:rPr>
        <w:t xml:space="preserve"> </w:t>
      </w:r>
      <w:r w:rsidRPr="00A00A09">
        <w:t>for</w:t>
      </w:r>
      <w:r w:rsidRPr="00A00A09">
        <w:rPr>
          <w:spacing w:val="-4"/>
        </w:rPr>
        <w:t xml:space="preserve"> </w:t>
      </w:r>
      <w:r w:rsidRPr="00A00A09">
        <w:t>an</w:t>
      </w:r>
      <w:r w:rsidRPr="00A00A09">
        <w:rPr>
          <w:spacing w:val="-11"/>
        </w:rPr>
        <w:t xml:space="preserve"> </w:t>
      </w:r>
      <w:r w:rsidRPr="00A00A09">
        <w:t>ordinary share</w:t>
      </w:r>
      <w:r w:rsidRPr="00A00A09">
        <w:rPr>
          <w:spacing w:val="-2"/>
        </w:rPr>
        <w:t xml:space="preserve"> </w:t>
      </w:r>
      <w:r w:rsidRPr="00A00A09">
        <w:t>shall</w:t>
      </w:r>
      <w:r w:rsidRPr="00A00A09">
        <w:rPr>
          <w:spacing w:val="-10"/>
        </w:rPr>
        <w:t xml:space="preserve"> </w:t>
      </w:r>
      <w:r w:rsidRPr="00A00A09">
        <w:t>be</w:t>
      </w:r>
      <w:r w:rsidRPr="00A00A09">
        <w:rPr>
          <w:spacing w:val="-14"/>
        </w:rPr>
        <w:t xml:space="preserve"> </w:t>
      </w:r>
      <w:r w:rsidRPr="00A00A09">
        <w:t>1</w:t>
      </w:r>
      <w:r w:rsidRPr="00A00A09">
        <w:rPr>
          <w:spacing w:val="-12"/>
        </w:rPr>
        <w:t xml:space="preserve"> </w:t>
      </w:r>
      <w:r w:rsidRPr="00A00A09">
        <w:t>pence</w:t>
      </w:r>
      <w:r w:rsidRPr="00A00A09">
        <w:rPr>
          <w:spacing w:val="-6"/>
        </w:rPr>
        <w:t xml:space="preserve"> </w:t>
      </w:r>
      <w:r w:rsidRPr="00A00A09">
        <w:t>per</w:t>
      </w:r>
      <w:r w:rsidRPr="00A00A09">
        <w:rPr>
          <w:spacing w:val="-7"/>
        </w:rPr>
        <w:t xml:space="preserve"> </w:t>
      </w:r>
      <w:r w:rsidRPr="00A00A09">
        <w:t>share</w:t>
      </w:r>
      <w:r w:rsidRPr="00A00A09">
        <w:rPr>
          <w:spacing w:val="-4"/>
        </w:rPr>
        <w:t xml:space="preserve"> </w:t>
      </w:r>
      <w:r w:rsidRPr="00A00A09">
        <w:t>being</w:t>
      </w:r>
      <w:r w:rsidRPr="00A00A09">
        <w:rPr>
          <w:spacing w:val="-10"/>
        </w:rPr>
        <w:t xml:space="preserve"> </w:t>
      </w:r>
      <w:r w:rsidRPr="00A00A09">
        <w:t>the nominal value thereof;</w:t>
      </w:r>
    </w:p>
    <w:p w14:paraId="22AE2CAA" w14:textId="77777777" w:rsidR="00A00A09" w:rsidRPr="00A00A09" w:rsidRDefault="00A00A09" w:rsidP="00132D6F">
      <w:pPr>
        <w:pStyle w:val="BodyText"/>
        <w:spacing w:before="7"/>
        <w:ind w:left="360"/>
        <w:jc w:val="both"/>
      </w:pPr>
    </w:p>
    <w:p w14:paraId="0EF44230" w14:textId="1F7FA7A7" w:rsidR="00A00A09" w:rsidRPr="00A00A09" w:rsidRDefault="00A00A09" w:rsidP="00132D6F">
      <w:pPr>
        <w:pStyle w:val="BodyText"/>
        <w:numPr>
          <w:ilvl w:val="0"/>
          <w:numId w:val="2"/>
        </w:numPr>
        <w:ind w:left="360"/>
        <w:jc w:val="both"/>
      </w:pPr>
      <w:r w:rsidRPr="00A00A09">
        <w:t>the</w:t>
      </w:r>
      <w:r w:rsidRPr="00A00A09">
        <w:rPr>
          <w:spacing w:val="-12"/>
        </w:rPr>
        <w:t xml:space="preserve"> </w:t>
      </w:r>
      <w:r w:rsidRPr="00A00A09">
        <w:t>maximum</w:t>
      </w:r>
      <w:r w:rsidRPr="00A00A09">
        <w:rPr>
          <w:spacing w:val="3"/>
        </w:rPr>
        <w:t xml:space="preserve"> </w:t>
      </w:r>
      <w:r w:rsidRPr="00A00A09">
        <w:t>price</w:t>
      </w:r>
      <w:r w:rsidRPr="00A00A09">
        <w:rPr>
          <w:spacing w:val="-5"/>
        </w:rPr>
        <w:t xml:space="preserve"> </w:t>
      </w:r>
      <w:r w:rsidRPr="00A00A09">
        <w:t>which</w:t>
      </w:r>
      <w:r w:rsidRPr="00A00A09">
        <w:rPr>
          <w:spacing w:val="-8"/>
        </w:rPr>
        <w:t xml:space="preserve"> </w:t>
      </w:r>
      <w:r w:rsidRPr="00A00A09">
        <w:t>may</w:t>
      </w:r>
      <w:r w:rsidRPr="00A00A09">
        <w:rPr>
          <w:spacing w:val="-3"/>
        </w:rPr>
        <w:t xml:space="preserve"> </w:t>
      </w:r>
      <w:r w:rsidRPr="00A00A09">
        <w:t>be</w:t>
      </w:r>
      <w:r w:rsidRPr="00A00A09">
        <w:rPr>
          <w:spacing w:val="-8"/>
        </w:rPr>
        <w:t xml:space="preserve"> </w:t>
      </w:r>
      <w:r w:rsidRPr="00A00A09">
        <w:t>paid</w:t>
      </w:r>
      <w:r w:rsidRPr="00A00A09">
        <w:rPr>
          <w:spacing w:val="-13"/>
        </w:rPr>
        <w:t xml:space="preserve"> </w:t>
      </w:r>
      <w:r w:rsidRPr="00A00A09">
        <w:t>for</w:t>
      </w:r>
      <w:r w:rsidRPr="00A00A09">
        <w:rPr>
          <w:spacing w:val="-6"/>
        </w:rPr>
        <w:t xml:space="preserve"> </w:t>
      </w:r>
      <w:r w:rsidRPr="00A00A09">
        <w:t>an</w:t>
      </w:r>
      <w:r w:rsidRPr="00A00A09">
        <w:rPr>
          <w:spacing w:val="-11"/>
        </w:rPr>
        <w:t xml:space="preserve"> </w:t>
      </w:r>
      <w:r w:rsidRPr="00A00A09">
        <w:t>ordinary</w:t>
      </w:r>
      <w:r w:rsidRPr="00A00A09">
        <w:rPr>
          <w:spacing w:val="7"/>
        </w:rPr>
        <w:t xml:space="preserve"> </w:t>
      </w:r>
      <w:r w:rsidRPr="00A00A09">
        <w:t>share</w:t>
      </w:r>
      <w:r w:rsidRPr="00A00A09">
        <w:rPr>
          <w:spacing w:val="-7"/>
        </w:rPr>
        <w:t xml:space="preserve"> </w:t>
      </w:r>
      <w:r w:rsidRPr="00A00A09">
        <w:t>shall</w:t>
      </w:r>
      <w:r w:rsidRPr="00A00A09">
        <w:rPr>
          <w:spacing w:val="-6"/>
        </w:rPr>
        <w:t xml:space="preserve"> </w:t>
      </w:r>
      <w:r w:rsidRPr="00A00A09">
        <w:t>not</w:t>
      </w:r>
      <w:r w:rsidRPr="00A00A09">
        <w:rPr>
          <w:spacing w:val="-4"/>
        </w:rPr>
        <w:t xml:space="preserve"> </w:t>
      </w:r>
      <w:r w:rsidRPr="00A00A09">
        <w:t>exceed the</w:t>
      </w:r>
      <w:r w:rsidRPr="00A00A09">
        <w:rPr>
          <w:spacing w:val="-6"/>
        </w:rPr>
        <w:t xml:space="preserve"> </w:t>
      </w:r>
      <w:r w:rsidRPr="00A00A09">
        <w:t xml:space="preserve">higher </w:t>
      </w:r>
      <w:r w:rsidRPr="00A00A09">
        <w:rPr>
          <w:spacing w:val="-5"/>
        </w:rPr>
        <w:t>of:</w:t>
      </w:r>
    </w:p>
    <w:p w14:paraId="4B9BE967" w14:textId="77777777" w:rsidR="00A00A09" w:rsidRPr="00A00A09" w:rsidRDefault="00A00A09" w:rsidP="00132D6F">
      <w:pPr>
        <w:pStyle w:val="BodyText"/>
        <w:spacing w:before="8"/>
        <w:jc w:val="both"/>
      </w:pPr>
    </w:p>
    <w:p w14:paraId="7D5273C0" w14:textId="50F223F9" w:rsidR="00A00A09" w:rsidRPr="00A00A09" w:rsidRDefault="00A00A09" w:rsidP="00132D6F">
      <w:pPr>
        <w:pStyle w:val="BodyText"/>
        <w:numPr>
          <w:ilvl w:val="0"/>
          <w:numId w:val="3"/>
        </w:numPr>
        <w:spacing w:line="237" w:lineRule="auto"/>
        <w:ind w:left="1080"/>
        <w:jc w:val="both"/>
      </w:pPr>
      <w:r w:rsidRPr="00A00A09">
        <w:t>5%</w:t>
      </w:r>
      <w:r w:rsidRPr="00A00A09">
        <w:rPr>
          <w:spacing w:val="-5"/>
        </w:rPr>
        <w:t xml:space="preserve"> </w:t>
      </w:r>
      <w:r w:rsidRPr="00A00A09">
        <w:t>above the</w:t>
      </w:r>
      <w:r w:rsidRPr="00A00A09">
        <w:rPr>
          <w:spacing w:val="-4"/>
        </w:rPr>
        <w:t xml:space="preserve"> </w:t>
      </w:r>
      <w:r w:rsidRPr="00A00A09">
        <w:t>average of</w:t>
      </w:r>
      <w:r w:rsidRPr="00A00A09">
        <w:rPr>
          <w:spacing w:val="-6"/>
        </w:rPr>
        <w:t xml:space="preserve"> </w:t>
      </w:r>
      <w:r w:rsidRPr="00A00A09">
        <w:t>the</w:t>
      </w:r>
      <w:r w:rsidRPr="00A00A09">
        <w:rPr>
          <w:spacing w:val="-6"/>
        </w:rPr>
        <w:t xml:space="preserve"> </w:t>
      </w:r>
      <w:r w:rsidRPr="00A00A09">
        <w:t>middle</w:t>
      </w:r>
      <w:r w:rsidRPr="00A00A09">
        <w:rPr>
          <w:spacing w:val="-2"/>
        </w:rPr>
        <w:t xml:space="preserve"> </w:t>
      </w:r>
      <w:r w:rsidRPr="00A00A09">
        <w:t>market quotation (as</w:t>
      </w:r>
      <w:r w:rsidRPr="00A00A09">
        <w:rPr>
          <w:spacing w:val="-5"/>
        </w:rPr>
        <w:t xml:space="preserve"> </w:t>
      </w:r>
      <w:r w:rsidRPr="00A00A09">
        <w:t>derived</w:t>
      </w:r>
      <w:r w:rsidRPr="00A00A09">
        <w:rPr>
          <w:spacing w:val="-5"/>
        </w:rPr>
        <w:t xml:space="preserve"> </w:t>
      </w:r>
      <w:r w:rsidRPr="00A00A09">
        <w:t>from</w:t>
      </w:r>
      <w:r w:rsidRPr="00A00A09">
        <w:rPr>
          <w:spacing w:val="-4"/>
        </w:rPr>
        <w:t xml:space="preserve"> </w:t>
      </w:r>
      <w:r w:rsidRPr="00A00A09">
        <w:t>the</w:t>
      </w:r>
      <w:r w:rsidRPr="00A00A09">
        <w:rPr>
          <w:spacing w:val="-4"/>
        </w:rPr>
        <w:t xml:space="preserve"> </w:t>
      </w:r>
      <w:r w:rsidRPr="00A00A09">
        <w:t>Daily</w:t>
      </w:r>
      <w:r w:rsidRPr="00A00A09">
        <w:rPr>
          <w:spacing w:val="-2"/>
        </w:rPr>
        <w:t xml:space="preserve"> </w:t>
      </w:r>
      <w:r w:rsidRPr="00A00A09">
        <w:t>Official List</w:t>
      </w:r>
      <w:r w:rsidRPr="00A00A09">
        <w:rPr>
          <w:spacing w:val="-14"/>
        </w:rPr>
        <w:t xml:space="preserve"> </w:t>
      </w:r>
      <w:r w:rsidRPr="00A00A09">
        <w:t>of</w:t>
      </w:r>
      <w:r w:rsidRPr="00A00A09">
        <w:rPr>
          <w:spacing w:val="-14"/>
        </w:rPr>
        <w:t xml:space="preserve"> </w:t>
      </w:r>
      <w:r w:rsidRPr="00A00A09">
        <w:t>the</w:t>
      </w:r>
      <w:r w:rsidRPr="00A00A09">
        <w:rPr>
          <w:spacing w:val="-14"/>
        </w:rPr>
        <w:t xml:space="preserve"> </w:t>
      </w:r>
      <w:r w:rsidRPr="00A00A09">
        <w:t>London</w:t>
      </w:r>
      <w:r w:rsidRPr="00A00A09">
        <w:rPr>
          <w:spacing w:val="-14"/>
        </w:rPr>
        <w:t xml:space="preserve"> </w:t>
      </w:r>
      <w:r w:rsidRPr="00A00A09">
        <w:t>Stock</w:t>
      </w:r>
      <w:r w:rsidRPr="00A00A09">
        <w:rPr>
          <w:spacing w:val="-14"/>
        </w:rPr>
        <w:t xml:space="preserve"> </w:t>
      </w:r>
      <w:r w:rsidRPr="00A00A09">
        <w:t>Exchange}</w:t>
      </w:r>
      <w:r w:rsidRPr="00A00A09">
        <w:rPr>
          <w:spacing w:val="-14"/>
        </w:rPr>
        <w:t xml:space="preserve"> </w:t>
      </w:r>
      <w:r w:rsidRPr="00A00A09">
        <w:t>for</w:t>
      </w:r>
      <w:r w:rsidRPr="00A00A09">
        <w:rPr>
          <w:spacing w:val="-14"/>
        </w:rPr>
        <w:t xml:space="preserve"> </w:t>
      </w:r>
      <w:r w:rsidRPr="00A00A09">
        <w:t>the</w:t>
      </w:r>
      <w:r w:rsidRPr="00A00A09">
        <w:rPr>
          <w:spacing w:val="-14"/>
        </w:rPr>
        <w:t xml:space="preserve"> </w:t>
      </w:r>
      <w:r w:rsidRPr="00A00A09">
        <w:t>five</w:t>
      </w:r>
      <w:r w:rsidRPr="00A00A09">
        <w:rPr>
          <w:spacing w:val="-14"/>
        </w:rPr>
        <w:t xml:space="preserve"> </w:t>
      </w:r>
      <w:r w:rsidRPr="00A00A09">
        <w:t>business</w:t>
      </w:r>
      <w:r w:rsidRPr="00A00A09">
        <w:rPr>
          <w:spacing w:val="-13"/>
        </w:rPr>
        <w:t xml:space="preserve"> </w:t>
      </w:r>
      <w:r w:rsidRPr="00A00A09">
        <w:t>days</w:t>
      </w:r>
      <w:r w:rsidRPr="00A00A09">
        <w:rPr>
          <w:spacing w:val="-14"/>
        </w:rPr>
        <w:t xml:space="preserve"> </w:t>
      </w:r>
      <w:r w:rsidRPr="00A00A09">
        <w:t>immediately</w:t>
      </w:r>
      <w:r w:rsidRPr="00A00A09">
        <w:rPr>
          <w:spacing w:val="-14"/>
        </w:rPr>
        <w:t xml:space="preserve"> </w:t>
      </w:r>
      <w:r w:rsidRPr="00A00A09">
        <w:t>preceding</w:t>
      </w:r>
      <w:r w:rsidRPr="00A00A09">
        <w:rPr>
          <w:spacing w:val="-13"/>
        </w:rPr>
        <w:t xml:space="preserve"> </w:t>
      </w:r>
      <w:r w:rsidRPr="00A00A09">
        <w:t>the date on</w:t>
      </w:r>
      <w:r w:rsidRPr="00A00A09">
        <w:rPr>
          <w:spacing w:val="-7"/>
        </w:rPr>
        <w:t xml:space="preserve"> </w:t>
      </w:r>
      <w:r w:rsidRPr="00A00A09">
        <w:t>which the purchase is made; and</w:t>
      </w:r>
    </w:p>
    <w:p w14:paraId="3FE8AB3F" w14:textId="77777777" w:rsidR="00A00A09" w:rsidRPr="00A00A09" w:rsidRDefault="00A00A09" w:rsidP="00132D6F">
      <w:pPr>
        <w:pStyle w:val="BodyText"/>
        <w:spacing w:line="237" w:lineRule="auto"/>
        <w:ind w:left="1080"/>
        <w:jc w:val="both"/>
      </w:pPr>
    </w:p>
    <w:p w14:paraId="77E13D4A" w14:textId="71163DEC" w:rsidR="00A00A09" w:rsidRPr="00A00A09" w:rsidRDefault="00A00A09" w:rsidP="00132D6F">
      <w:pPr>
        <w:pStyle w:val="BodyText"/>
        <w:numPr>
          <w:ilvl w:val="0"/>
          <w:numId w:val="3"/>
        </w:numPr>
        <w:spacing w:line="237" w:lineRule="auto"/>
        <w:ind w:left="1080"/>
        <w:jc w:val="both"/>
      </w:pPr>
      <w:r w:rsidRPr="00A00A09">
        <w:t>the higher of the price quoted for (a} the last independent trade of; and (b} the highest current independent bid for any number of shares on the trading venue where the purchase is carried out;</w:t>
      </w:r>
    </w:p>
    <w:p w14:paraId="16F94290" w14:textId="77777777" w:rsidR="00A00A09" w:rsidRPr="00A00A09" w:rsidRDefault="00A00A09" w:rsidP="00132D6F">
      <w:pPr>
        <w:pStyle w:val="BodyText"/>
        <w:spacing w:before="5"/>
        <w:jc w:val="both"/>
      </w:pPr>
    </w:p>
    <w:p w14:paraId="737B3965" w14:textId="68B4B789" w:rsidR="00A00A09" w:rsidRPr="00A00A09" w:rsidRDefault="004054BB" w:rsidP="00132D6F">
      <w:pPr>
        <w:pStyle w:val="BodyText"/>
        <w:numPr>
          <w:ilvl w:val="0"/>
          <w:numId w:val="2"/>
        </w:numPr>
        <w:spacing w:before="1"/>
        <w:ind w:left="360"/>
        <w:jc w:val="both"/>
      </w:pPr>
      <w:r>
        <w:t>t</w:t>
      </w:r>
      <w:r w:rsidR="00A00A09" w:rsidRPr="00A00A09">
        <w:t>he authority hereby conferred shall expire at the conclusion of the Company's annual general meeting</w:t>
      </w:r>
      <w:r w:rsidR="00A00A09" w:rsidRPr="00A00A09">
        <w:rPr>
          <w:spacing w:val="-1"/>
        </w:rPr>
        <w:t xml:space="preserve"> </w:t>
      </w:r>
      <w:r w:rsidR="00A00A09" w:rsidRPr="00A00A09">
        <w:t>to</w:t>
      </w:r>
      <w:r w:rsidR="00A00A09" w:rsidRPr="00A00A09">
        <w:rPr>
          <w:spacing w:val="-7"/>
        </w:rPr>
        <w:t xml:space="preserve"> </w:t>
      </w:r>
      <w:r w:rsidR="00A00A09" w:rsidRPr="00A00A09">
        <w:t>be</w:t>
      </w:r>
      <w:r w:rsidR="00A00A09" w:rsidRPr="00A00A09">
        <w:rPr>
          <w:spacing w:val="-7"/>
        </w:rPr>
        <w:t xml:space="preserve"> </w:t>
      </w:r>
      <w:r w:rsidR="00A00A09" w:rsidRPr="00A00A09">
        <w:t>held</w:t>
      </w:r>
      <w:r w:rsidR="00A00A09" w:rsidRPr="00A00A09">
        <w:rPr>
          <w:spacing w:val="-4"/>
        </w:rPr>
        <w:t xml:space="preserve"> </w:t>
      </w:r>
      <w:r w:rsidR="00A00A09" w:rsidRPr="00A00A09">
        <w:t>in</w:t>
      </w:r>
      <w:r w:rsidR="00A00A09" w:rsidRPr="00A00A09">
        <w:rPr>
          <w:spacing w:val="-1"/>
        </w:rPr>
        <w:t xml:space="preserve"> </w:t>
      </w:r>
      <w:r w:rsidR="00A00A09" w:rsidRPr="00A00A09">
        <w:t>202</w:t>
      </w:r>
      <w:r w:rsidR="00180E6B">
        <w:t>5</w:t>
      </w:r>
      <w:r w:rsidR="00A00A09" w:rsidRPr="00A00A09">
        <w:rPr>
          <w:spacing w:val="-6"/>
        </w:rPr>
        <w:t xml:space="preserve"> </w:t>
      </w:r>
      <w:r w:rsidR="00A00A09" w:rsidRPr="00A00A09">
        <w:t>unless previously revoked, varied</w:t>
      </w:r>
      <w:r w:rsidR="00A00A09" w:rsidRPr="00A00A09">
        <w:rPr>
          <w:spacing w:val="-6"/>
        </w:rPr>
        <w:t xml:space="preserve"> </w:t>
      </w:r>
      <w:r w:rsidR="00A00A09" w:rsidRPr="00A00A09">
        <w:t>or</w:t>
      </w:r>
      <w:r w:rsidR="00A00A09" w:rsidRPr="00A00A09">
        <w:rPr>
          <w:spacing w:val="-4"/>
        </w:rPr>
        <w:t xml:space="preserve"> </w:t>
      </w:r>
      <w:r w:rsidR="00A00A09" w:rsidRPr="00A00A09">
        <w:t>extended by the</w:t>
      </w:r>
      <w:r w:rsidR="00A00A09" w:rsidRPr="00A00A09">
        <w:rPr>
          <w:spacing w:val="-7"/>
        </w:rPr>
        <w:t xml:space="preserve"> </w:t>
      </w:r>
      <w:r w:rsidR="00A00A09" w:rsidRPr="00A00A09">
        <w:t>Company at</w:t>
      </w:r>
      <w:r w:rsidR="00A00A09" w:rsidRPr="00A00A09">
        <w:rPr>
          <w:spacing w:val="-4"/>
        </w:rPr>
        <w:t xml:space="preserve"> </w:t>
      </w:r>
      <w:r w:rsidR="00A00A09" w:rsidRPr="00A00A09">
        <w:t>a general meeting; and</w:t>
      </w:r>
    </w:p>
    <w:p w14:paraId="5955C28A" w14:textId="77777777" w:rsidR="00A00A09" w:rsidRPr="00A00A09" w:rsidRDefault="00A00A09" w:rsidP="00132D6F">
      <w:pPr>
        <w:pStyle w:val="BodyText"/>
        <w:spacing w:before="5"/>
        <w:ind w:left="360"/>
        <w:jc w:val="both"/>
      </w:pPr>
    </w:p>
    <w:p w14:paraId="4A1502DF" w14:textId="666481BA" w:rsidR="00A00A09" w:rsidRPr="00A00A09" w:rsidRDefault="00A00A09" w:rsidP="00132D6F">
      <w:pPr>
        <w:pStyle w:val="BodyText"/>
        <w:numPr>
          <w:ilvl w:val="0"/>
          <w:numId w:val="2"/>
        </w:numPr>
        <w:spacing w:line="237" w:lineRule="auto"/>
        <w:ind w:left="360"/>
        <w:jc w:val="both"/>
      </w:pPr>
      <w:r w:rsidRPr="00A00A09">
        <w:t>the</w:t>
      </w:r>
      <w:r w:rsidRPr="00A00A09">
        <w:rPr>
          <w:spacing w:val="-14"/>
        </w:rPr>
        <w:t xml:space="preserve"> </w:t>
      </w:r>
      <w:r w:rsidRPr="00A00A09">
        <w:t>Company</w:t>
      </w:r>
      <w:r w:rsidRPr="00A00A09">
        <w:rPr>
          <w:spacing w:val="-5"/>
        </w:rPr>
        <w:t xml:space="preserve"> </w:t>
      </w:r>
      <w:r w:rsidRPr="00A00A09">
        <w:t>may</w:t>
      </w:r>
      <w:r w:rsidRPr="00A00A09">
        <w:rPr>
          <w:spacing w:val="-14"/>
        </w:rPr>
        <w:t xml:space="preserve"> </w:t>
      </w:r>
      <w:r w:rsidRPr="00A00A09">
        <w:t>make</w:t>
      </w:r>
      <w:r w:rsidRPr="00A00A09">
        <w:rPr>
          <w:spacing w:val="-14"/>
        </w:rPr>
        <w:t xml:space="preserve"> </w:t>
      </w:r>
      <w:r w:rsidRPr="00A00A09">
        <w:t>a</w:t>
      </w:r>
      <w:r w:rsidRPr="00A00A09">
        <w:rPr>
          <w:spacing w:val="-14"/>
        </w:rPr>
        <w:t xml:space="preserve"> </w:t>
      </w:r>
      <w:r w:rsidRPr="00A00A09">
        <w:t>contract</w:t>
      </w:r>
      <w:r w:rsidRPr="00A00A09">
        <w:rPr>
          <w:spacing w:val="-7"/>
        </w:rPr>
        <w:t xml:space="preserve"> </w:t>
      </w:r>
      <w:r w:rsidRPr="00A00A09">
        <w:t>to</w:t>
      </w:r>
      <w:r w:rsidRPr="00A00A09">
        <w:rPr>
          <w:spacing w:val="-14"/>
        </w:rPr>
        <w:t xml:space="preserve"> </w:t>
      </w:r>
      <w:r w:rsidRPr="00A00A09">
        <w:t>purchase</w:t>
      </w:r>
      <w:r w:rsidRPr="00A00A09">
        <w:rPr>
          <w:spacing w:val="-3"/>
        </w:rPr>
        <w:t xml:space="preserve"> </w:t>
      </w:r>
      <w:r w:rsidRPr="00A00A09">
        <w:t>shares</w:t>
      </w:r>
      <w:r w:rsidRPr="00A00A09">
        <w:rPr>
          <w:spacing w:val="-5"/>
        </w:rPr>
        <w:t xml:space="preserve"> </w:t>
      </w:r>
      <w:r w:rsidRPr="00A00A09">
        <w:t>under</w:t>
      </w:r>
      <w:r w:rsidRPr="00A00A09">
        <w:rPr>
          <w:spacing w:val="-2"/>
        </w:rPr>
        <w:t xml:space="preserve"> </w:t>
      </w:r>
      <w:r w:rsidRPr="00A00A09">
        <w:t>the</w:t>
      </w:r>
      <w:r w:rsidRPr="00A00A09">
        <w:rPr>
          <w:spacing w:val="-14"/>
        </w:rPr>
        <w:t xml:space="preserve"> </w:t>
      </w:r>
      <w:r w:rsidRPr="00A00A09">
        <w:t>authority</w:t>
      </w:r>
      <w:r w:rsidRPr="00A00A09">
        <w:rPr>
          <w:spacing w:val="-13"/>
        </w:rPr>
        <w:t xml:space="preserve"> </w:t>
      </w:r>
      <w:r w:rsidRPr="00A00A09">
        <w:t>hereby</w:t>
      </w:r>
      <w:r w:rsidRPr="00A00A09">
        <w:rPr>
          <w:spacing w:val="-9"/>
        </w:rPr>
        <w:t xml:space="preserve"> </w:t>
      </w:r>
      <w:r w:rsidRPr="00A00A09">
        <w:t>conferred</w:t>
      </w:r>
      <w:r w:rsidRPr="00A00A09">
        <w:rPr>
          <w:spacing w:val="-10"/>
        </w:rPr>
        <w:t xml:space="preserve"> </w:t>
      </w:r>
      <w:r w:rsidRPr="00A00A09">
        <w:t>prior to</w:t>
      </w:r>
      <w:r w:rsidRPr="00A00A09">
        <w:rPr>
          <w:spacing w:val="-14"/>
        </w:rPr>
        <w:t xml:space="preserve"> </w:t>
      </w:r>
      <w:r w:rsidRPr="00A00A09">
        <w:t>the</w:t>
      </w:r>
      <w:r w:rsidRPr="00A00A09">
        <w:rPr>
          <w:spacing w:val="-14"/>
        </w:rPr>
        <w:t xml:space="preserve"> </w:t>
      </w:r>
      <w:r w:rsidRPr="00A00A09">
        <w:t>expiry</w:t>
      </w:r>
      <w:r w:rsidRPr="00A00A09">
        <w:rPr>
          <w:spacing w:val="-14"/>
        </w:rPr>
        <w:t xml:space="preserve"> </w:t>
      </w:r>
      <w:r w:rsidRPr="00A00A09">
        <w:t>of</w:t>
      </w:r>
      <w:r w:rsidRPr="00A00A09">
        <w:rPr>
          <w:spacing w:val="-14"/>
        </w:rPr>
        <w:t xml:space="preserve"> </w:t>
      </w:r>
      <w:r w:rsidRPr="00A00A09">
        <w:t>such</w:t>
      </w:r>
      <w:r w:rsidRPr="00A00A09">
        <w:rPr>
          <w:spacing w:val="-14"/>
        </w:rPr>
        <w:t xml:space="preserve"> </w:t>
      </w:r>
      <w:r w:rsidRPr="00A00A09">
        <w:t>authority</w:t>
      </w:r>
      <w:r w:rsidRPr="00A00A09">
        <w:rPr>
          <w:spacing w:val="-2"/>
        </w:rPr>
        <w:t xml:space="preserve"> </w:t>
      </w:r>
      <w:r w:rsidRPr="00A00A09">
        <w:t>and</w:t>
      </w:r>
      <w:r w:rsidRPr="00A00A09">
        <w:rPr>
          <w:spacing w:val="-14"/>
        </w:rPr>
        <w:t xml:space="preserve"> </w:t>
      </w:r>
      <w:r w:rsidRPr="00A00A09">
        <w:t>may</w:t>
      </w:r>
      <w:r w:rsidRPr="00A00A09">
        <w:rPr>
          <w:spacing w:val="-13"/>
        </w:rPr>
        <w:t xml:space="preserve"> </w:t>
      </w:r>
      <w:r w:rsidRPr="00A00A09">
        <w:t>make</w:t>
      </w:r>
      <w:r w:rsidRPr="00A00A09">
        <w:rPr>
          <w:spacing w:val="-10"/>
        </w:rPr>
        <w:t xml:space="preserve"> </w:t>
      </w:r>
      <w:r w:rsidRPr="00A00A09">
        <w:t>a</w:t>
      </w:r>
      <w:r w:rsidRPr="00A00A09">
        <w:rPr>
          <w:spacing w:val="-14"/>
        </w:rPr>
        <w:t xml:space="preserve"> </w:t>
      </w:r>
      <w:r w:rsidRPr="00A00A09">
        <w:t>purchase</w:t>
      </w:r>
      <w:r w:rsidRPr="00A00A09">
        <w:rPr>
          <w:spacing w:val="-4"/>
        </w:rPr>
        <w:t xml:space="preserve"> </w:t>
      </w:r>
      <w:r w:rsidRPr="00A00A09">
        <w:t>of</w:t>
      </w:r>
      <w:r w:rsidRPr="00A00A09">
        <w:rPr>
          <w:spacing w:val="-14"/>
        </w:rPr>
        <w:t xml:space="preserve"> </w:t>
      </w:r>
      <w:r w:rsidRPr="00A00A09">
        <w:t>shares</w:t>
      </w:r>
      <w:r w:rsidRPr="00A00A09">
        <w:rPr>
          <w:spacing w:val="-7"/>
        </w:rPr>
        <w:t xml:space="preserve"> </w:t>
      </w:r>
      <w:r w:rsidRPr="00A00A09">
        <w:t>pursuant</w:t>
      </w:r>
      <w:r w:rsidRPr="00A00A09">
        <w:rPr>
          <w:spacing w:val="-4"/>
        </w:rPr>
        <w:t xml:space="preserve"> </w:t>
      </w:r>
      <w:r w:rsidRPr="00A00A09">
        <w:t>to</w:t>
      </w:r>
      <w:r w:rsidRPr="00A00A09">
        <w:rPr>
          <w:spacing w:val="-14"/>
        </w:rPr>
        <w:t xml:space="preserve"> </w:t>
      </w:r>
      <w:r w:rsidRPr="00A00A09">
        <w:t>any</w:t>
      </w:r>
      <w:r w:rsidRPr="00A00A09">
        <w:rPr>
          <w:spacing w:val="-7"/>
        </w:rPr>
        <w:t xml:space="preserve"> </w:t>
      </w:r>
      <w:r w:rsidRPr="00A00A09">
        <w:t>such</w:t>
      </w:r>
      <w:r w:rsidRPr="00A00A09">
        <w:rPr>
          <w:spacing w:val="-12"/>
        </w:rPr>
        <w:t xml:space="preserve"> </w:t>
      </w:r>
      <w:r w:rsidRPr="00A00A09">
        <w:t>contract notwithstanding such expiry.</w:t>
      </w:r>
    </w:p>
    <w:p w14:paraId="231BFD94" w14:textId="77777777" w:rsidR="00A00A09" w:rsidRPr="00A00A09" w:rsidRDefault="00A00A09" w:rsidP="00132D6F">
      <w:pPr>
        <w:pStyle w:val="BodyText"/>
        <w:jc w:val="both"/>
      </w:pPr>
    </w:p>
    <w:p w14:paraId="25EF8FE6" w14:textId="193829D7" w:rsidR="00A00A09" w:rsidRPr="00A00A09" w:rsidRDefault="00A00A09" w:rsidP="00132D6F">
      <w:pPr>
        <w:pStyle w:val="Heading1"/>
        <w:ind w:left="0"/>
        <w:rPr>
          <w:sz w:val="20"/>
          <w:szCs w:val="20"/>
        </w:rPr>
      </w:pPr>
      <w:r w:rsidRPr="00A00A09">
        <w:rPr>
          <w:w w:val="105"/>
          <w:sz w:val="20"/>
          <w:szCs w:val="20"/>
        </w:rPr>
        <w:t>Resolution</w:t>
      </w:r>
      <w:r w:rsidRPr="00A00A09">
        <w:rPr>
          <w:spacing w:val="2"/>
          <w:w w:val="105"/>
          <w:sz w:val="20"/>
          <w:szCs w:val="20"/>
        </w:rPr>
        <w:t xml:space="preserve"> </w:t>
      </w:r>
      <w:r w:rsidRPr="00A00A09">
        <w:rPr>
          <w:w w:val="105"/>
          <w:sz w:val="20"/>
          <w:szCs w:val="20"/>
        </w:rPr>
        <w:t>1</w:t>
      </w:r>
      <w:r w:rsidR="00180E6B">
        <w:rPr>
          <w:w w:val="105"/>
          <w:sz w:val="20"/>
          <w:szCs w:val="20"/>
        </w:rPr>
        <w:t>3</w:t>
      </w:r>
      <w:r w:rsidR="004054BB">
        <w:rPr>
          <w:w w:val="105"/>
          <w:sz w:val="20"/>
          <w:szCs w:val="20"/>
        </w:rPr>
        <w:t xml:space="preserve"> - </w:t>
      </w:r>
      <w:r w:rsidRPr="00A00A09">
        <w:rPr>
          <w:w w:val="105"/>
          <w:sz w:val="20"/>
          <w:szCs w:val="20"/>
        </w:rPr>
        <w:t>Special</w:t>
      </w:r>
      <w:r w:rsidRPr="00A00A09">
        <w:rPr>
          <w:spacing w:val="-5"/>
          <w:w w:val="105"/>
          <w:sz w:val="20"/>
          <w:szCs w:val="20"/>
        </w:rPr>
        <w:t xml:space="preserve"> </w:t>
      </w:r>
      <w:r w:rsidRPr="00A00A09">
        <w:rPr>
          <w:spacing w:val="-2"/>
          <w:w w:val="105"/>
          <w:sz w:val="20"/>
          <w:szCs w:val="20"/>
        </w:rPr>
        <w:t>Resolution</w:t>
      </w:r>
    </w:p>
    <w:p w14:paraId="72703268" w14:textId="77777777" w:rsidR="00A00A09" w:rsidRPr="00A00A09" w:rsidRDefault="00A00A09" w:rsidP="00132D6F">
      <w:pPr>
        <w:pStyle w:val="BodyText"/>
        <w:spacing w:before="9"/>
        <w:jc w:val="both"/>
        <w:rPr>
          <w:b/>
        </w:rPr>
      </w:pPr>
    </w:p>
    <w:p w14:paraId="554AC767" w14:textId="77777777" w:rsidR="00A00A09" w:rsidRPr="00A00A09" w:rsidRDefault="00A00A09" w:rsidP="00132D6F">
      <w:pPr>
        <w:jc w:val="both"/>
        <w:rPr>
          <w:rFonts w:ascii="Arial" w:hAnsi="Arial" w:cs="Arial"/>
          <w:b/>
          <w:bCs/>
          <w:sz w:val="20"/>
          <w:szCs w:val="20"/>
        </w:rPr>
      </w:pPr>
      <w:r w:rsidRPr="00A00A09">
        <w:rPr>
          <w:rFonts w:ascii="Arial" w:hAnsi="Arial" w:cs="Arial"/>
          <w:b/>
          <w:bCs/>
          <w:w w:val="105"/>
          <w:sz w:val="20"/>
          <w:szCs w:val="20"/>
        </w:rPr>
        <w:t>IT</w:t>
      </w:r>
      <w:r w:rsidRPr="00A00A09">
        <w:rPr>
          <w:rFonts w:ascii="Arial" w:hAnsi="Arial" w:cs="Arial"/>
          <w:b/>
          <w:bCs/>
          <w:spacing w:val="-3"/>
          <w:w w:val="105"/>
          <w:sz w:val="20"/>
          <w:szCs w:val="20"/>
        </w:rPr>
        <w:t xml:space="preserve"> </w:t>
      </w:r>
      <w:r w:rsidRPr="00A00A09">
        <w:rPr>
          <w:rFonts w:ascii="Arial" w:hAnsi="Arial" w:cs="Arial"/>
          <w:b/>
          <w:bCs/>
          <w:w w:val="105"/>
          <w:sz w:val="20"/>
          <w:szCs w:val="20"/>
        </w:rPr>
        <w:t>WAS</w:t>
      </w:r>
      <w:r w:rsidRPr="00A00A09">
        <w:rPr>
          <w:rFonts w:ascii="Arial" w:hAnsi="Arial" w:cs="Arial"/>
          <w:b/>
          <w:bCs/>
          <w:spacing w:val="-1"/>
          <w:w w:val="105"/>
          <w:sz w:val="20"/>
          <w:szCs w:val="20"/>
        </w:rPr>
        <w:t xml:space="preserve"> </w:t>
      </w:r>
      <w:r w:rsidRPr="00A00A09">
        <w:rPr>
          <w:rFonts w:ascii="Arial" w:hAnsi="Arial" w:cs="Arial"/>
          <w:b/>
          <w:bCs/>
          <w:spacing w:val="-2"/>
          <w:w w:val="105"/>
          <w:sz w:val="20"/>
          <w:szCs w:val="20"/>
        </w:rPr>
        <w:t>RESOLVED:</w:t>
      </w:r>
    </w:p>
    <w:p w14:paraId="4B8708A6" w14:textId="01DB9CF9" w:rsidR="00A00A09" w:rsidRPr="00A00A09" w:rsidRDefault="00A00A09" w:rsidP="00132D6F">
      <w:pPr>
        <w:pStyle w:val="BodyText"/>
        <w:spacing w:line="237" w:lineRule="auto"/>
        <w:ind w:firstLine="12"/>
        <w:jc w:val="both"/>
      </w:pPr>
      <w:r w:rsidRPr="00A00A09">
        <w:t>That,</w:t>
      </w:r>
      <w:r w:rsidRPr="00A00A09">
        <w:rPr>
          <w:spacing w:val="-14"/>
        </w:rPr>
        <w:t xml:space="preserve"> </w:t>
      </w:r>
      <w:r w:rsidRPr="00A00A09">
        <w:t>subject</w:t>
      </w:r>
      <w:r w:rsidRPr="00A00A09">
        <w:rPr>
          <w:spacing w:val="-14"/>
        </w:rPr>
        <w:t xml:space="preserve"> </w:t>
      </w:r>
      <w:r w:rsidRPr="00A00A09">
        <w:t>to</w:t>
      </w:r>
      <w:r w:rsidRPr="00A00A09">
        <w:rPr>
          <w:spacing w:val="-14"/>
        </w:rPr>
        <w:t xml:space="preserve"> </w:t>
      </w:r>
      <w:r w:rsidRPr="00A00A09">
        <w:t>the</w:t>
      </w:r>
      <w:r w:rsidRPr="00A00A09">
        <w:rPr>
          <w:spacing w:val="-14"/>
        </w:rPr>
        <w:t xml:space="preserve"> </w:t>
      </w:r>
      <w:r w:rsidRPr="00A00A09">
        <w:t>passing</w:t>
      </w:r>
      <w:r w:rsidRPr="00A00A09">
        <w:rPr>
          <w:spacing w:val="-14"/>
        </w:rPr>
        <w:t xml:space="preserve"> </w:t>
      </w:r>
      <w:r w:rsidRPr="00A00A09">
        <w:t>of</w:t>
      </w:r>
      <w:r w:rsidRPr="00A00A09">
        <w:rPr>
          <w:spacing w:val="-14"/>
        </w:rPr>
        <w:t xml:space="preserve"> </w:t>
      </w:r>
      <w:r w:rsidRPr="00A00A09">
        <w:t>Resolution</w:t>
      </w:r>
      <w:r w:rsidRPr="00A00A09">
        <w:rPr>
          <w:spacing w:val="-14"/>
        </w:rPr>
        <w:t xml:space="preserve"> </w:t>
      </w:r>
      <w:r w:rsidRPr="00A00A09">
        <w:t>1</w:t>
      </w:r>
      <w:r w:rsidR="00180E6B">
        <w:t>1</w:t>
      </w:r>
      <w:r w:rsidRPr="00A00A09">
        <w:t>,</w:t>
      </w:r>
      <w:r w:rsidRPr="00A00A09">
        <w:rPr>
          <w:spacing w:val="-14"/>
        </w:rPr>
        <w:t xml:space="preserve"> </w:t>
      </w:r>
      <w:r w:rsidRPr="00A00A09">
        <w:t>the</w:t>
      </w:r>
      <w:r w:rsidRPr="00A00A09">
        <w:rPr>
          <w:spacing w:val="-14"/>
        </w:rPr>
        <w:t xml:space="preserve"> </w:t>
      </w:r>
      <w:r w:rsidRPr="00A00A09">
        <w:t>Directors</w:t>
      </w:r>
      <w:r w:rsidRPr="00A00A09">
        <w:rPr>
          <w:spacing w:val="-13"/>
        </w:rPr>
        <w:t xml:space="preserve"> </w:t>
      </w:r>
      <w:r w:rsidRPr="00A00A09">
        <w:t>be</w:t>
      </w:r>
      <w:r w:rsidRPr="00A00A09">
        <w:rPr>
          <w:spacing w:val="-14"/>
        </w:rPr>
        <w:t xml:space="preserve"> </w:t>
      </w:r>
      <w:r w:rsidRPr="00A00A09">
        <w:t>and</w:t>
      </w:r>
      <w:r w:rsidRPr="00A00A09">
        <w:rPr>
          <w:spacing w:val="-14"/>
        </w:rPr>
        <w:t xml:space="preserve"> </w:t>
      </w:r>
      <w:r w:rsidRPr="00A00A09">
        <w:t>they</w:t>
      </w:r>
      <w:r w:rsidRPr="00A00A09">
        <w:rPr>
          <w:spacing w:val="-14"/>
        </w:rPr>
        <w:t xml:space="preserve"> </w:t>
      </w:r>
      <w:r w:rsidRPr="00A00A09">
        <w:t>are</w:t>
      </w:r>
      <w:r w:rsidRPr="00A00A09">
        <w:rPr>
          <w:spacing w:val="-14"/>
        </w:rPr>
        <w:t xml:space="preserve"> </w:t>
      </w:r>
      <w:r w:rsidRPr="00A00A09">
        <w:t>hereby</w:t>
      </w:r>
      <w:r w:rsidRPr="00A00A09">
        <w:rPr>
          <w:spacing w:val="-14"/>
        </w:rPr>
        <w:t xml:space="preserve"> </w:t>
      </w:r>
      <w:r w:rsidRPr="00A00A09">
        <w:t>authorised,</w:t>
      </w:r>
      <w:r w:rsidRPr="00A00A09">
        <w:rPr>
          <w:spacing w:val="-14"/>
        </w:rPr>
        <w:t xml:space="preserve"> </w:t>
      </w:r>
      <w:r w:rsidRPr="00A00A09">
        <w:t>pursuant to sections 570 and 573 of the Act to allot equity securities (as defined in Section 560 of the Act) (including the grant of</w:t>
      </w:r>
      <w:r w:rsidRPr="00A00A09">
        <w:rPr>
          <w:spacing w:val="-1"/>
        </w:rPr>
        <w:t xml:space="preserve"> </w:t>
      </w:r>
      <w:r w:rsidRPr="00A00A09">
        <w:t>rights to subscribe for, or to convert any securities into, ordinary shares in the capital of the Company and the</w:t>
      </w:r>
      <w:r w:rsidRPr="00A00A09">
        <w:rPr>
          <w:spacing w:val="-1"/>
        </w:rPr>
        <w:t xml:space="preserve"> </w:t>
      </w:r>
      <w:r w:rsidRPr="00A00A09">
        <w:t>sale of</w:t>
      </w:r>
      <w:r w:rsidRPr="00A00A09">
        <w:rPr>
          <w:spacing w:val="-2"/>
        </w:rPr>
        <w:t xml:space="preserve"> </w:t>
      </w:r>
      <w:r w:rsidRPr="00A00A09">
        <w:t>any ordinary shares held by the Company in</w:t>
      </w:r>
      <w:r w:rsidRPr="00A00A09">
        <w:rPr>
          <w:spacing w:val="-2"/>
        </w:rPr>
        <w:t xml:space="preserve"> </w:t>
      </w:r>
      <w:r w:rsidRPr="00A00A09">
        <w:t>treasury) wholly for cash</w:t>
      </w:r>
      <w:r w:rsidRPr="00A00A09">
        <w:rPr>
          <w:spacing w:val="-7"/>
        </w:rPr>
        <w:t xml:space="preserve"> </w:t>
      </w:r>
      <w:r w:rsidRPr="00A00A09">
        <w:t>as if</w:t>
      </w:r>
      <w:r w:rsidRPr="00A00A09">
        <w:rPr>
          <w:spacing w:val="-5"/>
        </w:rPr>
        <w:t xml:space="preserve"> </w:t>
      </w:r>
      <w:r w:rsidRPr="00A00A09">
        <w:t>section 561(1)</w:t>
      </w:r>
      <w:r w:rsidRPr="00A00A09">
        <w:rPr>
          <w:spacing w:val="-3"/>
        </w:rPr>
        <w:t xml:space="preserve"> </w:t>
      </w:r>
      <w:r w:rsidRPr="00A00A09">
        <w:t>of</w:t>
      </w:r>
      <w:r w:rsidRPr="00A00A09">
        <w:rPr>
          <w:spacing w:val="-1"/>
        </w:rPr>
        <w:t xml:space="preserve"> </w:t>
      </w:r>
      <w:r w:rsidRPr="00A00A09">
        <w:t>the Act did</w:t>
      </w:r>
      <w:r w:rsidRPr="00A00A09">
        <w:rPr>
          <w:spacing w:val="-2"/>
        </w:rPr>
        <w:t xml:space="preserve"> </w:t>
      </w:r>
      <w:r w:rsidRPr="00A00A09">
        <w:t>not</w:t>
      </w:r>
      <w:r w:rsidRPr="00A00A09">
        <w:rPr>
          <w:spacing w:val="-3"/>
        </w:rPr>
        <w:t xml:space="preserve"> </w:t>
      </w:r>
      <w:r w:rsidRPr="00A00A09">
        <w:t>apply to any such</w:t>
      </w:r>
      <w:r w:rsidRPr="00A00A09">
        <w:rPr>
          <w:spacing w:val="-5"/>
        </w:rPr>
        <w:t xml:space="preserve"> </w:t>
      </w:r>
      <w:r w:rsidRPr="00A00A09">
        <w:t>allotment, grant or</w:t>
      </w:r>
      <w:r w:rsidRPr="00A00A09">
        <w:rPr>
          <w:spacing w:val="-2"/>
        </w:rPr>
        <w:t xml:space="preserve"> </w:t>
      </w:r>
      <w:r w:rsidRPr="00A00A09">
        <w:t>sale provided that this power shall:</w:t>
      </w:r>
    </w:p>
    <w:p w14:paraId="1663B361" w14:textId="77777777" w:rsidR="00A00A09" w:rsidRPr="00A00A09" w:rsidRDefault="00A00A09" w:rsidP="00132D6F">
      <w:pPr>
        <w:pStyle w:val="BodyText"/>
        <w:spacing w:before="3"/>
        <w:jc w:val="both"/>
      </w:pPr>
    </w:p>
    <w:p w14:paraId="73DB5CF5" w14:textId="667DDD71" w:rsidR="00A00A09" w:rsidRPr="00A00A09" w:rsidRDefault="00A00A09" w:rsidP="00132D6F">
      <w:pPr>
        <w:pStyle w:val="BodyText"/>
        <w:numPr>
          <w:ilvl w:val="0"/>
          <w:numId w:val="4"/>
        </w:numPr>
        <w:ind w:left="360"/>
        <w:jc w:val="both"/>
      </w:pPr>
      <w:r w:rsidRPr="00A00A09">
        <w:t>expire at the conclusion of the next annual general meeting of the Company to be held in</w:t>
      </w:r>
      <w:r w:rsidRPr="00A00A09">
        <w:rPr>
          <w:spacing w:val="-2"/>
        </w:rPr>
        <w:t xml:space="preserve"> </w:t>
      </w:r>
      <w:r w:rsidRPr="00A00A09">
        <w:t>202</w:t>
      </w:r>
      <w:r w:rsidR="00180E6B">
        <w:t>5</w:t>
      </w:r>
      <w:r w:rsidRPr="00A00A09">
        <w:t xml:space="preserve"> unless previously revoked, varied or extended by the</w:t>
      </w:r>
      <w:r w:rsidRPr="00A00A09">
        <w:rPr>
          <w:spacing w:val="-1"/>
        </w:rPr>
        <w:t xml:space="preserve"> </w:t>
      </w:r>
      <w:r w:rsidRPr="00A00A09">
        <w:t>Company at a</w:t>
      </w:r>
      <w:r w:rsidRPr="00A00A09">
        <w:rPr>
          <w:spacing w:val="-1"/>
        </w:rPr>
        <w:t xml:space="preserve"> </w:t>
      </w:r>
      <w:r w:rsidRPr="00A00A09">
        <w:t>general meeting, save that the Company shall be entitled to make offers or agreements before the expiry of this authority which would or might require equity</w:t>
      </w:r>
      <w:r w:rsidRPr="00A00A09">
        <w:rPr>
          <w:spacing w:val="17"/>
        </w:rPr>
        <w:t xml:space="preserve"> </w:t>
      </w:r>
      <w:r w:rsidRPr="00A00A09">
        <w:t>securities</w:t>
      </w:r>
      <w:r w:rsidRPr="00A00A09">
        <w:rPr>
          <w:spacing w:val="24"/>
        </w:rPr>
        <w:t xml:space="preserve"> </w:t>
      </w:r>
      <w:r w:rsidRPr="00A00A09">
        <w:t>to be allotted after such</w:t>
      </w:r>
      <w:r w:rsidRPr="00A00A09">
        <w:rPr>
          <w:spacing w:val="-2"/>
        </w:rPr>
        <w:t xml:space="preserve"> </w:t>
      </w:r>
      <w:r w:rsidRPr="00A00A09">
        <w:t>expiry</w:t>
      </w:r>
      <w:r w:rsidRPr="00A00A09">
        <w:rPr>
          <w:spacing w:val="17"/>
        </w:rPr>
        <w:t xml:space="preserve"> </w:t>
      </w:r>
      <w:r w:rsidRPr="00A00A09">
        <w:t>and the Directors may</w:t>
      </w:r>
      <w:r w:rsidRPr="00A00A09">
        <w:rPr>
          <w:spacing w:val="-14"/>
        </w:rPr>
        <w:t xml:space="preserve"> </w:t>
      </w:r>
      <w:r w:rsidRPr="00A00A09">
        <w:t>allot</w:t>
      </w:r>
      <w:r w:rsidRPr="00A00A09">
        <w:rPr>
          <w:spacing w:val="-14"/>
        </w:rPr>
        <w:t xml:space="preserve"> </w:t>
      </w:r>
      <w:r w:rsidRPr="00A00A09">
        <w:t>such</w:t>
      </w:r>
      <w:r w:rsidRPr="00A00A09">
        <w:rPr>
          <w:spacing w:val="-14"/>
        </w:rPr>
        <w:t xml:space="preserve"> </w:t>
      </w:r>
      <w:r w:rsidRPr="00A00A09">
        <w:t>equity</w:t>
      </w:r>
      <w:r w:rsidRPr="00A00A09">
        <w:rPr>
          <w:spacing w:val="-14"/>
        </w:rPr>
        <w:t xml:space="preserve"> </w:t>
      </w:r>
      <w:r w:rsidRPr="00A00A09">
        <w:t>securities</w:t>
      </w:r>
      <w:r w:rsidRPr="00A00A09">
        <w:rPr>
          <w:spacing w:val="-14"/>
        </w:rPr>
        <w:t xml:space="preserve"> </w:t>
      </w:r>
      <w:r w:rsidRPr="00A00A09">
        <w:t>pursuant</w:t>
      </w:r>
      <w:r w:rsidRPr="00A00A09">
        <w:rPr>
          <w:spacing w:val="-13"/>
        </w:rPr>
        <w:t xml:space="preserve"> </w:t>
      </w:r>
      <w:r w:rsidRPr="00A00A09">
        <w:t>to</w:t>
      </w:r>
      <w:r w:rsidRPr="00A00A09">
        <w:rPr>
          <w:spacing w:val="-14"/>
        </w:rPr>
        <w:t xml:space="preserve"> </w:t>
      </w:r>
      <w:r w:rsidRPr="00A00A09">
        <w:t>any</w:t>
      </w:r>
      <w:r w:rsidRPr="00A00A09">
        <w:rPr>
          <w:spacing w:val="-14"/>
        </w:rPr>
        <w:t xml:space="preserve"> </w:t>
      </w:r>
      <w:r w:rsidRPr="00A00A09">
        <w:t>such</w:t>
      </w:r>
      <w:r w:rsidRPr="00A00A09">
        <w:rPr>
          <w:spacing w:val="-14"/>
        </w:rPr>
        <w:t xml:space="preserve"> </w:t>
      </w:r>
      <w:r w:rsidRPr="00A00A09">
        <w:t>offer</w:t>
      </w:r>
      <w:r w:rsidRPr="00A00A09">
        <w:rPr>
          <w:spacing w:val="-13"/>
        </w:rPr>
        <w:t xml:space="preserve"> </w:t>
      </w:r>
      <w:r w:rsidRPr="00A00A09">
        <w:t>or</w:t>
      </w:r>
      <w:r w:rsidRPr="00A00A09">
        <w:rPr>
          <w:spacing w:val="-14"/>
        </w:rPr>
        <w:t xml:space="preserve"> </w:t>
      </w:r>
      <w:r w:rsidRPr="00A00A09">
        <w:t>agreement</w:t>
      </w:r>
      <w:r w:rsidRPr="00A00A09">
        <w:rPr>
          <w:spacing w:val="-11"/>
        </w:rPr>
        <w:t xml:space="preserve"> </w:t>
      </w:r>
      <w:r w:rsidRPr="00A00A09">
        <w:t>as</w:t>
      </w:r>
      <w:r w:rsidRPr="00A00A09">
        <w:rPr>
          <w:spacing w:val="-14"/>
        </w:rPr>
        <w:t xml:space="preserve"> </w:t>
      </w:r>
      <w:r w:rsidRPr="00A00A09">
        <w:t>if</w:t>
      </w:r>
      <w:r w:rsidRPr="00A00A09">
        <w:rPr>
          <w:spacing w:val="-14"/>
        </w:rPr>
        <w:t xml:space="preserve"> </w:t>
      </w:r>
      <w:r w:rsidRPr="00A00A09">
        <w:t>the</w:t>
      </w:r>
      <w:r w:rsidRPr="00A00A09">
        <w:rPr>
          <w:spacing w:val="-14"/>
        </w:rPr>
        <w:t xml:space="preserve"> </w:t>
      </w:r>
      <w:r w:rsidRPr="00A00A09">
        <w:t>power</w:t>
      </w:r>
      <w:r w:rsidRPr="00A00A09">
        <w:rPr>
          <w:spacing w:val="-14"/>
        </w:rPr>
        <w:t xml:space="preserve"> </w:t>
      </w:r>
      <w:r w:rsidRPr="00A00A09">
        <w:t>conferred hereby had not expired; and</w:t>
      </w:r>
    </w:p>
    <w:p w14:paraId="418A10C6" w14:textId="77777777" w:rsidR="00A00A09" w:rsidRPr="00A00A09" w:rsidRDefault="00A00A09" w:rsidP="00132D6F">
      <w:pPr>
        <w:pStyle w:val="BodyText"/>
        <w:spacing w:before="8"/>
        <w:ind w:left="360"/>
        <w:jc w:val="both"/>
      </w:pPr>
    </w:p>
    <w:p w14:paraId="68B259D0" w14:textId="6E97DB82" w:rsidR="00A00A09" w:rsidRPr="00A00A09" w:rsidRDefault="00A00A09" w:rsidP="00132D6F">
      <w:pPr>
        <w:pStyle w:val="ListParagraph"/>
        <w:numPr>
          <w:ilvl w:val="0"/>
          <w:numId w:val="4"/>
        </w:numPr>
        <w:tabs>
          <w:tab w:val="left" w:pos="892"/>
        </w:tabs>
        <w:ind w:left="360"/>
        <w:jc w:val="both"/>
        <w:rPr>
          <w:sz w:val="20"/>
          <w:szCs w:val="20"/>
        </w:rPr>
      </w:pPr>
      <w:r w:rsidRPr="00A00A09">
        <w:rPr>
          <w:sz w:val="20"/>
          <w:szCs w:val="20"/>
        </w:rPr>
        <w:lastRenderedPageBreak/>
        <w:t>be</w:t>
      </w:r>
      <w:r w:rsidRPr="00A00A09">
        <w:rPr>
          <w:spacing w:val="-14"/>
          <w:sz w:val="20"/>
          <w:szCs w:val="20"/>
        </w:rPr>
        <w:t xml:space="preserve"> </w:t>
      </w:r>
      <w:r w:rsidRPr="00A00A09">
        <w:rPr>
          <w:sz w:val="20"/>
          <w:szCs w:val="20"/>
        </w:rPr>
        <w:t>limited</w:t>
      </w:r>
      <w:r w:rsidRPr="00A00A09">
        <w:rPr>
          <w:spacing w:val="-14"/>
          <w:sz w:val="20"/>
          <w:szCs w:val="20"/>
        </w:rPr>
        <w:t xml:space="preserve"> </w:t>
      </w:r>
      <w:r w:rsidRPr="00A00A09">
        <w:rPr>
          <w:sz w:val="20"/>
          <w:szCs w:val="20"/>
        </w:rPr>
        <w:t>to</w:t>
      </w:r>
      <w:r w:rsidRPr="00A00A09">
        <w:rPr>
          <w:spacing w:val="-11"/>
          <w:sz w:val="20"/>
          <w:szCs w:val="20"/>
        </w:rPr>
        <w:t xml:space="preserve"> </w:t>
      </w:r>
      <w:r w:rsidRPr="00A00A09">
        <w:rPr>
          <w:sz w:val="20"/>
          <w:szCs w:val="20"/>
        </w:rPr>
        <w:t>the</w:t>
      </w:r>
      <w:r w:rsidRPr="00A00A09">
        <w:rPr>
          <w:spacing w:val="-14"/>
          <w:sz w:val="20"/>
          <w:szCs w:val="20"/>
        </w:rPr>
        <w:t xml:space="preserve"> </w:t>
      </w:r>
      <w:r w:rsidRPr="00A00A09">
        <w:rPr>
          <w:sz w:val="20"/>
          <w:szCs w:val="20"/>
        </w:rPr>
        <w:t>allotment</w:t>
      </w:r>
      <w:r w:rsidRPr="00A00A09">
        <w:rPr>
          <w:spacing w:val="1"/>
          <w:sz w:val="20"/>
          <w:szCs w:val="20"/>
        </w:rPr>
        <w:t xml:space="preserve"> </w:t>
      </w:r>
      <w:r w:rsidRPr="00A00A09">
        <w:rPr>
          <w:sz w:val="20"/>
          <w:szCs w:val="20"/>
        </w:rPr>
        <w:t>of</w:t>
      </w:r>
      <w:r w:rsidRPr="00A00A09">
        <w:rPr>
          <w:spacing w:val="-14"/>
          <w:sz w:val="20"/>
          <w:szCs w:val="20"/>
        </w:rPr>
        <w:t xml:space="preserve"> </w:t>
      </w:r>
      <w:r w:rsidRPr="00A00A09">
        <w:rPr>
          <w:sz w:val="20"/>
          <w:szCs w:val="20"/>
        </w:rPr>
        <w:t>equity</w:t>
      </w:r>
      <w:r w:rsidRPr="00A00A09">
        <w:rPr>
          <w:spacing w:val="-5"/>
          <w:sz w:val="20"/>
          <w:szCs w:val="20"/>
        </w:rPr>
        <w:t xml:space="preserve"> </w:t>
      </w:r>
      <w:r w:rsidRPr="00A00A09">
        <w:rPr>
          <w:sz w:val="20"/>
          <w:szCs w:val="20"/>
        </w:rPr>
        <w:t>securities</w:t>
      </w:r>
      <w:r w:rsidRPr="00A00A09">
        <w:rPr>
          <w:spacing w:val="1"/>
          <w:sz w:val="20"/>
          <w:szCs w:val="20"/>
        </w:rPr>
        <w:t xml:space="preserve"> </w:t>
      </w:r>
      <w:r w:rsidRPr="00A00A09">
        <w:rPr>
          <w:sz w:val="20"/>
          <w:szCs w:val="20"/>
        </w:rPr>
        <w:t>and</w:t>
      </w:r>
      <w:r w:rsidRPr="00A00A09">
        <w:rPr>
          <w:spacing w:val="-11"/>
          <w:sz w:val="20"/>
          <w:szCs w:val="20"/>
        </w:rPr>
        <w:t xml:space="preserve"> </w:t>
      </w:r>
      <w:r w:rsidRPr="00A00A09">
        <w:rPr>
          <w:sz w:val="20"/>
          <w:szCs w:val="20"/>
        </w:rPr>
        <w:t>the</w:t>
      </w:r>
      <w:r w:rsidRPr="00A00A09">
        <w:rPr>
          <w:spacing w:val="-12"/>
          <w:sz w:val="20"/>
          <w:szCs w:val="20"/>
        </w:rPr>
        <w:t xml:space="preserve"> </w:t>
      </w:r>
      <w:r w:rsidRPr="00A00A09">
        <w:rPr>
          <w:sz w:val="20"/>
          <w:szCs w:val="20"/>
        </w:rPr>
        <w:t>sale</w:t>
      </w:r>
      <w:r w:rsidRPr="00A00A09">
        <w:rPr>
          <w:spacing w:val="-12"/>
          <w:sz w:val="20"/>
          <w:szCs w:val="20"/>
        </w:rPr>
        <w:t xml:space="preserve"> </w:t>
      </w:r>
      <w:r w:rsidRPr="00A00A09">
        <w:rPr>
          <w:sz w:val="20"/>
          <w:szCs w:val="20"/>
        </w:rPr>
        <w:t>or</w:t>
      </w:r>
      <w:r w:rsidRPr="00A00A09">
        <w:rPr>
          <w:spacing w:val="-11"/>
          <w:sz w:val="20"/>
          <w:szCs w:val="20"/>
        </w:rPr>
        <w:t xml:space="preserve"> </w:t>
      </w:r>
      <w:r w:rsidRPr="00A00A09">
        <w:rPr>
          <w:sz w:val="20"/>
          <w:szCs w:val="20"/>
        </w:rPr>
        <w:t>transfer</w:t>
      </w:r>
      <w:r w:rsidRPr="00A00A09">
        <w:rPr>
          <w:spacing w:val="1"/>
          <w:sz w:val="20"/>
          <w:szCs w:val="20"/>
        </w:rPr>
        <w:t xml:space="preserve"> </w:t>
      </w:r>
      <w:r w:rsidRPr="00A00A09">
        <w:rPr>
          <w:sz w:val="20"/>
          <w:szCs w:val="20"/>
        </w:rPr>
        <w:t>of</w:t>
      </w:r>
      <w:r w:rsidRPr="00A00A09">
        <w:rPr>
          <w:spacing w:val="-11"/>
          <w:sz w:val="20"/>
          <w:szCs w:val="20"/>
        </w:rPr>
        <w:t xml:space="preserve"> </w:t>
      </w:r>
      <w:r w:rsidRPr="00A00A09">
        <w:rPr>
          <w:sz w:val="20"/>
          <w:szCs w:val="20"/>
        </w:rPr>
        <w:t>treasury</w:t>
      </w:r>
      <w:r w:rsidRPr="00A00A09">
        <w:rPr>
          <w:spacing w:val="-1"/>
          <w:sz w:val="20"/>
          <w:szCs w:val="20"/>
        </w:rPr>
        <w:t xml:space="preserve"> </w:t>
      </w:r>
      <w:r w:rsidRPr="00A00A09">
        <w:rPr>
          <w:spacing w:val="-2"/>
          <w:sz w:val="20"/>
          <w:szCs w:val="20"/>
        </w:rPr>
        <w:t>shares:</w:t>
      </w:r>
    </w:p>
    <w:p w14:paraId="1D2C7142" w14:textId="77777777" w:rsidR="00A00A09" w:rsidRPr="00A00A09" w:rsidRDefault="00A00A09" w:rsidP="00132D6F">
      <w:pPr>
        <w:pStyle w:val="BodyText"/>
        <w:spacing w:before="7"/>
        <w:jc w:val="both"/>
      </w:pPr>
    </w:p>
    <w:p w14:paraId="639B944C" w14:textId="4B15FD4C" w:rsidR="00A00A09" w:rsidRDefault="008C08DB" w:rsidP="00132D6F">
      <w:pPr>
        <w:pStyle w:val="ListParagraph"/>
        <w:numPr>
          <w:ilvl w:val="0"/>
          <w:numId w:val="5"/>
        </w:numPr>
        <w:tabs>
          <w:tab w:val="left" w:pos="1563"/>
          <w:tab w:val="left" w:pos="1568"/>
        </w:tabs>
        <w:jc w:val="both"/>
        <w:rPr>
          <w:sz w:val="20"/>
          <w:szCs w:val="20"/>
        </w:rPr>
      </w:pPr>
      <w:r w:rsidRPr="008C08DB">
        <w:rPr>
          <w:sz w:val="20"/>
          <w:szCs w:val="20"/>
        </w:rPr>
        <w:t>in connection with an offer of such securities by way of rights to holders of ordinary shares on the register of members of the Company on a fixed record date in proportion (as nearly as may be practicable) to their respective holdings of ordinary shares but subject to such exclusions or other arrangements as the Directors may deem necessary or expedient in relation to treasury shares, fractional entitlements or any legal or practical problems arising under the laws of, or the requirements of, any territory or any regulatory or governmental body or authority or stock exchange; and</w:t>
      </w:r>
    </w:p>
    <w:p w14:paraId="25A3239A" w14:textId="77777777" w:rsidR="008C08DB" w:rsidRPr="00A00A09" w:rsidRDefault="008C08DB" w:rsidP="00132D6F">
      <w:pPr>
        <w:pStyle w:val="ListParagraph"/>
        <w:tabs>
          <w:tab w:val="left" w:pos="1563"/>
          <w:tab w:val="left" w:pos="1568"/>
        </w:tabs>
        <w:ind w:left="720" w:firstLine="0"/>
        <w:jc w:val="both"/>
        <w:rPr>
          <w:sz w:val="20"/>
          <w:szCs w:val="20"/>
        </w:rPr>
      </w:pPr>
    </w:p>
    <w:p w14:paraId="57EA2555" w14:textId="7F80F3CA" w:rsidR="00A00A09" w:rsidRPr="008C08DB" w:rsidRDefault="00A00A09" w:rsidP="00132D6F">
      <w:pPr>
        <w:pStyle w:val="ListParagraph"/>
        <w:numPr>
          <w:ilvl w:val="0"/>
          <w:numId w:val="6"/>
        </w:numPr>
        <w:tabs>
          <w:tab w:val="left" w:pos="1563"/>
          <w:tab w:val="left" w:pos="1568"/>
        </w:tabs>
        <w:ind w:left="714" w:hanging="357"/>
        <w:jc w:val="both"/>
        <w:rPr>
          <w:sz w:val="20"/>
          <w:szCs w:val="20"/>
        </w:rPr>
      </w:pPr>
      <w:r w:rsidRPr="008C08DB">
        <w:rPr>
          <w:sz w:val="20"/>
          <w:szCs w:val="20"/>
        </w:rPr>
        <w:t>otherwise</w:t>
      </w:r>
      <w:r w:rsidRPr="008C08DB">
        <w:rPr>
          <w:spacing w:val="29"/>
          <w:sz w:val="20"/>
          <w:szCs w:val="20"/>
        </w:rPr>
        <w:t xml:space="preserve"> </w:t>
      </w:r>
      <w:r w:rsidRPr="008C08DB">
        <w:rPr>
          <w:sz w:val="20"/>
          <w:szCs w:val="20"/>
        </w:rPr>
        <w:t>than</w:t>
      </w:r>
      <w:r w:rsidRPr="008C08DB">
        <w:rPr>
          <w:spacing w:val="13"/>
          <w:sz w:val="20"/>
          <w:szCs w:val="20"/>
        </w:rPr>
        <w:t xml:space="preserve"> </w:t>
      </w:r>
      <w:r w:rsidRPr="008C08DB">
        <w:rPr>
          <w:sz w:val="20"/>
          <w:szCs w:val="20"/>
        </w:rPr>
        <w:t>pursuant</w:t>
      </w:r>
      <w:r w:rsidRPr="008C08DB">
        <w:rPr>
          <w:spacing w:val="24"/>
          <w:sz w:val="20"/>
          <w:szCs w:val="20"/>
        </w:rPr>
        <w:t xml:space="preserve"> </w:t>
      </w:r>
      <w:r w:rsidRPr="008C08DB">
        <w:rPr>
          <w:sz w:val="20"/>
          <w:szCs w:val="20"/>
        </w:rPr>
        <w:t>to</w:t>
      </w:r>
      <w:r w:rsidRPr="008C08DB">
        <w:rPr>
          <w:spacing w:val="12"/>
          <w:sz w:val="20"/>
          <w:szCs w:val="20"/>
        </w:rPr>
        <w:t xml:space="preserve"> </w:t>
      </w:r>
      <w:r w:rsidRPr="008C08DB">
        <w:rPr>
          <w:sz w:val="20"/>
          <w:szCs w:val="20"/>
        </w:rPr>
        <w:t>paragraph</w:t>
      </w:r>
      <w:r w:rsidRPr="008C08DB">
        <w:rPr>
          <w:spacing w:val="17"/>
          <w:sz w:val="20"/>
          <w:szCs w:val="20"/>
        </w:rPr>
        <w:t xml:space="preserve"> </w:t>
      </w:r>
      <w:r w:rsidRPr="008C08DB">
        <w:rPr>
          <w:sz w:val="20"/>
          <w:szCs w:val="20"/>
        </w:rPr>
        <w:t>(i)</w:t>
      </w:r>
      <w:r w:rsidRPr="008C08DB">
        <w:rPr>
          <w:spacing w:val="13"/>
          <w:sz w:val="20"/>
          <w:szCs w:val="20"/>
        </w:rPr>
        <w:t xml:space="preserve"> </w:t>
      </w:r>
      <w:r w:rsidRPr="008C08DB">
        <w:rPr>
          <w:sz w:val="20"/>
          <w:szCs w:val="20"/>
        </w:rPr>
        <w:t>above</w:t>
      </w:r>
      <w:r w:rsidRPr="008C08DB">
        <w:rPr>
          <w:spacing w:val="19"/>
          <w:sz w:val="20"/>
          <w:szCs w:val="20"/>
        </w:rPr>
        <w:t xml:space="preserve"> </w:t>
      </w:r>
      <w:r w:rsidRPr="008C08DB">
        <w:rPr>
          <w:sz w:val="20"/>
          <w:szCs w:val="20"/>
        </w:rPr>
        <w:t>up</w:t>
      </w:r>
      <w:r w:rsidRPr="008C08DB">
        <w:rPr>
          <w:spacing w:val="11"/>
          <w:sz w:val="20"/>
          <w:szCs w:val="20"/>
        </w:rPr>
        <w:t xml:space="preserve"> </w:t>
      </w:r>
      <w:r w:rsidRPr="008C08DB">
        <w:rPr>
          <w:sz w:val="20"/>
          <w:szCs w:val="20"/>
        </w:rPr>
        <w:t>to</w:t>
      </w:r>
      <w:r w:rsidRPr="008C08DB">
        <w:rPr>
          <w:spacing w:val="9"/>
          <w:sz w:val="20"/>
          <w:szCs w:val="20"/>
        </w:rPr>
        <w:t xml:space="preserve"> </w:t>
      </w:r>
      <w:r w:rsidRPr="008C08DB">
        <w:rPr>
          <w:sz w:val="20"/>
          <w:szCs w:val="20"/>
        </w:rPr>
        <w:t>an</w:t>
      </w:r>
      <w:r w:rsidRPr="008C08DB">
        <w:rPr>
          <w:spacing w:val="14"/>
          <w:sz w:val="20"/>
          <w:szCs w:val="20"/>
        </w:rPr>
        <w:t xml:space="preserve"> </w:t>
      </w:r>
      <w:r w:rsidRPr="008C08DB">
        <w:rPr>
          <w:sz w:val="20"/>
          <w:szCs w:val="20"/>
        </w:rPr>
        <w:t>aggregate</w:t>
      </w:r>
      <w:r w:rsidRPr="008C08DB">
        <w:rPr>
          <w:spacing w:val="20"/>
          <w:sz w:val="20"/>
          <w:szCs w:val="20"/>
        </w:rPr>
        <w:t xml:space="preserve"> </w:t>
      </w:r>
      <w:r w:rsidRPr="008C08DB">
        <w:rPr>
          <w:sz w:val="20"/>
          <w:szCs w:val="20"/>
        </w:rPr>
        <w:t>nominal</w:t>
      </w:r>
      <w:r w:rsidRPr="008C08DB">
        <w:rPr>
          <w:spacing w:val="20"/>
          <w:sz w:val="20"/>
          <w:szCs w:val="20"/>
        </w:rPr>
        <w:t xml:space="preserve"> </w:t>
      </w:r>
      <w:r w:rsidRPr="008C08DB">
        <w:rPr>
          <w:sz w:val="20"/>
          <w:szCs w:val="20"/>
        </w:rPr>
        <w:t>value</w:t>
      </w:r>
      <w:r w:rsidRPr="008C08DB">
        <w:rPr>
          <w:spacing w:val="20"/>
          <w:sz w:val="20"/>
          <w:szCs w:val="20"/>
        </w:rPr>
        <w:t xml:space="preserve"> </w:t>
      </w:r>
      <w:r w:rsidRPr="008C08DB">
        <w:rPr>
          <w:spacing w:val="-5"/>
          <w:sz w:val="20"/>
          <w:szCs w:val="20"/>
        </w:rPr>
        <w:t xml:space="preserve">of </w:t>
      </w:r>
      <w:r w:rsidRPr="008C08DB">
        <w:rPr>
          <w:spacing w:val="-2"/>
          <w:sz w:val="18"/>
          <w:szCs w:val="18"/>
        </w:rPr>
        <w:t>£3</w:t>
      </w:r>
      <w:r w:rsidR="004054BB" w:rsidRPr="008C08DB">
        <w:rPr>
          <w:spacing w:val="-2"/>
          <w:sz w:val="18"/>
          <w:szCs w:val="18"/>
        </w:rPr>
        <w:t>2,713</w:t>
      </w:r>
      <w:r w:rsidRPr="008C08DB">
        <w:rPr>
          <w:spacing w:val="-4"/>
          <w:sz w:val="20"/>
          <w:szCs w:val="20"/>
        </w:rPr>
        <w:t xml:space="preserve"> </w:t>
      </w:r>
      <w:r w:rsidRPr="008C08DB">
        <w:rPr>
          <w:spacing w:val="-2"/>
          <w:sz w:val="20"/>
          <w:szCs w:val="20"/>
        </w:rPr>
        <w:t>representing</w:t>
      </w:r>
      <w:r w:rsidRPr="008C08DB">
        <w:rPr>
          <w:sz w:val="20"/>
          <w:szCs w:val="20"/>
        </w:rPr>
        <w:t xml:space="preserve"> </w:t>
      </w:r>
      <w:r w:rsidRPr="008C08DB">
        <w:rPr>
          <w:spacing w:val="-2"/>
          <w:sz w:val="20"/>
          <w:szCs w:val="20"/>
        </w:rPr>
        <w:t>approximately 10%</w:t>
      </w:r>
      <w:r w:rsidRPr="008C08DB">
        <w:rPr>
          <w:spacing w:val="-16"/>
          <w:sz w:val="20"/>
          <w:szCs w:val="20"/>
        </w:rPr>
        <w:t xml:space="preserve"> </w:t>
      </w:r>
      <w:r w:rsidRPr="008C08DB">
        <w:rPr>
          <w:spacing w:val="-2"/>
          <w:sz w:val="20"/>
          <w:szCs w:val="20"/>
        </w:rPr>
        <w:t>of</w:t>
      </w:r>
      <w:r w:rsidRPr="008C08DB">
        <w:rPr>
          <w:spacing w:val="-16"/>
          <w:sz w:val="20"/>
          <w:szCs w:val="20"/>
        </w:rPr>
        <w:t xml:space="preserve"> </w:t>
      </w:r>
      <w:r w:rsidRPr="008C08DB">
        <w:rPr>
          <w:spacing w:val="-2"/>
          <w:sz w:val="20"/>
          <w:szCs w:val="20"/>
        </w:rPr>
        <w:t>the</w:t>
      </w:r>
      <w:r w:rsidRPr="008C08DB">
        <w:rPr>
          <w:spacing w:val="-13"/>
          <w:sz w:val="20"/>
          <w:szCs w:val="20"/>
        </w:rPr>
        <w:t xml:space="preserve"> </w:t>
      </w:r>
      <w:r w:rsidRPr="008C08DB">
        <w:rPr>
          <w:spacing w:val="-2"/>
          <w:sz w:val="20"/>
          <w:szCs w:val="20"/>
        </w:rPr>
        <w:t>aggregate nominal</w:t>
      </w:r>
      <w:r w:rsidRPr="008C08DB">
        <w:rPr>
          <w:spacing w:val="-3"/>
          <w:sz w:val="20"/>
          <w:szCs w:val="20"/>
        </w:rPr>
        <w:t xml:space="preserve"> </w:t>
      </w:r>
      <w:r w:rsidRPr="008C08DB">
        <w:rPr>
          <w:spacing w:val="-2"/>
          <w:sz w:val="20"/>
          <w:szCs w:val="20"/>
        </w:rPr>
        <w:t>amount of</w:t>
      </w:r>
      <w:r w:rsidRPr="008C08DB">
        <w:rPr>
          <w:spacing w:val="-10"/>
          <w:sz w:val="20"/>
          <w:szCs w:val="20"/>
        </w:rPr>
        <w:t xml:space="preserve"> </w:t>
      </w:r>
      <w:r w:rsidRPr="008C08DB">
        <w:rPr>
          <w:spacing w:val="-2"/>
          <w:sz w:val="20"/>
          <w:szCs w:val="20"/>
        </w:rPr>
        <w:t>the</w:t>
      </w:r>
      <w:r w:rsidRPr="008C08DB">
        <w:rPr>
          <w:spacing w:val="-12"/>
          <w:sz w:val="20"/>
          <w:szCs w:val="20"/>
        </w:rPr>
        <w:t xml:space="preserve"> </w:t>
      </w:r>
      <w:r w:rsidRPr="008C08DB">
        <w:rPr>
          <w:spacing w:val="-2"/>
          <w:sz w:val="20"/>
          <w:szCs w:val="20"/>
        </w:rPr>
        <w:t xml:space="preserve">issued </w:t>
      </w:r>
      <w:r w:rsidRPr="008C08DB">
        <w:rPr>
          <w:sz w:val="20"/>
          <w:szCs w:val="20"/>
        </w:rPr>
        <w:t xml:space="preserve">ordinary share capital as at </w:t>
      </w:r>
      <w:r w:rsidR="00180E6B">
        <w:rPr>
          <w:sz w:val="20"/>
          <w:szCs w:val="20"/>
        </w:rPr>
        <w:t>1</w:t>
      </w:r>
      <w:r w:rsidRPr="008C08DB">
        <w:rPr>
          <w:sz w:val="20"/>
          <w:szCs w:val="20"/>
        </w:rPr>
        <w:t xml:space="preserve"> July 202</w:t>
      </w:r>
      <w:r w:rsidR="00180E6B">
        <w:rPr>
          <w:sz w:val="20"/>
          <w:szCs w:val="20"/>
        </w:rPr>
        <w:t>4</w:t>
      </w:r>
      <w:r w:rsidRPr="008C08DB">
        <w:rPr>
          <w:sz w:val="20"/>
          <w:szCs w:val="20"/>
        </w:rPr>
        <w:t>.</w:t>
      </w:r>
    </w:p>
    <w:p w14:paraId="4CA700D3" w14:textId="77777777" w:rsidR="00A00A09" w:rsidRPr="00A00A09" w:rsidRDefault="00A00A09" w:rsidP="00132D6F">
      <w:pPr>
        <w:pStyle w:val="BodyText"/>
        <w:jc w:val="both"/>
      </w:pPr>
    </w:p>
    <w:p w14:paraId="3DD77B6A" w14:textId="77777777" w:rsidR="00A00A09" w:rsidRPr="00A00A09" w:rsidRDefault="00A00A09" w:rsidP="00132D6F">
      <w:pPr>
        <w:pStyle w:val="BodyText"/>
        <w:spacing w:before="5"/>
        <w:jc w:val="both"/>
      </w:pPr>
    </w:p>
    <w:p w14:paraId="0ADB19A4" w14:textId="51843CFC" w:rsidR="00A00A09" w:rsidRPr="00A00A09" w:rsidRDefault="00A00A09" w:rsidP="00132D6F">
      <w:pPr>
        <w:spacing w:line="463" w:lineRule="auto"/>
        <w:ind w:firstLine="6"/>
        <w:jc w:val="both"/>
        <w:rPr>
          <w:rFonts w:ascii="Arial" w:hAnsi="Arial" w:cs="Arial"/>
          <w:b/>
          <w:sz w:val="20"/>
          <w:szCs w:val="20"/>
        </w:rPr>
      </w:pPr>
      <w:r w:rsidRPr="00A00A09">
        <w:rPr>
          <w:rFonts w:ascii="Arial" w:hAnsi="Arial" w:cs="Arial"/>
          <w:b/>
          <w:sz w:val="20"/>
          <w:szCs w:val="20"/>
        </w:rPr>
        <w:t>Resolution</w:t>
      </w:r>
      <w:r w:rsidRPr="00A00A09">
        <w:rPr>
          <w:rFonts w:ascii="Arial" w:hAnsi="Arial" w:cs="Arial"/>
          <w:b/>
          <w:spacing w:val="-11"/>
          <w:sz w:val="20"/>
          <w:szCs w:val="20"/>
        </w:rPr>
        <w:t xml:space="preserve"> </w:t>
      </w:r>
      <w:r w:rsidRPr="00A00A09">
        <w:rPr>
          <w:rFonts w:ascii="Arial" w:hAnsi="Arial" w:cs="Arial"/>
          <w:b/>
          <w:sz w:val="20"/>
          <w:szCs w:val="20"/>
        </w:rPr>
        <w:t>1</w:t>
      </w:r>
      <w:r w:rsidR="00180E6B">
        <w:rPr>
          <w:rFonts w:ascii="Arial" w:hAnsi="Arial" w:cs="Arial"/>
          <w:b/>
          <w:sz w:val="20"/>
          <w:szCs w:val="20"/>
        </w:rPr>
        <w:t>4</w:t>
      </w:r>
      <w:r w:rsidRPr="00A00A09">
        <w:rPr>
          <w:rFonts w:ascii="Arial" w:hAnsi="Arial" w:cs="Arial"/>
          <w:b/>
          <w:sz w:val="20"/>
          <w:szCs w:val="20"/>
        </w:rPr>
        <w:t xml:space="preserve"> – </w:t>
      </w:r>
      <w:r w:rsidRPr="00A00A09">
        <w:rPr>
          <w:rFonts w:ascii="Arial" w:hAnsi="Arial" w:cs="Arial"/>
          <w:b/>
          <w:w w:val="105"/>
          <w:sz w:val="20"/>
          <w:szCs w:val="20"/>
        </w:rPr>
        <w:t>Special</w:t>
      </w:r>
      <w:r w:rsidRPr="00A00A09">
        <w:rPr>
          <w:rFonts w:ascii="Arial" w:hAnsi="Arial" w:cs="Arial"/>
          <w:b/>
          <w:spacing w:val="-5"/>
          <w:w w:val="105"/>
          <w:sz w:val="20"/>
          <w:szCs w:val="20"/>
        </w:rPr>
        <w:t xml:space="preserve"> </w:t>
      </w:r>
      <w:r w:rsidRPr="00A00A09">
        <w:rPr>
          <w:rFonts w:ascii="Arial" w:hAnsi="Arial" w:cs="Arial"/>
          <w:b/>
          <w:spacing w:val="-2"/>
          <w:w w:val="105"/>
          <w:sz w:val="20"/>
          <w:szCs w:val="20"/>
        </w:rPr>
        <w:t>Resolution</w:t>
      </w:r>
    </w:p>
    <w:p w14:paraId="0EA66668" w14:textId="62950B30" w:rsidR="00A00A09" w:rsidRPr="00A00A09" w:rsidRDefault="00A00A09" w:rsidP="00132D6F">
      <w:pPr>
        <w:spacing w:line="463" w:lineRule="auto"/>
        <w:ind w:firstLine="6"/>
        <w:jc w:val="both"/>
        <w:rPr>
          <w:rFonts w:ascii="Arial" w:hAnsi="Arial" w:cs="Arial"/>
          <w:b/>
          <w:sz w:val="20"/>
          <w:szCs w:val="20"/>
        </w:rPr>
      </w:pPr>
      <w:r w:rsidRPr="00A00A09">
        <w:rPr>
          <w:rFonts w:ascii="Arial" w:hAnsi="Arial" w:cs="Arial"/>
          <w:b/>
          <w:sz w:val="20"/>
          <w:szCs w:val="20"/>
        </w:rPr>
        <w:t>IT WAS RESOLVED:</w:t>
      </w:r>
    </w:p>
    <w:p w14:paraId="20B34F8B" w14:textId="77777777" w:rsidR="00A00A09" w:rsidRPr="00A00A09" w:rsidRDefault="00A00A09" w:rsidP="00132D6F">
      <w:pPr>
        <w:pStyle w:val="BodyText"/>
        <w:spacing w:line="271" w:lineRule="auto"/>
        <w:ind w:firstLine="3"/>
        <w:jc w:val="both"/>
      </w:pPr>
      <w:r w:rsidRPr="00A00A09">
        <w:t>That,</w:t>
      </w:r>
      <w:r w:rsidRPr="00A00A09">
        <w:rPr>
          <w:spacing w:val="-14"/>
        </w:rPr>
        <w:t xml:space="preserve"> </w:t>
      </w:r>
      <w:r w:rsidRPr="00A00A09">
        <w:t>a</w:t>
      </w:r>
      <w:r w:rsidRPr="00A00A09">
        <w:rPr>
          <w:spacing w:val="-14"/>
        </w:rPr>
        <w:t xml:space="preserve"> </w:t>
      </w:r>
      <w:r w:rsidRPr="00A00A09">
        <w:t>general</w:t>
      </w:r>
      <w:r w:rsidRPr="00A00A09">
        <w:rPr>
          <w:spacing w:val="-4"/>
        </w:rPr>
        <w:t xml:space="preserve"> </w:t>
      </w:r>
      <w:r w:rsidRPr="00A00A09">
        <w:t>meeting</w:t>
      </w:r>
      <w:r w:rsidRPr="00A00A09">
        <w:rPr>
          <w:spacing w:val="-5"/>
        </w:rPr>
        <w:t xml:space="preserve"> </w:t>
      </w:r>
      <w:r w:rsidRPr="00A00A09">
        <w:t>of</w:t>
      </w:r>
      <w:r w:rsidRPr="00A00A09">
        <w:rPr>
          <w:spacing w:val="-8"/>
        </w:rPr>
        <w:t xml:space="preserve"> </w:t>
      </w:r>
      <w:r w:rsidRPr="00A00A09">
        <w:t>the</w:t>
      </w:r>
      <w:r w:rsidRPr="00A00A09">
        <w:rPr>
          <w:spacing w:val="-12"/>
        </w:rPr>
        <w:t xml:space="preserve"> </w:t>
      </w:r>
      <w:r w:rsidRPr="00A00A09">
        <w:t>Company other than</w:t>
      </w:r>
      <w:r w:rsidRPr="00A00A09">
        <w:rPr>
          <w:spacing w:val="-8"/>
        </w:rPr>
        <w:t xml:space="preserve"> </w:t>
      </w:r>
      <w:r w:rsidRPr="00A00A09">
        <w:t>an</w:t>
      </w:r>
      <w:r w:rsidRPr="00A00A09">
        <w:rPr>
          <w:spacing w:val="-12"/>
        </w:rPr>
        <w:t xml:space="preserve"> </w:t>
      </w:r>
      <w:r w:rsidRPr="00A00A09">
        <w:t>annual</w:t>
      </w:r>
      <w:r w:rsidRPr="00A00A09">
        <w:rPr>
          <w:spacing w:val="-5"/>
        </w:rPr>
        <w:t xml:space="preserve"> </w:t>
      </w:r>
      <w:r w:rsidRPr="00A00A09">
        <w:t>general meeting</w:t>
      </w:r>
      <w:r w:rsidRPr="00A00A09">
        <w:rPr>
          <w:spacing w:val="-11"/>
        </w:rPr>
        <w:t xml:space="preserve"> </w:t>
      </w:r>
      <w:r w:rsidRPr="00A00A09">
        <w:t>may</w:t>
      </w:r>
      <w:r w:rsidRPr="00A00A09">
        <w:rPr>
          <w:spacing w:val="-8"/>
        </w:rPr>
        <w:t xml:space="preserve"> </w:t>
      </w:r>
      <w:r w:rsidRPr="00A00A09">
        <w:t>be</w:t>
      </w:r>
      <w:r w:rsidRPr="00A00A09">
        <w:rPr>
          <w:spacing w:val="-14"/>
        </w:rPr>
        <w:t xml:space="preserve"> </w:t>
      </w:r>
      <w:r w:rsidRPr="00A00A09">
        <w:t>called on</w:t>
      </w:r>
      <w:r w:rsidRPr="00A00A09">
        <w:rPr>
          <w:spacing w:val="-11"/>
        </w:rPr>
        <w:t xml:space="preserve"> </w:t>
      </w:r>
      <w:r w:rsidRPr="00A00A09">
        <w:t>not less than</w:t>
      </w:r>
      <w:r w:rsidRPr="00A00A09">
        <w:rPr>
          <w:spacing w:val="-13"/>
        </w:rPr>
        <w:t xml:space="preserve"> </w:t>
      </w:r>
      <w:r w:rsidRPr="00A00A09">
        <w:t>14</w:t>
      </w:r>
      <w:r w:rsidRPr="00A00A09">
        <w:rPr>
          <w:spacing w:val="-8"/>
        </w:rPr>
        <w:t xml:space="preserve"> </w:t>
      </w:r>
      <w:r w:rsidRPr="00A00A09">
        <w:t>clear days' notice provided that</w:t>
      </w:r>
      <w:r w:rsidRPr="00A00A09">
        <w:rPr>
          <w:spacing w:val="-1"/>
        </w:rPr>
        <w:t xml:space="preserve"> </w:t>
      </w:r>
      <w:r w:rsidRPr="00A00A09">
        <w:t>this</w:t>
      </w:r>
      <w:r w:rsidRPr="00A00A09">
        <w:rPr>
          <w:spacing w:val="-9"/>
        </w:rPr>
        <w:t xml:space="preserve"> </w:t>
      </w:r>
      <w:r w:rsidRPr="00A00A09">
        <w:t>authority shall expire</w:t>
      </w:r>
      <w:r w:rsidRPr="00A00A09">
        <w:rPr>
          <w:spacing w:val="-1"/>
        </w:rPr>
        <w:t xml:space="preserve"> </w:t>
      </w:r>
      <w:r w:rsidRPr="00A00A09">
        <w:t>at the</w:t>
      </w:r>
      <w:r w:rsidRPr="00A00A09">
        <w:rPr>
          <w:spacing w:val="-2"/>
        </w:rPr>
        <w:t xml:space="preserve"> </w:t>
      </w:r>
      <w:r w:rsidRPr="00A00A09">
        <w:t>conclusion of the</w:t>
      </w:r>
      <w:r w:rsidRPr="00A00A09">
        <w:rPr>
          <w:spacing w:val="-3"/>
        </w:rPr>
        <w:t xml:space="preserve"> </w:t>
      </w:r>
      <w:r w:rsidRPr="00A00A09">
        <w:t>next annual general meeting of the Company.</w:t>
      </w:r>
    </w:p>
    <w:p w14:paraId="19FF3DF9" w14:textId="77777777" w:rsidR="00A00A09" w:rsidRPr="00A00A09" w:rsidRDefault="00A00A09" w:rsidP="00A00A09">
      <w:pPr>
        <w:pStyle w:val="BodyText"/>
      </w:pPr>
    </w:p>
    <w:p w14:paraId="6FF92EF4" w14:textId="77777777" w:rsidR="00A00A09" w:rsidRPr="00A00A09" w:rsidRDefault="00A00A09" w:rsidP="00A00A09">
      <w:pPr>
        <w:pStyle w:val="BodyText"/>
      </w:pPr>
    </w:p>
    <w:p w14:paraId="096372A7" w14:textId="4B97FE17" w:rsidR="00A00A09" w:rsidRPr="00A00A09" w:rsidRDefault="008C08DB" w:rsidP="00A00A09">
      <w:pPr>
        <w:spacing w:after="0" w:line="240" w:lineRule="auto"/>
        <w:rPr>
          <w:rFonts w:ascii="Arial" w:hAnsi="Arial" w:cs="Arial"/>
          <w:b/>
          <w:sz w:val="20"/>
          <w:szCs w:val="20"/>
        </w:rPr>
      </w:pPr>
      <w:r>
        <w:rPr>
          <w:rFonts w:ascii="Arial" w:hAnsi="Arial" w:cs="Arial"/>
          <w:b/>
          <w:w w:val="105"/>
          <w:sz w:val="20"/>
          <w:szCs w:val="20"/>
        </w:rPr>
        <w:t>Certified as a true extract</w:t>
      </w:r>
    </w:p>
    <w:p w14:paraId="4732299D" w14:textId="137AE8D9" w:rsidR="00A00A09" w:rsidRDefault="00A00A09" w:rsidP="00A00A09">
      <w:pPr>
        <w:pStyle w:val="BodyText"/>
        <w:rPr>
          <w:b/>
        </w:rPr>
      </w:pPr>
    </w:p>
    <w:p w14:paraId="475EA909" w14:textId="1058BF86" w:rsidR="004054BB" w:rsidRPr="008C08DB" w:rsidRDefault="004054BB" w:rsidP="004054BB">
      <w:pPr>
        <w:spacing w:after="0" w:line="260" w:lineRule="atLeast"/>
        <w:jc w:val="both"/>
        <w:rPr>
          <w:rFonts w:ascii="Arial" w:eastAsia="Times New Roman" w:hAnsi="Arial" w:cs="Arial"/>
          <w:b/>
          <w:kern w:val="28"/>
          <w:sz w:val="20"/>
          <w:szCs w:val="20"/>
          <w:lang w:eastAsia="en-US"/>
        </w:rPr>
      </w:pPr>
      <w:r w:rsidRPr="008C08DB">
        <w:rPr>
          <w:rFonts w:ascii="Arial" w:eastAsia="Times New Roman" w:hAnsi="Arial" w:cs="Arial"/>
          <w:b/>
          <w:kern w:val="28"/>
          <w:sz w:val="20"/>
          <w:szCs w:val="20"/>
          <w:lang w:eastAsia="en-US"/>
        </w:rPr>
        <w:t>For and on behalf of</w:t>
      </w:r>
    </w:p>
    <w:p w14:paraId="1F413CFC" w14:textId="68D8270A" w:rsidR="004054BB" w:rsidRPr="004054BB" w:rsidRDefault="004054BB" w:rsidP="004054BB">
      <w:pPr>
        <w:spacing w:after="0" w:line="260" w:lineRule="atLeast"/>
        <w:jc w:val="both"/>
        <w:rPr>
          <w:rFonts w:ascii="Arial" w:eastAsia="Times New Roman" w:hAnsi="Arial" w:cs="Arial"/>
          <w:b/>
          <w:kern w:val="28"/>
          <w:sz w:val="20"/>
          <w:szCs w:val="20"/>
          <w:lang w:eastAsia="en-US"/>
        </w:rPr>
      </w:pPr>
      <w:r w:rsidRPr="004054BB">
        <w:rPr>
          <w:rFonts w:ascii="Arial" w:eastAsia="Times New Roman" w:hAnsi="Arial" w:cs="Arial"/>
          <w:b/>
          <w:kern w:val="28"/>
          <w:sz w:val="20"/>
          <w:szCs w:val="20"/>
          <w:lang w:eastAsia="en-US"/>
        </w:rPr>
        <w:t>Artemis Fund Managers Limited</w:t>
      </w:r>
    </w:p>
    <w:p w14:paraId="24CD5755" w14:textId="77777777" w:rsidR="004054BB" w:rsidRPr="004054BB" w:rsidRDefault="004054BB" w:rsidP="004054BB">
      <w:pPr>
        <w:spacing w:after="0" w:line="260" w:lineRule="atLeast"/>
        <w:jc w:val="both"/>
        <w:rPr>
          <w:rFonts w:ascii="Arial" w:eastAsia="Times New Roman" w:hAnsi="Arial" w:cs="Arial"/>
          <w:b/>
          <w:kern w:val="28"/>
          <w:sz w:val="20"/>
          <w:szCs w:val="20"/>
          <w:lang w:eastAsia="en-US"/>
        </w:rPr>
      </w:pPr>
      <w:r w:rsidRPr="004054BB">
        <w:rPr>
          <w:rFonts w:ascii="Arial" w:eastAsia="Times New Roman" w:hAnsi="Arial" w:cs="Arial"/>
          <w:b/>
          <w:kern w:val="28"/>
          <w:sz w:val="20"/>
          <w:szCs w:val="20"/>
          <w:lang w:eastAsia="en-US"/>
        </w:rPr>
        <w:t>Company Secretary</w:t>
      </w:r>
    </w:p>
    <w:p w14:paraId="79DCD2A4" w14:textId="5C491F05" w:rsidR="00A00A09" w:rsidRPr="008C08DB" w:rsidRDefault="00180E6B" w:rsidP="004054BB">
      <w:pPr>
        <w:spacing w:after="0" w:line="240" w:lineRule="auto"/>
        <w:rPr>
          <w:rFonts w:ascii="Arial" w:hAnsi="Arial" w:cs="Arial"/>
          <w:b/>
          <w:sz w:val="20"/>
          <w:szCs w:val="20"/>
        </w:rPr>
      </w:pPr>
      <w:r>
        <w:rPr>
          <w:rFonts w:ascii="Arial" w:hAnsi="Arial" w:cs="Arial"/>
          <w:b/>
          <w:w w:val="105"/>
          <w:sz w:val="20"/>
          <w:szCs w:val="20"/>
        </w:rPr>
        <w:t>17 October 2024</w:t>
      </w:r>
    </w:p>
    <w:sectPr w:rsidR="00A00A09" w:rsidRPr="008C08D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222D" w14:textId="77777777" w:rsidR="008C08DB" w:rsidRDefault="008C08DB" w:rsidP="008C08DB">
      <w:pPr>
        <w:spacing w:after="0" w:line="240" w:lineRule="auto"/>
      </w:pPr>
      <w:r>
        <w:separator/>
      </w:r>
    </w:p>
  </w:endnote>
  <w:endnote w:type="continuationSeparator" w:id="0">
    <w:p w14:paraId="38FCF768" w14:textId="77777777" w:rsidR="008C08DB" w:rsidRDefault="008C08DB" w:rsidP="008C0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89D2" w14:textId="02C2551C" w:rsidR="008C08DB" w:rsidRDefault="008C08DB">
    <w:pPr>
      <w:pStyle w:val="Footer"/>
    </w:pPr>
    <w:r>
      <w:rPr>
        <w:noProof/>
      </w:rPr>
      <mc:AlternateContent>
        <mc:Choice Requires="wps">
          <w:drawing>
            <wp:anchor distT="0" distB="0" distL="114300" distR="114300" simplePos="0" relativeHeight="251659264" behindDoc="0" locked="0" layoutInCell="0" allowOverlap="1" wp14:anchorId="7447C1B3" wp14:editId="7EB63995">
              <wp:simplePos x="0" y="0"/>
              <wp:positionH relativeFrom="page">
                <wp:posOffset>0</wp:posOffset>
              </wp:positionH>
              <wp:positionV relativeFrom="page">
                <wp:posOffset>10227945</wp:posOffset>
              </wp:positionV>
              <wp:extent cx="7560310" cy="273050"/>
              <wp:effectExtent l="0" t="0" r="0" b="12700"/>
              <wp:wrapNone/>
              <wp:docPr id="2" name="MSIPCM3ce84087a0853762f8eef4c8" descr="{&quot;HashCode&quot;:-10548697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0611" w14:textId="3449ECA1" w:rsidR="008C08DB" w:rsidRPr="008C08DB" w:rsidRDefault="008C08DB" w:rsidP="008C08DB">
                          <w:pPr>
                            <w:spacing w:after="0"/>
                            <w:rPr>
                              <w:rFonts w:ascii="Calibri" w:hAnsi="Calibri" w:cs="Calibri"/>
                              <w:color w:val="008000"/>
                              <w:sz w:val="20"/>
                            </w:rPr>
                          </w:pPr>
                          <w:r w:rsidRPr="008C08DB">
                            <w:rPr>
                              <w:rFonts w:ascii="Calibri" w:hAnsi="Calibri" w:cs="Calibri"/>
                              <w:color w:val="008000"/>
                              <w:sz w:val="20"/>
                            </w:rPr>
                            <w:t>NTAC:3NS-20</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47C1B3" id="_x0000_t202" coordsize="21600,21600" o:spt="202" path="m,l,21600r21600,l21600,xe">
              <v:stroke joinstyle="miter"/>
              <v:path gradientshapeok="t" o:connecttype="rect"/>
            </v:shapetype>
            <v:shape id="MSIPCM3ce84087a0853762f8eef4c8" o:spid="_x0000_s1026" type="#_x0000_t202" alt="{&quot;HashCode&quot;:-10548697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1EDD0611" w14:textId="3449ECA1" w:rsidR="008C08DB" w:rsidRPr="008C08DB" w:rsidRDefault="008C08DB" w:rsidP="008C08DB">
                    <w:pPr>
                      <w:spacing w:after="0"/>
                      <w:rPr>
                        <w:rFonts w:ascii="Calibri" w:hAnsi="Calibri" w:cs="Calibri"/>
                        <w:color w:val="008000"/>
                        <w:sz w:val="20"/>
                      </w:rPr>
                    </w:pPr>
                    <w:r w:rsidRPr="008C08DB">
                      <w:rPr>
                        <w:rFonts w:ascii="Calibri" w:hAnsi="Calibri" w:cs="Calibri"/>
                        <w:color w:val="008000"/>
                        <w:sz w:val="20"/>
                      </w:rPr>
                      <w:t>NTAC:3NS-20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ECE7" w14:textId="77777777" w:rsidR="008C08DB" w:rsidRDefault="008C08DB" w:rsidP="008C08DB">
      <w:pPr>
        <w:spacing w:after="0" w:line="240" w:lineRule="auto"/>
      </w:pPr>
      <w:r>
        <w:separator/>
      </w:r>
    </w:p>
  </w:footnote>
  <w:footnote w:type="continuationSeparator" w:id="0">
    <w:p w14:paraId="041BB606" w14:textId="77777777" w:rsidR="008C08DB" w:rsidRDefault="008C08DB" w:rsidP="008C0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721"/>
    <w:multiLevelType w:val="hybridMultilevel"/>
    <w:tmpl w:val="4A68FF8A"/>
    <w:lvl w:ilvl="0" w:tplc="78222F84">
      <w:start w:val="1"/>
      <w:numFmt w:val="lowerRoman"/>
      <w:lvlText w:val="%1)"/>
      <w:lvlJc w:val="left"/>
      <w:pPr>
        <w:ind w:left="1527" w:hanging="720"/>
      </w:pPr>
      <w:rPr>
        <w:rFonts w:hint="default"/>
      </w:r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1" w15:restartNumberingAfterBreak="0">
    <w:nsid w:val="0CF12B0A"/>
    <w:multiLevelType w:val="hybridMultilevel"/>
    <w:tmpl w:val="A9B645A6"/>
    <w:lvl w:ilvl="0" w:tplc="537C2B9E">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2" w15:restartNumberingAfterBreak="0">
    <w:nsid w:val="3E796E39"/>
    <w:multiLevelType w:val="hybridMultilevel"/>
    <w:tmpl w:val="17F0C938"/>
    <w:lvl w:ilvl="0" w:tplc="D10445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17300A"/>
    <w:multiLevelType w:val="hybridMultilevel"/>
    <w:tmpl w:val="6212CD2C"/>
    <w:lvl w:ilvl="0" w:tplc="CC80E968">
      <w:start w:val="2"/>
      <w:numFmt w:val="lowerLetter"/>
      <w:lvlText w:val="(%1)"/>
      <w:lvlJc w:val="left"/>
      <w:pPr>
        <w:ind w:left="892" w:hanging="598"/>
        <w:jc w:val="left"/>
      </w:pPr>
      <w:rPr>
        <w:rFonts w:ascii="Arial" w:eastAsia="Arial" w:hAnsi="Arial" w:cs="Arial" w:hint="default"/>
        <w:b w:val="0"/>
        <w:bCs w:val="0"/>
        <w:i w:val="0"/>
        <w:iCs w:val="0"/>
        <w:spacing w:val="-1"/>
        <w:w w:val="101"/>
        <w:sz w:val="20"/>
        <w:szCs w:val="20"/>
        <w:lang w:val="en-US" w:eastAsia="en-US" w:bidi="ar-SA"/>
      </w:rPr>
    </w:lvl>
    <w:lvl w:ilvl="1" w:tplc="FB966706">
      <w:start w:val="1"/>
      <w:numFmt w:val="lowerRoman"/>
      <w:lvlText w:val="(%2)"/>
      <w:lvlJc w:val="left"/>
      <w:pPr>
        <w:ind w:left="1563" w:hanging="707"/>
        <w:jc w:val="left"/>
      </w:pPr>
      <w:rPr>
        <w:rFonts w:ascii="Arial" w:eastAsia="Arial" w:hAnsi="Arial" w:cs="Arial" w:hint="default"/>
        <w:b w:val="0"/>
        <w:bCs w:val="0"/>
        <w:i w:val="0"/>
        <w:iCs w:val="0"/>
        <w:spacing w:val="-1"/>
        <w:w w:val="100"/>
        <w:sz w:val="20"/>
        <w:szCs w:val="20"/>
        <w:lang w:val="en-US" w:eastAsia="en-US" w:bidi="ar-SA"/>
      </w:rPr>
    </w:lvl>
    <w:lvl w:ilvl="2" w:tplc="F0741E0A">
      <w:numFmt w:val="bullet"/>
      <w:lvlText w:val="•"/>
      <w:lvlJc w:val="left"/>
      <w:pPr>
        <w:ind w:left="2502" w:hanging="707"/>
      </w:pPr>
      <w:rPr>
        <w:rFonts w:hint="default"/>
        <w:lang w:val="en-US" w:eastAsia="en-US" w:bidi="ar-SA"/>
      </w:rPr>
    </w:lvl>
    <w:lvl w:ilvl="3" w:tplc="DBB2DE9E">
      <w:numFmt w:val="bullet"/>
      <w:lvlText w:val="•"/>
      <w:lvlJc w:val="left"/>
      <w:pPr>
        <w:ind w:left="3444" w:hanging="707"/>
      </w:pPr>
      <w:rPr>
        <w:rFonts w:hint="default"/>
        <w:lang w:val="en-US" w:eastAsia="en-US" w:bidi="ar-SA"/>
      </w:rPr>
    </w:lvl>
    <w:lvl w:ilvl="4" w:tplc="F800BE18">
      <w:numFmt w:val="bullet"/>
      <w:lvlText w:val="•"/>
      <w:lvlJc w:val="left"/>
      <w:pPr>
        <w:ind w:left="4386" w:hanging="707"/>
      </w:pPr>
      <w:rPr>
        <w:rFonts w:hint="default"/>
        <w:lang w:val="en-US" w:eastAsia="en-US" w:bidi="ar-SA"/>
      </w:rPr>
    </w:lvl>
    <w:lvl w:ilvl="5" w:tplc="2A706A8A">
      <w:numFmt w:val="bullet"/>
      <w:lvlText w:val="•"/>
      <w:lvlJc w:val="left"/>
      <w:pPr>
        <w:ind w:left="5328" w:hanging="707"/>
      </w:pPr>
      <w:rPr>
        <w:rFonts w:hint="default"/>
        <w:lang w:val="en-US" w:eastAsia="en-US" w:bidi="ar-SA"/>
      </w:rPr>
    </w:lvl>
    <w:lvl w:ilvl="6" w:tplc="B240DBC0">
      <w:numFmt w:val="bullet"/>
      <w:lvlText w:val="•"/>
      <w:lvlJc w:val="left"/>
      <w:pPr>
        <w:ind w:left="6271" w:hanging="707"/>
      </w:pPr>
      <w:rPr>
        <w:rFonts w:hint="default"/>
        <w:lang w:val="en-US" w:eastAsia="en-US" w:bidi="ar-SA"/>
      </w:rPr>
    </w:lvl>
    <w:lvl w:ilvl="7" w:tplc="0AF4A934">
      <w:numFmt w:val="bullet"/>
      <w:lvlText w:val="•"/>
      <w:lvlJc w:val="left"/>
      <w:pPr>
        <w:ind w:left="7213" w:hanging="707"/>
      </w:pPr>
      <w:rPr>
        <w:rFonts w:hint="default"/>
        <w:lang w:val="en-US" w:eastAsia="en-US" w:bidi="ar-SA"/>
      </w:rPr>
    </w:lvl>
    <w:lvl w:ilvl="8" w:tplc="B412A652">
      <w:numFmt w:val="bullet"/>
      <w:lvlText w:val="•"/>
      <w:lvlJc w:val="left"/>
      <w:pPr>
        <w:ind w:left="8155" w:hanging="707"/>
      </w:pPr>
      <w:rPr>
        <w:rFonts w:hint="default"/>
        <w:lang w:val="en-US" w:eastAsia="en-US" w:bidi="ar-SA"/>
      </w:rPr>
    </w:lvl>
  </w:abstractNum>
  <w:abstractNum w:abstractNumId="4" w15:restartNumberingAfterBreak="0">
    <w:nsid w:val="76B253FC"/>
    <w:multiLevelType w:val="hybridMultilevel"/>
    <w:tmpl w:val="830CEC02"/>
    <w:lvl w:ilvl="0" w:tplc="4D64675A">
      <w:start w:val="1"/>
      <w:numFmt w:val="lowerLetter"/>
      <w:lvlText w:val="%1)"/>
      <w:lvlJc w:val="left"/>
      <w:pPr>
        <w:ind w:left="474" w:hanging="360"/>
      </w:pPr>
      <w:rPr>
        <w:rFonts w:hint="default"/>
      </w:rPr>
    </w:lvl>
    <w:lvl w:ilvl="1" w:tplc="08090019">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5" w15:restartNumberingAfterBreak="0">
    <w:nsid w:val="77F7119D"/>
    <w:multiLevelType w:val="hybridMultilevel"/>
    <w:tmpl w:val="AFF61A6A"/>
    <w:lvl w:ilvl="0" w:tplc="F7AC1E9C">
      <w:start w:val="9"/>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086173">
    <w:abstractNumId w:val="3"/>
  </w:num>
  <w:num w:numId="2" w16cid:durableId="962617818">
    <w:abstractNumId w:val="1"/>
  </w:num>
  <w:num w:numId="3" w16cid:durableId="1790052013">
    <w:abstractNumId w:val="0"/>
  </w:num>
  <w:num w:numId="4" w16cid:durableId="1963996831">
    <w:abstractNumId w:val="4"/>
  </w:num>
  <w:num w:numId="5" w16cid:durableId="1072193932">
    <w:abstractNumId w:val="5"/>
  </w:num>
  <w:num w:numId="6" w16cid:durableId="1813597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09"/>
    <w:rsid w:val="000F07F9"/>
    <w:rsid w:val="00132D6F"/>
    <w:rsid w:val="00180E6B"/>
    <w:rsid w:val="004054BB"/>
    <w:rsid w:val="008C08DB"/>
    <w:rsid w:val="00A00A09"/>
    <w:rsid w:val="00D256CD"/>
    <w:rsid w:val="00F760F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EE8F6C"/>
  <w15:chartTrackingRefBased/>
  <w15:docId w15:val="{93414CF0-62DF-435E-AD1E-2FDF2287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00A09"/>
    <w:pPr>
      <w:widowControl w:val="0"/>
      <w:autoSpaceDE w:val="0"/>
      <w:autoSpaceDN w:val="0"/>
      <w:spacing w:after="0" w:line="240" w:lineRule="auto"/>
      <w:ind w:left="240"/>
      <w:jc w:val="both"/>
      <w:outlineLvl w:val="0"/>
    </w:pPr>
    <w:rPr>
      <w:rFonts w:ascii="Arial" w:eastAsia="Arial" w:hAnsi="Arial" w:cs="Arial"/>
      <w:b/>
      <w:bCs/>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09"/>
    <w:rPr>
      <w:rFonts w:ascii="Arial" w:eastAsia="Arial" w:hAnsi="Arial" w:cs="Arial"/>
      <w:b/>
      <w:bCs/>
      <w:sz w:val="21"/>
      <w:szCs w:val="21"/>
      <w:lang w:val="en-US" w:eastAsia="en-US"/>
    </w:rPr>
  </w:style>
  <w:style w:type="paragraph" w:styleId="BodyText">
    <w:name w:val="Body Text"/>
    <w:basedOn w:val="Normal"/>
    <w:link w:val="BodyTextChar"/>
    <w:uiPriority w:val="1"/>
    <w:qFormat/>
    <w:rsid w:val="00A00A09"/>
    <w:pPr>
      <w:widowControl w:val="0"/>
      <w:autoSpaceDE w:val="0"/>
      <w:autoSpaceDN w:val="0"/>
      <w:spacing w:after="0" w:line="240" w:lineRule="auto"/>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A00A09"/>
    <w:rPr>
      <w:rFonts w:ascii="Arial" w:eastAsia="Arial" w:hAnsi="Arial" w:cs="Arial"/>
      <w:sz w:val="20"/>
      <w:szCs w:val="20"/>
      <w:lang w:val="en-US" w:eastAsia="en-US"/>
    </w:rPr>
  </w:style>
  <w:style w:type="paragraph" w:styleId="ListParagraph">
    <w:name w:val="List Paragraph"/>
    <w:basedOn w:val="Normal"/>
    <w:uiPriority w:val="1"/>
    <w:qFormat/>
    <w:rsid w:val="00A00A09"/>
    <w:pPr>
      <w:widowControl w:val="0"/>
      <w:autoSpaceDE w:val="0"/>
      <w:autoSpaceDN w:val="0"/>
      <w:spacing w:after="0" w:line="240" w:lineRule="auto"/>
      <w:ind w:left="892" w:hanging="708"/>
    </w:pPr>
    <w:rPr>
      <w:rFonts w:ascii="Arial" w:eastAsia="Arial" w:hAnsi="Arial" w:cs="Arial"/>
      <w:lang w:val="en-US" w:eastAsia="en-US"/>
    </w:rPr>
  </w:style>
  <w:style w:type="paragraph" w:styleId="Header">
    <w:name w:val="header"/>
    <w:basedOn w:val="Normal"/>
    <w:link w:val="HeaderChar"/>
    <w:uiPriority w:val="99"/>
    <w:unhideWhenUsed/>
    <w:rsid w:val="008C0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8DB"/>
  </w:style>
  <w:style w:type="paragraph" w:styleId="Footer">
    <w:name w:val="footer"/>
    <w:basedOn w:val="Normal"/>
    <w:link w:val="FooterChar"/>
    <w:uiPriority w:val="99"/>
    <w:unhideWhenUsed/>
    <w:rsid w:val="008C0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Northern Trust</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Jane Spevack</dc:creator>
  <cp:keywords/>
  <dc:description/>
  <cp:lastModifiedBy>Tracey Jane Spevack</cp:lastModifiedBy>
  <cp:revision>3</cp:revision>
  <dcterms:created xsi:type="dcterms:W3CDTF">2024-10-16T13:03:00Z</dcterms:created>
  <dcterms:modified xsi:type="dcterms:W3CDTF">2024-10-17T13:56:00Z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3ca9ef-1496-417f-9285-25b5037985b9_Enabled">
    <vt:lpwstr>true</vt:lpwstr>
  </property>
  <property fmtid="{D5CDD505-2E9C-101B-9397-08002B2CF9AE}" pid="3" name="MSIP_Label_da3ca9ef-1496-417f-9285-25b5037985b9_SetDate">
    <vt:lpwstr>2024-10-17T13:56:21Z</vt:lpwstr>
  </property>
  <property fmtid="{D5CDD505-2E9C-101B-9397-08002B2CF9AE}" pid="4" name="MSIP_Label_da3ca9ef-1496-417f-9285-25b5037985b9_Method">
    <vt:lpwstr>Standard</vt:lpwstr>
  </property>
  <property fmtid="{D5CDD505-2E9C-101B-9397-08002B2CF9AE}" pid="5" name="MSIP_Label_da3ca9ef-1496-417f-9285-25b5037985b9_Name">
    <vt:lpwstr>Non-Sensitive Business Use - Footer</vt:lpwstr>
  </property>
  <property fmtid="{D5CDD505-2E9C-101B-9397-08002B2CF9AE}" pid="6" name="MSIP_Label_da3ca9ef-1496-417f-9285-25b5037985b9_SiteId">
    <vt:lpwstr>2434528d-4270-4977-81dd-a6308c1761a3</vt:lpwstr>
  </property>
  <property fmtid="{D5CDD505-2E9C-101B-9397-08002B2CF9AE}" pid="7" name="MSIP_Label_da3ca9ef-1496-417f-9285-25b5037985b9_ActionId">
    <vt:lpwstr>202b0ceb-d813-40f4-ac6e-bcd0b52c58d1</vt:lpwstr>
  </property>
  <property fmtid="{D5CDD505-2E9C-101B-9397-08002B2CF9AE}" pid="8" name="MSIP_Label_da3ca9ef-1496-417f-9285-25b5037985b9_ContentBits">
    <vt:lpwstr>2</vt:lpwstr>
  </property>
</Properties>
</file>