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DEA99" w14:textId="48D59015" w:rsidR="00EC4F05" w:rsidRPr="000137F0" w:rsidRDefault="008D6B2B" w:rsidP="001A4158">
      <w:pPr>
        <w:pStyle w:val="dn"/>
        <w:jc w:val="both"/>
        <w:rPr>
          <w:rStyle w:val="dp"/>
          <w:rFonts w:ascii="Arial" w:hAnsi="Arial" w:cs="Arial"/>
          <w:b/>
          <w:bCs/>
          <w:color w:val="000000"/>
          <w:sz w:val="20"/>
          <w:szCs w:val="20"/>
        </w:rPr>
      </w:pPr>
      <w:r w:rsidRPr="000137F0">
        <w:rPr>
          <w:rStyle w:val="dp"/>
          <w:rFonts w:ascii="Arial" w:hAnsi="Arial" w:cs="Arial"/>
          <w:b/>
          <w:bCs/>
          <w:color w:val="000000"/>
          <w:sz w:val="20"/>
          <w:szCs w:val="20"/>
        </w:rPr>
        <w:t>4</w:t>
      </w:r>
      <w:r w:rsidR="0088148C" w:rsidRPr="000137F0">
        <w:rPr>
          <w:rStyle w:val="dp"/>
          <w:rFonts w:ascii="Arial" w:hAnsi="Arial" w:cs="Arial"/>
          <w:b/>
          <w:bCs/>
          <w:color w:val="000000"/>
          <w:sz w:val="20"/>
          <w:szCs w:val="20"/>
        </w:rPr>
        <w:t xml:space="preserve"> </w:t>
      </w:r>
      <w:r w:rsidR="001764A8" w:rsidRPr="000137F0">
        <w:rPr>
          <w:rStyle w:val="dp"/>
          <w:rFonts w:ascii="Arial" w:hAnsi="Arial" w:cs="Arial"/>
          <w:b/>
          <w:bCs/>
          <w:color w:val="000000"/>
          <w:sz w:val="20"/>
          <w:szCs w:val="20"/>
        </w:rPr>
        <w:t xml:space="preserve">January </w:t>
      </w:r>
      <w:r w:rsidR="00EC4F05" w:rsidRPr="000137F0">
        <w:rPr>
          <w:rStyle w:val="dp"/>
          <w:rFonts w:ascii="Arial" w:hAnsi="Arial" w:cs="Arial"/>
          <w:b/>
          <w:bCs/>
          <w:color w:val="000000"/>
          <w:sz w:val="20"/>
          <w:szCs w:val="20"/>
        </w:rPr>
        <w:t>202</w:t>
      </w:r>
      <w:r w:rsidR="005F3CA6" w:rsidRPr="000137F0">
        <w:rPr>
          <w:rStyle w:val="dp"/>
          <w:rFonts w:ascii="Arial" w:hAnsi="Arial" w:cs="Arial"/>
          <w:b/>
          <w:bCs/>
          <w:color w:val="000000"/>
          <w:sz w:val="20"/>
          <w:szCs w:val="20"/>
        </w:rPr>
        <w:t>1</w:t>
      </w:r>
    </w:p>
    <w:p w14:paraId="620F529C" w14:textId="64F69A61" w:rsidR="001967AA" w:rsidRPr="000137F0" w:rsidRDefault="000D3253" w:rsidP="00EC4F05">
      <w:pPr>
        <w:pStyle w:val="dn"/>
        <w:jc w:val="center"/>
        <w:rPr>
          <w:rFonts w:ascii="Arial" w:hAnsi="Arial" w:cs="Arial"/>
          <w:b/>
          <w:bCs/>
          <w:color w:val="000000"/>
          <w:sz w:val="20"/>
          <w:szCs w:val="20"/>
        </w:rPr>
      </w:pPr>
      <w:r w:rsidRPr="000137F0">
        <w:rPr>
          <w:rStyle w:val="dp"/>
          <w:rFonts w:ascii="Arial" w:hAnsi="Arial" w:cs="Arial"/>
          <w:b/>
          <w:bCs/>
          <w:color w:val="000000"/>
          <w:sz w:val="20"/>
          <w:szCs w:val="20"/>
        </w:rPr>
        <w:t>Primary Health Properties</w:t>
      </w:r>
      <w:r w:rsidR="00EA10B1" w:rsidRPr="000137F0">
        <w:rPr>
          <w:rStyle w:val="dp"/>
          <w:rFonts w:ascii="Arial" w:hAnsi="Arial" w:cs="Arial"/>
          <w:b/>
          <w:bCs/>
          <w:color w:val="000000"/>
          <w:sz w:val="20"/>
          <w:szCs w:val="20"/>
        </w:rPr>
        <w:t xml:space="preserve"> PLC</w:t>
      </w:r>
    </w:p>
    <w:p w14:paraId="00E10C3C" w14:textId="5D4F6437" w:rsidR="001967AA" w:rsidRPr="000137F0" w:rsidRDefault="001967AA" w:rsidP="00EC4F05">
      <w:pPr>
        <w:pStyle w:val="do"/>
        <w:jc w:val="center"/>
        <w:rPr>
          <w:rFonts w:ascii="Arial" w:hAnsi="Arial" w:cs="Arial"/>
          <w:b/>
          <w:bCs/>
          <w:color w:val="000000"/>
          <w:sz w:val="20"/>
          <w:szCs w:val="20"/>
        </w:rPr>
      </w:pPr>
      <w:r w:rsidRPr="000137F0">
        <w:rPr>
          <w:rStyle w:val="dp"/>
          <w:rFonts w:ascii="Arial" w:hAnsi="Arial" w:cs="Arial"/>
          <w:b/>
          <w:bCs/>
          <w:color w:val="000000"/>
          <w:sz w:val="20"/>
          <w:szCs w:val="20"/>
        </w:rPr>
        <w:t>(</w:t>
      </w:r>
      <w:r w:rsidR="000D3253" w:rsidRPr="000137F0">
        <w:rPr>
          <w:rStyle w:val="dp"/>
          <w:rFonts w:ascii="Arial" w:hAnsi="Arial" w:cs="Arial"/>
          <w:b/>
          <w:bCs/>
          <w:color w:val="000000"/>
          <w:sz w:val="20"/>
          <w:szCs w:val="20"/>
        </w:rPr>
        <w:t>“PHP”</w:t>
      </w:r>
      <w:r w:rsidRPr="000137F0">
        <w:rPr>
          <w:rStyle w:val="dp"/>
          <w:rFonts w:ascii="Arial" w:hAnsi="Arial" w:cs="Arial"/>
          <w:b/>
          <w:bCs/>
          <w:color w:val="000000"/>
          <w:sz w:val="20"/>
          <w:szCs w:val="20"/>
        </w:rPr>
        <w:t xml:space="preserve"> or the </w:t>
      </w:r>
      <w:r w:rsidR="000D3253" w:rsidRPr="000137F0">
        <w:rPr>
          <w:rStyle w:val="dp"/>
          <w:rFonts w:ascii="Arial" w:hAnsi="Arial" w:cs="Arial"/>
          <w:b/>
          <w:bCs/>
          <w:color w:val="000000"/>
          <w:sz w:val="20"/>
          <w:szCs w:val="20"/>
        </w:rPr>
        <w:t>“</w:t>
      </w:r>
      <w:r w:rsidRPr="000137F0">
        <w:rPr>
          <w:rStyle w:val="dp"/>
          <w:rFonts w:ascii="Arial" w:hAnsi="Arial" w:cs="Arial"/>
          <w:b/>
          <w:bCs/>
          <w:color w:val="000000"/>
          <w:sz w:val="20"/>
          <w:szCs w:val="20"/>
        </w:rPr>
        <w:t>Company</w:t>
      </w:r>
      <w:r w:rsidR="000D3253" w:rsidRPr="000137F0">
        <w:rPr>
          <w:rStyle w:val="dp"/>
          <w:rFonts w:ascii="Arial" w:hAnsi="Arial" w:cs="Arial"/>
          <w:b/>
          <w:bCs/>
          <w:color w:val="000000"/>
          <w:sz w:val="20"/>
          <w:szCs w:val="20"/>
        </w:rPr>
        <w:t>”</w:t>
      </w:r>
      <w:r w:rsidRPr="000137F0">
        <w:rPr>
          <w:rStyle w:val="dp"/>
          <w:rFonts w:ascii="Arial" w:hAnsi="Arial" w:cs="Arial"/>
          <w:b/>
          <w:bCs/>
          <w:color w:val="000000"/>
          <w:sz w:val="20"/>
          <w:szCs w:val="20"/>
        </w:rPr>
        <w:t>)</w:t>
      </w:r>
    </w:p>
    <w:p w14:paraId="7326F179" w14:textId="332DDBE1" w:rsidR="00573AEA" w:rsidRPr="000137F0" w:rsidRDefault="00E31616" w:rsidP="00EC4F05">
      <w:pPr>
        <w:jc w:val="center"/>
        <w:rPr>
          <w:rFonts w:ascii="Arial" w:hAnsi="Arial" w:cs="Arial"/>
          <w:b/>
          <w:bCs/>
          <w:sz w:val="20"/>
          <w:szCs w:val="20"/>
        </w:rPr>
      </w:pPr>
      <w:r w:rsidRPr="000137F0">
        <w:rPr>
          <w:rFonts w:ascii="Arial" w:hAnsi="Arial" w:cs="Arial"/>
          <w:b/>
          <w:bCs/>
          <w:sz w:val="20"/>
          <w:szCs w:val="20"/>
        </w:rPr>
        <w:t>Result of General Meeting</w:t>
      </w:r>
    </w:p>
    <w:p w14:paraId="6E8EFE63" w14:textId="77777777" w:rsidR="00E31616" w:rsidRPr="000137F0" w:rsidRDefault="00E31616" w:rsidP="00602ECB">
      <w:pPr>
        <w:jc w:val="both"/>
        <w:rPr>
          <w:rFonts w:ascii="Arial" w:hAnsi="Arial" w:cs="Arial"/>
          <w:sz w:val="20"/>
          <w:szCs w:val="20"/>
        </w:rPr>
      </w:pPr>
    </w:p>
    <w:p w14:paraId="0BD3AE9E" w14:textId="17FFF122" w:rsidR="00F6358D" w:rsidRPr="000137F0" w:rsidRDefault="00E31616" w:rsidP="00602ECB">
      <w:pPr>
        <w:jc w:val="both"/>
        <w:rPr>
          <w:rFonts w:ascii="Arial" w:hAnsi="Arial" w:cs="Arial"/>
          <w:sz w:val="20"/>
          <w:szCs w:val="20"/>
        </w:rPr>
      </w:pPr>
      <w:r w:rsidRPr="000137F0">
        <w:rPr>
          <w:rFonts w:ascii="Arial" w:hAnsi="Arial" w:cs="Arial"/>
          <w:sz w:val="20"/>
          <w:szCs w:val="20"/>
        </w:rPr>
        <w:t xml:space="preserve">Further to the announcement on </w:t>
      </w:r>
      <w:r w:rsidR="0069604F" w:rsidRPr="000137F0">
        <w:rPr>
          <w:rFonts w:ascii="Arial" w:hAnsi="Arial" w:cs="Arial"/>
          <w:sz w:val="20"/>
          <w:szCs w:val="20"/>
        </w:rPr>
        <w:t>10</w:t>
      </w:r>
      <w:r w:rsidRPr="000137F0">
        <w:rPr>
          <w:rFonts w:ascii="Arial" w:hAnsi="Arial" w:cs="Arial"/>
          <w:sz w:val="20"/>
          <w:szCs w:val="20"/>
        </w:rPr>
        <w:t xml:space="preserve"> December 2020 in relation to</w:t>
      </w:r>
      <w:r w:rsidR="00F6358D" w:rsidRPr="000137F0">
        <w:rPr>
          <w:rFonts w:ascii="Arial" w:hAnsi="Arial" w:cs="Arial"/>
          <w:sz w:val="20"/>
          <w:szCs w:val="20"/>
        </w:rPr>
        <w:t xml:space="preserve"> the</w:t>
      </w:r>
      <w:r w:rsidRPr="000137F0">
        <w:rPr>
          <w:rFonts w:ascii="Arial" w:hAnsi="Arial" w:cs="Arial"/>
          <w:sz w:val="20"/>
          <w:szCs w:val="20"/>
        </w:rPr>
        <w:t xml:space="preserve"> </w:t>
      </w:r>
      <w:r w:rsidR="00F6358D" w:rsidRPr="000137F0">
        <w:rPr>
          <w:rFonts w:ascii="Arial" w:hAnsi="Arial" w:cs="Arial"/>
          <w:sz w:val="20"/>
          <w:szCs w:val="20"/>
        </w:rPr>
        <w:t>proposed management internalisation</w:t>
      </w:r>
      <w:r w:rsidR="008422E2">
        <w:rPr>
          <w:rFonts w:ascii="Arial" w:hAnsi="Arial" w:cs="Arial"/>
          <w:sz w:val="20"/>
          <w:szCs w:val="20"/>
        </w:rPr>
        <w:t xml:space="preserve"> and adoption of the New Articles</w:t>
      </w:r>
      <w:r w:rsidR="00F6358D" w:rsidRPr="000137F0">
        <w:rPr>
          <w:rFonts w:ascii="Arial" w:hAnsi="Arial" w:cs="Arial"/>
          <w:sz w:val="20"/>
          <w:szCs w:val="20"/>
        </w:rPr>
        <w:t>, all of the resolutions put to shareholders</w:t>
      </w:r>
      <w:r w:rsidR="00C64A43" w:rsidRPr="000137F0">
        <w:rPr>
          <w:rFonts w:ascii="Arial" w:hAnsi="Arial" w:cs="Arial"/>
          <w:sz w:val="20"/>
          <w:szCs w:val="20"/>
        </w:rPr>
        <w:t xml:space="preserve"> required to </w:t>
      </w:r>
      <w:proofErr w:type="gramStart"/>
      <w:r w:rsidR="00C64A43" w:rsidRPr="000137F0">
        <w:rPr>
          <w:rFonts w:ascii="Arial" w:hAnsi="Arial" w:cs="Arial"/>
          <w:sz w:val="20"/>
          <w:szCs w:val="20"/>
        </w:rPr>
        <w:t>effect</w:t>
      </w:r>
      <w:proofErr w:type="gramEnd"/>
      <w:r w:rsidR="00C64A43" w:rsidRPr="000137F0">
        <w:rPr>
          <w:rFonts w:ascii="Arial" w:hAnsi="Arial" w:cs="Arial"/>
          <w:sz w:val="20"/>
          <w:szCs w:val="20"/>
        </w:rPr>
        <w:t xml:space="preserve"> the Internalisation</w:t>
      </w:r>
      <w:r w:rsidR="008422E2">
        <w:rPr>
          <w:rFonts w:ascii="Arial" w:hAnsi="Arial" w:cs="Arial"/>
          <w:sz w:val="20"/>
          <w:szCs w:val="20"/>
        </w:rPr>
        <w:t xml:space="preserve"> and approve the adoption of the New Articles</w:t>
      </w:r>
      <w:r w:rsidR="00F6358D" w:rsidRPr="000137F0">
        <w:rPr>
          <w:rFonts w:ascii="Arial" w:hAnsi="Arial" w:cs="Arial"/>
          <w:sz w:val="20"/>
          <w:szCs w:val="20"/>
        </w:rPr>
        <w:t xml:space="preserve"> (as set out in full in the Notice of General Meeting issued on </w:t>
      </w:r>
      <w:r w:rsidR="00F54510" w:rsidRPr="000137F0">
        <w:rPr>
          <w:rFonts w:ascii="Arial" w:hAnsi="Arial" w:cs="Arial"/>
          <w:sz w:val="20"/>
          <w:szCs w:val="20"/>
        </w:rPr>
        <w:t>1</w:t>
      </w:r>
      <w:r w:rsidR="00094D50" w:rsidRPr="000137F0">
        <w:rPr>
          <w:rFonts w:ascii="Arial" w:hAnsi="Arial" w:cs="Arial"/>
          <w:sz w:val="20"/>
          <w:szCs w:val="20"/>
        </w:rPr>
        <w:t>1</w:t>
      </w:r>
      <w:r w:rsidR="00F6358D" w:rsidRPr="000137F0">
        <w:rPr>
          <w:rFonts w:ascii="Arial" w:hAnsi="Arial" w:cs="Arial"/>
          <w:sz w:val="20"/>
          <w:szCs w:val="20"/>
        </w:rPr>
        <w:t xml:space="preserve"> December 2020) were duly passed.</w:t>
      </w:r>
    </w:p>
    <w:p w14:paraId="4079E395" w14:textId="1F1CABDD" w:rsidR="00560957" w:rsidRDefault="00560957" w:rsidP="00E31616">
      <w:pPr>
        <w:jc w:val="both"/>
        <w:rPr>
          <w:rFonts w:ascii="Arial" w:hAnsi="Arial" w:cs="Arial"/>
          <w:sz w:val="20"/>
          <w:szCs w:val="20"/>
        </w:rPr>
      </w:pPr>
      <w:r>
        <w:rPr>
          <w:rFonts w:ascii="Arial" w:hAnsi="Arial" w:cs="Arial"/>
          <w:sz w:val="20"/>
          <w:szCs w:val="20"/>
        </w:rPr>
        <w:t>Any proxy votes which were at the discretion of the Chairman have been included in the “For” total</w:t>
      </w:r>
    </w:p>
    <w:p w14:paraId="2864606F" w14:textId="38AF8479" w:rsidR="00E31616" w:rsidRPr="000137F0" w:rsidRDefault="00E31616" w:rsidP="00E31616">
      <w:pPr>
        <w:jc w:val="both"/>
        <w:rPr>
          <w:rFonts w:ascii="Arial" w:hAnsi="Arial" w:cs="Arial"/>
          <w:sz w:val="20"/>
          <w:szCs w:val="20"/>
        </w:rPr>
      </w:pPr>
      <w:r w:rsidRPr="000137F0">
        <w:rPr>
          <w:rFonts w:ascii="Arial" w:hAnsi="Arial" w:cs="Arial"/>
          <w:sz w:val="20"/>
          <w:szCs w:val="20"/>
        </w:rPr>
        <w:t>Full details o</w:t>
      </w:r>
      <w:r w:rsidR="00B07950" w:rsidRPr="000137F0">
        <w:rPr>
          <w:rFonts w:ascii="Arial" w:hAnsi="Arial" w:cs="Arial"/>
          <w:sz w:val="20"/>
          <w:szCs w:val="20"/>
        </w:rPr>
        <w:t>f</w:t>
      </w:r>
      <w:r w:rsidRPr="000137F0">
        <w:rPr>
          <w:rFonts w:ascii="Arial" w:hAnsi="Arial" w:cs="Arial"/>
          <w:sz w:val="20"/>
          <w:szCs w:val="20"/>
        </w:rPr>
        <w:t xml:space="preserve"> the results are set out below.</w:t>
      </w:r>
    </w:p>
    <w:tbl>
      <w:tblPr>
        <w:tblW w:w="0" w:type="auto"/>
        <w:tblCellMar>
          <w:left w:w="0" w:type="dxa"/>
          <w:right w:w="0" w:type="dxa"/>
        </w:tblCellMar>
        <w:tblLook w:val="04A0" w:firstRow="1" w:lastRow="0" w:firstColumn="1" w:lastColumn="0" w:noHBand="0" w:noVBand="1"/>
      </w:tblPr>
      <w:tblGrid>
        <w:gridCol w:w="293"/>
        <w:gridCol w:w="1773"/>
        <w:gridCol w:w="1297"/>
        <w:gridCol w:w="735"/>
        <w:gridCol w:w="959"/>
        <w:gridCol w:w="668"/>
        <w:gridCol w:w="1360"/>
        <w:gridCol w:w="1117"/>
        <w:gridCol w:w="435"/>
      </w:tblGrid>
      <w:tr w:rsidR="007249E3" w:rsidRPr="00FF1429" w14:paraId="3F273D01" w14:textId="39835380" w:rsidTr="00FF1429">
        <w:tc>
          <w:tcPr>
            <w:tcW w:w="2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EB564DC" w14:textId="77777777" w:rsidR="007249E3" w:rsidRPr="00FF1429" w:rsidRDefault="007249E3" w:rsidP="00EF4EDD">
            <w:pPr>
              <w:rPr>
                <w:rFonts w:ascii="Arial" w:hAnsi="Arial" w:cs="Arial"/>
                <w:sz w:val="18"/>
                <w:szCs w:val="18"/>
              </w:rPr>
            </w:pPr>
          </w:p>
        </w:tc>
        <w:tc>
          <w:tcPr>
            <w:tcW w:w="177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FEB1BA4" w14:textId="77777777" w:rsidR="007249E3" w:rsidRPr="00FF1429" w:rsidRDefault="007249E3" w:rsidP="00EF4EDD">
            <w:pPr>
              <w:rPr>
                <w:rFonts w:ascii="Arial" w:hAnsi="Arial" w:cs="Arial"/>
                <w:b/>
                <w:sz w:val="18"/>
                <w:szCs w:val="18"/>
              </w:rPr>
            </w:pPr>
            <w:r w:rsidRPr="00FF1429">
              <w:rPr>
                <w:rFonts w:ascii="Arial" w:hAnsi="Arial" w:cs="Arial"/>
                <w:b/>
                <w:sz w:val="18"/>
                <w:szCs w:val="18"/>
              </w:rPr>
              <w:t>Resolution</w:t>
            </w:r>
          </w:p>
        </w:tc>
        <w:tc>
          <w:tcPr>
            <w:tcW w:w="129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9906CF8" w14:textId="77777777" w:rsidR="007249E3" w:rsidRPr="00FF1429" w:rsidRDefault="007249E3" w:rsidP="00EF4EDD">
            <w:pPr>
              <w:rPr>
                <w:rFonts w:ascii="Arial" w:hAnsi="Arial" w:cs="Arial"/>
                <w:b/>
                <w:sz w:val="18"/>
                <w:szCs w:val="18"/>
                <w:vertAlign w:val="superscript"/>
              </w:rPr>
            </w:pPr>
            <w:r w:rsidRPr="00FF1429">
              <w:rPr>
                <w:rFonts w:ascii="Arial" w:hAnsi="Arial" w:cs="Arial"/>
                <w:b/>
                <w:sz w:val="18"/>
                <w:szCs w:val="18"/>
              </w:rPr>
              <w:t xml:space="preserve">Votes For </w:t>
            </w:r>
          </w:p>
        </w:tc>
        <w:tc>
          <w:tcPr>
            <w:tcW w:w="73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4B152D1" w14:textId="1DA9444E" w:rsidR="007249E3" w:rsidRPr="00FF1429" w:rsidRDefault="007249E3" w:rsidP="00EF4EDD">
            <w:pPr>
              <w:rPr>
                <w:rFonts w:ascii="Arial" w:hAnsi="Arial" w:cs="Arial"/>
                <w:b/>
                <w:sz w:val="18"/>
                <w:szCs w:val="18"/>
              </w:rPr>
            </w:pPr>
            <w:r w:rsidRPr="00FF1429">
              <w:rPr>
                <w:rFonts w:ascii="Arial" w:hAnsi="Arial" w:cs="Arial"/>
                <w:b/>
                <w:sz w:val="18"/>
                <w:szCs w:val="18"/>
              </w:rPr>
              <w:t xml:space="preserve">% </w:t>
            </w:r>
          </w:p>
        </w:tc>
        <w:tc>
          <w:tcPr>
            <w:tcW w:w="9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1C2E4FC" w14:textId="77777777" w:rsidR="007249E3" w:rsidRPr="00FF1429" w:rsidRDefault="007249E3" w:rsidP="00EF4EDD">
            <w:pPr>
              <w:rPr>
                <w:rFonts w:ascii="Arial" w:hAnsi="Arial" w:cs="Arial"/>
                <w:b/>
                <w:sz w:val="18"/>
                <w:szCs w:val="18"/>
                <w:vertAlign w:val="superscript"/>
              </w:rPr>
            </w:pPr>
            <w:r w:rsidRPr="00FF1429">
              <w:rPr>
                <w:rFonts w:ascii="Arial" w:hAnsi="Arial" w:cs="Arial"/>
                <w:b/>
                <w:sz w:val="18"/>
                <w:szCs w:val="18"/>
              </w:rPr>
              <w:t>Votes Against</w:t>
            </w:r>
          </w:p>
        </w:tc>
        <w:tc>
          <w:tcPr>
            <w:tcW w:w="66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CD74ED7" w14:textId="0EFF764C" w:rsidR="007249E3" w:rsidRPr="00FF1429" w:rsidRDefault="007249E3" w:rsidP="00EF4EDD">
            <w:pPr>
              <w:rPr>
                <w:rFonts w:ascii="Arial" w:hAnsi="Arial" w:cs="Arial"/>
                <w:b/>
                <w:sz w:val="18"/>
                <w:szCs w:val="18"/>
              </w:rPr>
            </w:pPr>
            <w:r w:rsidRPr="00FF1429">
              <w:rPr>
                <w:rFonts w:ascii="Arial" w:hAnsi="Arial" w:cs="Arial"/>
                <w:b/>
                <w:sz w:val="18"/>
                <w:szCs w:val="18"/>
              </w:rPr>
              <w:t xml:space="preserve">% </w:t>
            </w:r>
          </w:p>
        </w:tc>
        <w:tc>
          <w:tcPr>
            <w:tcW w:w="13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AF89041" w14:textId="77777777" w:rsidR="007249E3" w:rsidRPr="00FF1429" w:rsidRDefault="007249E3" w:rsidP="00EF4EDD">
            <w:pPr>
              <w:rPr>
                <w:rFonts w:ascii="Arial" w:hAnsi="Arial" w:cs="Arial"/>
                <w:b/>
                <w:sz w:val="18"/>
                <w:szCs w:val="18"/>
              </w:rPr>
            </w:pPr>
            <w:r w:rsidRPr="00FF1429">
              <w:rPr>
                <w:rFonts w:ascii="Arial" w:hAnsi="Arial" w:cs="Arial"/>
                <w:b/>
                <w:sz w:val="18"/>
                <w:szCs w:val="18"/>
              </w:rPr>
              <w:t>Total Votes Validly Cast</w:t>
            </w:r>
          </w:p>
        </w:tc>
        <w:tc>
          <w:tcPr>
            <w:tcW w:w="111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CC2FB15" w14:textId="77777777" w:rsidR="007249E3" w:rsidRPr="00FF1429" w:rsidRDefault="007249E3" w:rsidP="00EF4EDD">
            <w:pPr>
              <w:rPr>
                <w:rFonts w:ascii="Arial" w:hAnsi="Arial" w:cs="Arial"/>
                <w:b/>
                <w:sz w:val="18"/>
                <w:szCs w:val="18"/>
                <w:vertAlign w:val="superscript"/>
              </w:rPr>
            </w:pPr>
            <w:r w:rsidRPr="00FF1429">
              <w:rPr>
                <w:rFonts w:ascii="Arial" w:hAnsi="Arial" w:cs="Arial"/>
                <w:b/>
                <w:sz w:val="18"/>
                <w:szCs w:val="18"/>
              </w:rPr>
              <w:t>Vote withheld</w:t>
            </w:r>
          </w:p>
        </w:tc>
        <w:tc>
          <w:tcPr>
            <w:tcW w:w="435" w:type="dxa"/>
            <w:tcBorders>
              <w:top w:val="single" w:sz="8" w:space="0" w:color="auto"/>
              <w:left w:val="nil"/>
              <w:bottom w:val="single" w:sz="8" w:space="0" w:color="auto"/>
              <w:right w:val="single" w:sz="8" w:space="0" w:color="auto"/>
            </w:tcBorders>
            <w:shd w:val="clear" w:color="auto" w:fill="D9D9D9" w:themeFill="background1" w:themeFillShade="D9"/>
          </w:tcPr>
          <w:p w14:paraId="7E271B68" w14:textId="281F0693" w:rsidR="007249E3" w:rsidRPr="00FF1429" w:rsidRDefault="007249E3" w:rsidP="00EF4EDD">
            <w:pPr>
              <w:rPr>
                <w:rFonts w:ascii="Arial" w:hAnsi="Arial" w:cs="Arial"/>
                <w:b/>
                <w:sz w:val="18"/>
                <w:szCs w:val="18"/>
              </w:rPr>
            </w:pPr>
            <w:r>
              <w:rPr>
                <w:rFonts w:ascii="Arial" w:hAnsi="Arial" w:cs="Arial"/>
                <w:b/>
                <w:sz w:val="18"/>
                <w:szCs w:val="18"/>
              </w:rPr>
              <w:t>%</w:t>
            </w:r>
          </w:p>
        </w:tc>
      </w:tr>
      <w:tr w:rsidR="007249E3" w:rsidRPr="00FF1429" w14:paraId="165CBF64" w14:textId="3D5350AE" w:rsidTr="00FF1429">
        <w:tc>
          <w:tcPr>
            <w:tcW w:w="2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5C2A2D" w14:textId="77777777" w:rsidR="007249E3" w:rsidRPr="00FF1429" w:rsidRDefault="007249E3" w:rsidP="00560957">
            <w:pPr>
              <w:numPr>
                <w:ilvl w:val="0"/>
                <w:numId w:val="3"/>
              </w:numPr>
              <w:spacing w:after="160" w:line="259" w:lineRule="auto"/>
              <w:rPr>
                <w:rFonts w:ascii="Arial" w:hAnsi="Arial" w:cs="Arial"/>
                <w:sz w:val="18"/>
                <w:szCs w:val="18"/>
              </w:rPr>
            </w:pP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14:paraId="6DCADFE1" w14:textId="62781D73" w:rsidR="007249E3" w:rsidRPr="00FF1429" w:rsidRDefault="007249E3" w:rsidP="00EF4EDD">
            <w:pPr>
              <w:rPr>
                <w:rFonts w:ascii="Arial" w:hAnsi="Arial" w:cs="Arial"/>
                <w:sz w:val="18"/>
                <w:szCs w:val="18"/>
              </w:rPr>
            </w:pPr>
            <w:r w:rsidRPr="00FF1429">
              <w:rPr>
                <w:rFonts w:ascii="Arial" w:hAnsi="Arial" w:cs="Arial"/>
                <w:sz w:val="18"/>
                <w:szCs w:val="18"/>
              </w:rPr>
              <w:t>Approval of substantial property acquisition from Harry Hyman, allotment of shares and remuneration policy</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1AFBAB48" w14:textId="1CD32AA3" w:rsidR="007249E3" w:rsidRPr="00FF1429" w:rsidRDefault="007249E3" w:rsidP="00EF4EDD">
            <w:pPr>
              <w:rPr>
                <w:rFonts w:ascii="Arial" w:hAnsi="Arial" w:cs="Arial"/>
                <w:sz w:val="18"/>
                <w:szCs w:val="18"/>
              </w:rPr>
            </w:pPr>
            <w:r w:rsidRPr="00FF1429">
              <w:rPr>
                <w:rFonts w:ascii="Arial" w:hAnsi="Arial" w:cs="Arial"/>
                <w:sz w:val="18"/>
                <w:szCs w:val="18"/>
              </w:rPr>
              <w:t>759,002,089</w:t>
            </w:r>
          </w:p>
        </w:tc>
        <w:tc>
          <w:tcPr>
            <w:tcW w:w="735" w:type="dxa"/>
            <w:tcBorders>
              <w:top w:val="nil"/>
              <w:left w:val="nil"/>
              <w:bottom w:val="single" w:sz="8" w:space="0" w:color="auto"/>
              <w:right w:val="single" w:sz="8" w:space="0" w:color="auto"/>
            </w:tcBorders>
            <w:tcMar>
              <w:top w:w="0" w:type="dxa"/>
              <w:left w:w="108" w:type="dxa"/>
              <w:bottom w:w="0" w:type="dxa"/>
              <w:right w:w="108" w:type="dxa"/>
            </w:tcMar>
          </w:tcPr>
          <w:p w14:paraId="43E6BC67" w14:textId="711FFCC1" w:rsidR="007249E3" w:rsidRPr="00FF1429" w:rsidRDefault="007249E3" w:rsidP="00EF4EDD">
            <w:pPr>
              <w:rPr>
                <w:rFonts w:ascii="Arial" w:hAnsi="Arial" w:cs="Arial"/>
                <w:sz w:val="18"/>
                <w:szCs w:val="18"/>
              </w:rPr>
            </w:pPr>
            <w:r w:rsidRPr="00FF1429">
              <w:rPr>
                <w:rFonts w:ascii="Arial" w:hAnsi="Arial" w:cs="Arial"/>
                <w:sz w:val="18"/>
                <w:szCs w:val="18"/>
              </w:rPr>
              <w:t>99.95</w:t>
            </w:r>
          </w:p>
        </w:tc>
        <w:tc>
          <w:tcPr>
            <w:tcW w:w="959" w:type="dxa"/>
            <w:tcBorders>
              <w:top w:val="nil"/>
              <w:left w:val="nil"/>
              <w:bottom w:val="single" w:sz="8" w:space="0" w:color="auto"/>
              <w:right w:val="single" w:sz="8" w:space="0" w:color="auto"/>
            </w:tcBorders>
            <w:tcMar>
              <w:top w:w="0" w:type="dxa"/>
              <w:left w:w="108" w:type="dxa"/>
              <w:bottom w:w="0" w:type="dxa"/>
              <w:right w:w="108" w:type="dxa"/>
            </w:tcMar>
          </w:tcPr>
          <w:p w14:paraId="05D68DB1" w14:textId="346DC8B8" w:rsidR="007249E3" w:rsidRPr="00FF1429" w:rsidRDefault="007249E3" w:rsidP="00EF4EDD">
            <w:pPr>
              <w:rPr>
                <w:rFonts w:ascii="Arial" w:hAnsi="Arial" w:cs="Arial"/>
                <w:sz w:val="18"/>
                <w:szCs w:val="18"/>
              </w:rPr>
            </w:pPr>
            <w:r w:rsidRPr="00FF1429">
              <w:rPr>
                <w:rFonts w:ascii="Arial" w:hAnsi="Arial" w:cs="Arial"/>
                <w:sz w:val="18"/>
                <w:szCs w:val="18"/>
              </w:rPr>
              <w:t>416,356</w:t>
            </w:r>
          </w:p>
        </w:tc>
        <w:tc>
          <w:tcPr>
            <w:tcW w:w="668" w:type="dxa"/>
            <w:tcBorders>
              <w:top w:val="nil"/>
              <w:left w:val="nil"/>
              <w:bottom w:val="single" w:sz="8" w:space="0" w:color="auto"/>
              <w:right w:val="single" w:sz="8" w:space="0" w:color="auto"/>
            </w:tcBorders>
            <w:tcMar>
              <w:top w:w="0" w:type="dxa"/>
              <w:left w:w="108" w:type="dxa"/>
              <w:bottom w:w="0" w:type="dxa"/>
              <w:right w:w="108" w:type="dxa"/>
            </w:tcMar>
          </w:tcPr>
          <w:p w14:paraId="130683B7" w14:textId="685F07BE" w:rsidR="007249E3" w:rsidRPr="00FF1429" w:rsidRDefault="007249E3" w:rsidP="00EF4EDD">
            <w:pPr>
              <w:rPr>
                <w:rFonts w:ascii="Arial" w:hAnsi="Arial" w:cs="Arial"/>
                <w:sz w:val="18"/>
                <w:szCs w:val="18"/>
              </w:rPr>
            </w:pPr>
            <w:r w:rsidRPr="00FF1429">
              <w:rPr>
                <w:rFonts w:ascii="Arial" w:hAnsi="Arial" w:cs="Arial"/>
                <w:sz w:val="18"/>
                <w:szCs w:val="18"/>
              </w:rPr>
              <w:t>0.05</w:t>
            </w:r>
          </w:p>
        </w:tc>
        <w:tc>
          <w:tcPr>
            <w:tcW w:w="1360" w:type="dxa"/>
            <w:tcBorders>
              <w:top w:val="nil"/>
              <w:left w:val="nil"/>
              <w:bottom w:val="single" w:sz="8" w:space="0" w:color="auto"/>
              <w:right w:val="single" w:sz="8" w:space="0" w:color="auto"/>
            </w:tcBorders>
            <w:tcMar>
              <w:top w:w="0" w:type="dxa"/>
              <w:left w:w="108" w:type="dxa"/>
              <w:bottom w:w="0" w:type="dxa"/>
              <w:right w:w="108" w:type="dxa"/>
            </w:tcMar>
          </w:tcPr>
          <w:p w14:paraId="7BF7B0BC" w14:textId="63A074AF" w:rsidR="007249E3" w:rsidRPr="00FF1429" w:rsidRDefault="007249E3" w:rsidP="00EF4EDD">
            <w:pPr>
              <w:rPr>
                <w:rFonts w:ascii="Arial" w:hAnsi="Arial" w:cs="Arial"/>
                <w:sz w:val="18"/>
                <w:szCs w:val="18"/>
              </w:rPr>
            </w:pPr>
            <w:r w:rsidRPr="00FF1429">
              <w:rPr>
                <w:rFonts w:ascii="Arial" w:hAnsi="Arial" w:cs="Arial"/>
                <w:sz w:val="18"/>
                <w:szCs w:val="18"/>
              </w:rPr>
              <w:t>781,849,853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68441168" w14:textId="3054892D" w:rsidR="007249E3" w:rsidRPr="00FF1429" w:rsidRDefault="007249E3" w:rsidP="00EF4EDD">
            <w:pPr>
              <w:rPr>
                <w:rFonts w:ascii="Arial" w:hAnsi="Arial" w:cs="Arial"/>
                <w:sz w:val="18"/>
                <w:szCs w:val="18"/>
              </w:rPr>
            </w:pPr>
            <w:r w:rsidRPr="00FF1429">
              <w:rPr>
                <w:rFonts w:ascii="Arial" w:hAnsi="Arial" w:cs="Arial"/>
                <w:sz w:val="18"/>
                <w:szCs w:val="18"/>
              </w:rPr>
              <w:t>22,431,408</w:t>
            </w:r>
          </w:p>
        </w:tc>
        <w:tc>
          <w:tcPr>
            <w:tcW w:w="435" w:type="dxa"/>
            <w:tcBorders>
              <w:top w:val="nil"/>
              <w:left w:val="nil"/>
              <w:bottom w:val="single" w:sz="8" w:space="0" w:color="auto"/>
              <w:right w:val="single" w:sz="8" w:space="0" w:color="auto"/>
            </w:tcBorders>
          </w:tcPr>
          <w:p w14:paraId="404AEC44" w14:textId="50D9EFCE" w:rsidR="007249E3" w:rsidRPr="00FF1429" w:rsidRDefault="007249E3" w:rsidP="00EF4EDD">
            <w:pPr>
              <w:rPr>
                <w:rFonts w:ascii="Arial" w:hAnsi="Arial" w:cs="Arial"/>
                <w:sz w:val="18"/>
                <w:szCs w:val="18"/>
              </w:rPr>
            </w:pPr>
            <w:r>
              <w:rPr>
                <w:rFonts w:ascii="Arial" w:hAnsi="Arial" w:cs="Arial"/>
                <w:sz w:val="18"/>
                <w:szCs w:val="18"/>
              </w:rPr>
              <w:t>2.87</w:t>
            </w:r>
          </w:p>
        </w:tc>
      </w:tr>
      <w:tr w:rsidR="007249E3" w:rsidRPr="00FF1429" w14:paraId="2C2DE343" w14:textId="1556CA5E" w:rsidTr="00FF1429">
        <w:tc>
          <w:tcPr>
            <w:tcW w:w="2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27156C" w14:textId="77777777" w:rsidR="007249E3" w:rsidRPr="00FF1429" w:rsidRDefault="007249E3" w:rsidP="00560957">
            <w:pPr>
              <w:numPr>
                <w:ilvl w:val="0"/>
                <w:numId w:val="3"/>
              </w:numPr>
              <w:spacing w:after="160" w:line="259" w:lineRule="auto"/>
              <w:rPr>
                <w:rFonts w:ascii="Arial" w:hAnsi="Arial" w:cs="Arial"/>
                <w:sz w:val="18"/>
                <w:szCs w:val="18"/>
              </w:rPr>
            </w:pPr>
          </w:p>
        </w:tc>
        <w:tc>
          <w:tcPr>
            <w:tcW w:w="1773" w:type="dxa"/>
            <w:tcBorders>
              <w:top w:val="nil"/>
              <w:left w:val="nil"/>
              <w:bottom w:val="single" w:sz="8" w:space="0" w:color="auto"/>
              <w:right w:val="single" w:sz="8" w:space="0" w:color="auto"/>
            </w:tcBorders>
            <w:tcMar>
              <w:top w:w="0" w:type="dxa"/>
              <w:left w:w="108" w:type="dxa"/>
              <w:bottom w:w="0" w:type="dxa"/>
              <w:right w:w="108" w:type="dxa"/>
            </w:tcMar>
            <w:hideMark/>
          </w:tcPr>
          <w:p w14:paraId="196DD5FC" w14:textId="672DA79E" w:rsidR="007249E3" w:rsidRPr="00FF1429" w:rsidRDefault="007249E3" w:rsidP="00EF4EDD">
            <w:pPr>
              <w:rPr>
                <w:rFonts w:ascii="Arial" w:hAnsi="Arial" w:cs="Arial"/>
                <w:sz w:val="18"/>
                <w:szCs w:val="18"/>
              </w:rPr>
            </w:pPr>
            <w:r w:rsidRPr="00FF1429">
              <w:rPr>
                <w:rFonts w:ascii="Arial" w:hAnsi="Arial" w:cs="Arial"/>
                <w:sz w:val="18"/>
                <w:szCs w:val="18"/>
              </w:rPr>
              <w:t>Adoption of new articles of association</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B6E0DE" w14:textId="3F03C868" w:rsidR="007249E3" w:rsidRPr="00FF1429" w:rsidRDefault="007249E3" w:rsidP="00EF4EDD">
            <w:pPr>
              <w:rPr>
                <w:rFonts w:ascii="Arial" w:hAnsi="Arial" w:cs="Arial"/>
                <w:sz w:val="18"/>
                <w:szCs w:val="18"/>
              </w:rPr>
            </w:pPr>
            <w:r>
              <w:rPr>
                <w:rFonts w:ascii="Arial" w:hAnsi="Arial" w:cs="Arial"/>
                <w:sz w:val="18"/>
                <w:szCs w:val="18"/>
              </w:rPr>
              <w:t>773,995,971</w:t>
            </w:r>
          </w:p>
        </w:tc>
        <w:tc>
          <w:tcPr>
            <w:tcW w:w="735" w:type="dxa"/>
            <w:tcBorders>
              <w:top w:val="nil"/>
              <w:left w:val="nil"/>
              <w:bottom w:val="single" w:sz="8" w:space="0" w:color="auto"/>
              <w:right w:val="single" w:sz="8" w:space="0" w:color="auto"/>
            </w:tcBorders>
            <w:tcMar>
              <w:top w:w="0" w:type="dxa"/>
              <w:left w:w="108" w:type="dxa"/>
              <w:bottom w:w="0" w:type="dxa"/>
              <w:right w:w="108" w:type="dxa"/>
            </w:tcMar>
          </w:tcPr>
          <w:p w14:paraId="73DD6097" w14:textId="77777777" w:rsidR="007249E3" w:rsidRPr="00FF1429" w:rsidRDefault="007249E3" w:rsidP="00EF4EDD">
            <w:pPr>
              <w:rPr>
                <w:rFonts w:ascii="Arial" w:hAnsi="Arial" w:cs="Arial"/>
                <w:sz w:val="18"/>
                <w:szCs w:val="18"/>
              </w:rPr>
            </w:pPr>
            <w:r w:rsidRPr="00FF1429">
              <w:rPr>
                <w:rFonts w:ascii="Arial" w:hAnsi="Arial" w:cs="Arial"/>
                <w:sz w:val="18"/>
                <w:szCs w:val="18"/>
              </w:rPr>
              <w:t>99.97</w:t>
            </w:r>
          </w:p>
        </w:tc>
        <w:tc>
          <w:tcPr>
            <w:tcW w:w="959" w:type="dxa"/>
            <w:tcBorders>
              <w:top w:val="nil"/>
              <w:left w:val="nil"/>
              <w:bottom w:val="single" w:sz="8" w:space="0" w:color="auto"/>
              <w:right w:val="single" w:sz="8" w:space="0" w:color="auto"/>
            </w:tcBorders>
            <w:tcMar>
              <w:top w:w="0" w:type="dxa"/>
              <w:left w:w="108" w:type="dxa"/>
              <w:bottom w:w="0" w:type="dxa"/>
              <w:right w:w="108" w:type="dxa"/>
            </w:tcMar>
          </w:tcPr>
          <w:p w14:paraId="0ECF66B0" w14:textId="4F60939D" w:rsidR="007249E3" w:rsidRPr="00FF1429" w:rsidRDefault="007249E3" w:rsidP="00EF4EDD">
            <w:pPr>
              <w:rPr>
                <w:rFonts w:ascii="Arial" w:hAnsi="Arial" w:cs="Arial"/>
                <w:sz w:val="18"/>
                <w:szCs w:val="18"/>
              </w:rPr>
            </w:pPr>
            <w:r>
              <w:rPr>
                <w:rFonts w:ascii="Arial" w:hAnsi="Arial" w:cs="Arial"/>
                <w:sz w:val="18"/>
                <w:szCs w:val="18"/>
              </w:rPr>
              <w:t>227,114</w:t>
            </w:r>
          </w:p>
        </w:tc>
        <w:tc>
          <w:tcPr>
            <w:tcW w:w="668" w:type="dxa"/>
            <w:tcBorders>
              <w:top w:val="nil"/>
              <w:left w:val="nil"/>
              <w:bottom w:val="single" w:sz="8" w:space="0" w:color="auto"/>
              <w:right w:val="single" w:sz="8" w:space="0" w:color="auto"/>
            </w:tcBorders>
            <w:tcMar>
              <w:top w:w="0" w:type="dxa"/>
              <w:left w:w="108" w:type="dxa"/>
              <w:bottom w:w="0" w:type="dxa"/>
              <w:right w:w="108" w:type="dxa"/>
            </w:tcMar>
          </w:tcPr>
          <w:p w14:paraId="45A31BB8" w14:textId="77777777" w:rsidR="007249E3" w:rsidRPr="00FF1429" w:rsidRDefault="007249E3" w:rsidP="00EF4EDD">
            <w:pPr>
              <w:rPr>
                <w:rFonts w:ascii="Arial" w:hAnsi="Arial" w:cs="Arial"/>
                <w:sz w:val="18"/>
                <w:szCs w:val="18"/>
              </w:rPr>
            </w:pPr>
            <w:r w:rsidRPr="00FF1429">
              <w:rPr>
                <w:rFonts w:ascii="Arial" w:hAnsi="Arial" w:cs="Arial"/>
                <w:sz w:val="18"/>
                <w:szCs w:val="18"/>
              </w:rPr>
              <w:t>0.03</w:t>
            </w:r>
          </w:p>
        </w:tc>
        <w:tc>
          <w:tcPr>
            <w:tcW w:w="1360" w:type="dxa"/>
            <w:tcBorders>
              <w:top w:val="nil"/>
              <w:left w:val="nil"/>
              <w:bottom w:val="single" w:sz="8" w:space="0" w:color="auto"/>
              <w:right w:val="single" w:sz="8" w:space="0" w:color="auto"/>
            </w:tcBorders>
            <w:tcMar>
              <w:top w:w="0" w:type="dxa"/>
              <w:left w:w="108" w:type="dxa"/>
              <w:bottom w:w="0" w:type="dxa"/>
              <w:right w:w="108" w:type="dxa"/>
            </w:tcMar>
          </w:tcPr>
          <w:p w14:paraId="1D6B3B03" w14:textId="562FE985" w:rsidR="007249E3" w:rsidRPr="00FF1429" w:rsidRDefault="007249E3" w:rsidP="00EF4EDD">
            <w:pPr>
              <w:rPr>
                <w:rFonts w:ascii="Arial" w:hAnsi="Arial" w:cs="Arial"/>
                <w:sz w:val="18"/>
                <w:szCs w:val="18"/>
              </w:rPr>
            </w:pPr>
            <w:r>
              <w:rPr>
                <w:rFonts w:ascii="Arial" w:hAnsi="Arial" w:cs="Arial"/>
                <w:sz w:val="18"/>
                <w:szCs w:val="18"/>
              </w:rPr>
              <w:t>783,849,915</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35C39B69" w14:textId="56F97F3A" w:rsidR="007249E3" w:rsidRPr="00FF1429" w:rsidRDefault="007249E3" w:rsidP="00EF4EDD">
            <w:pPr>
              <w:rPr>
                <w:rFonts w:ascii="Arial" w:hAnsi="Arial" w:cs="Arial"/>
                <w:sz w:val="18"/>
                <w:szCs w:val="18"/>
              </w:rPr>
            </w:pPr>
            <w:r>
              <w:rPr>
                <w:rFonts w:ascii="Arial" w:hAnsi="Arial" w:cs="Arial"/>
                <w:sz w:val="18"/>
                <w:szCs w:val="18"/>
              </w:rPr>
              <w:t>9,666,830</w:t>
            </w:r>
          </w:p>
        </w:tc>
        <w:tc>
          <w:tcPr>
            <w:tcW w:w="435" w:type="dxa"/>
            <w:tcBorders>
              <w:top w:val="nil"/>
              <w:left w:val="nil"/>
              <w:bottom w:val="single" w:sz="8" w:space="0" w:color="auto"/>
              <w:right w:val="single" w:sz="8" w:space="0" w:color="auto"/>
            </w:tcBorders>
          </w:tcPr>
          <w:p w14:paraId="3D9E2D93" w14:textId="075C32ED" w:rsidR="007249E3" w:rsidRPr="00FF1429" w:rsidRDefault="007249E3" w:rsidP="00EF4EDD">
            <w:pPr>
              <w:rPr>
                <w:rFonts w:ascii="Arial" w:hAnsi="Arial" w:cs="Arial"/>
                <w:sz w:val="18"/>
                <w:szCs w:val="18"/>
              </w:rPr>
            </w:pPr>
            <w:r>
              <w:rPr>
                <w:rFonts w:ascii="Arial" w:hAnsi="Arial" w:cs="Arial"/>
                <w:sz w:val="18"/>
                <w:szCs w:val="18"/>
              </w:rPr>
              <w:t>1.23</w:t>
            </w:r>
          </w:p>
        </w:tc>
      </w:tr>
    </w:tbl>
    <w:p w14:paraId="3F8B2315" w14:textId="57CDAE73" w:rsidR="008422E2" w:rsidRDefault="008422E2" w:rsidP="00E31616">
      <w:pPr>
        <w:rPr>
          <w:rFonts w:ascii="Arial" w:hAnsi="Arial" w:cs="Arial"/>
          <w:sz w:val="20"/>
          <w:szCs w:val="20"/>
        </w:rPr>
      </w:pPr>
    </w:p>
    <w:p w14:paraId="780D4DB6" w14:textId="31E88034" w:rsidR="00E31616" w:rsidRPr="000137F0" w:rsidRDefault="006A4219" w:rsidP="00E31616">
      <w:pPr>
        <w:rPr>
          <w:rFonts w:ascii="Arial" w:hAnsi="Arial" w:cs="Arial"/>
          <w:sz w:val="20"/>
          <w:szCs w:val="20"/>
        </w:rPr>
      </w:pPr>
      <w:r w:rsidRPr="000137F0">
        <w:rPr>
          <w:rFonts w:ascii="Arial" w:hAnsi="Arial" w:cs="Arial"/>
          <w:sz w:val="20"/>
          <w:szCs w:val="20"/>
        </w:rPr>
        <w:t xml:space="preserve">Shareholders representing </w:t>
      </w:r>
      <w:r w:rsidR="007249E3">
        <w:rPr>
          <w:rFonts w:ascii="Arial" w:hAnsi="Arial" w:cs="Arial"/>
          <w:sz w:val="20"/>
          <w:szCs w:val="20"/>
        </w:rPr>
        <w:t>99</w:t>
      </w:r>
      <w:r w:rsidR="00E13EB9">
        <w:rPr>
          <w:rFonts w:ascii="Arial" w:hAnsi="Arial" w:cs="Arial"/>
          <w:sz w:val="20"/>
          <w:szCs w:val="20"/>
        </w:rPr>
        <w:t>.9</w:t>
      </w:r>
      <w:r w:rsidRPr="000137F0">
        <w:rPr>
          <w:rFonts w:ascii="Arial" w:hAnsi="Arial" w:cs="Arial"/>
          <w:sz w:val="20"/>
          <w:szCs w:val="20"/>
        </w:rPr>
        <w:t>% of the votes cast voted in favour of all the resolutions at the GM.</w:t>
      </w:r>
      <w:r w:rsidR="007249E3">
        <w:rPr>
          <w:rFonts w:ascii="Arial" w:hAnsi="Arial" w:cs="Arial"/>
          <w:sz w:val="20"/>
          <w:szCs w:val="20"/>
        </w:rPr>
        <w:t xml:space="preserve"> </w:t>
      </w:r>
      <w:r w:rsidR="00E31616" w:rsidRPr="000137F0">
        <w:rPr>
          <w:rFonts w:ascii="Arial" w:hAnsi="Arial" w:cs="Arial"/>
          <w:sz w:val="20"/>
          <w:szCs w:val="20"/>
        </w:rPr>
        <w:t>Votes 'For' and 'Against' are expressed as a percentage of the total votes received. 'Votes Withheld' are not a vote in law and have not been counted in the calculation of the 'Votes For' and 'Votes Against' the resolutions or the total number of votes validly cast.</w:t>
      </w:r>
    </w:p>
    <w:p w14:paraId="537CBE68" w14:textId="6BC26C94" w:rsidR="00E31616" w:rsidRPr="000137F0" w:rsidRDefault="00E31616" w:rsidP="00E31616">
      <w:pPr>
        <w:rPr>
          <w:rFonts w:ascii="Arial" w:hAnsi="Arial" w:cs="Arial"/>
          <w:sz w:val="20"/>
          <w:szCs w:val="20"/>
        </w:rPr>
      </w:pPr>
      <w:r w:rsidRPr="000137F0">
        <w:rPr>
          <w:rFonts w:ascii="Arial" w:hAnsi="Arial" w:cs="Arial"/>
          <w:sz w:val="20"/>
          <w:szCs w:val="20"/>
        </w:rPr>
        <w:t xml:space="preserve">As at close of business on </w:t>
      </w:r>
      <w:r w:rsidR="00BC2593">
        <w:rPr>
          <w:rFonts w:ascii="Arial" w:hAnsi="Arial" w:cs="Arial"/>
          <w:sz w:val="20"/>
          <w:szCs w:val="20"/>
        </w:rPr>
        <w:t>30 December 2020</w:t>
      </w:r>
      <w:r w:rsidRPr="000137F0">
        <w:rPr>
          <w:rFonts w:ascii="Arial" w:hAnsi="Arial" w:cs="Arial"/>
          <w:sz w:val="20"/>
          <w:szCs w:val="20"/>
        </w:rPr>
        <w:t xml:space="preserve">, being the last for registration of shareholdings for before the General Meeting, PHP had </w:t>
      </w:r>
      <w:r w:rsidR="00BC2593">
        <w:rPr>
          <w:rFonts w:ascii="Arial" w:hAnsi="Arial" w:cs="Arial"/>
          <w:sz w:val="20"/>
          <w:szCs w:val="20"/>
        </w:rPr>
        <w:t>1,315,551,380</w:t>
      </w:r>
      <w:r w:rsidRPr="000137F0">
        <w:rPr>
          <w:rFonts w:ascii="Arial" w:hAnsi="Arial" w:cs="Arial"/>
          <w:sz w:val="20"/>
          <w:szCs w:val="20"/>
        </w:rPr>
        <w:t xml:space="preserve"> Ordinary Shares in issue each carrying one vote and therefore the total number of voting rights in respect of the General Meeting is </w:t>
      </w:r>
      <w:r w:rsidR="00BC2593">
        <w:rPr>
          <w:rFonts w:ascii="Arial" w:hAnsi="Arial" w:cs="Arial"/>
          <w:sz w:val="20"/>
          <w:szCs w:val="20"/>
        </w:rPr>
        <w:t>1,315,551,380</w:t>
      </w:r>
      <w:r w:rsidRPr="000137F0">
        <w:rPr>
          <w:rFonts w:ascii="Arial" w:hAnsi="Arial" w:cs="Arial"/>
          <w:sz w:val="20"/>
          <w:szCs w:val="20"/>
        </w:rPr>
        <w:t>.</w:t>
      </w:r>
      <w:r w:rsidR="00915BD0" w:rsidRPr="000137F0">
        <w:rPr>
          <w:rFonts w:ascii="Arial" w:hAnsi="Arial" w:cs="Arial"/>
          <w:sz w:val="20"/>
          <w:szCs w:val="20"/>
        </w:rPr>
        <w:t xml:space="preserve"> As </w:t>
      </w:r>
      <w:r w:rsidR="00526504" w:rsidRPr="000137F0">
        <w:rPr>
          <w:rFonts w:ascii="Arial" w:hAnsi="Arial" w:cs="Arial"/>
          <w:sz w:val="20"/>
          <w:szCs w:val="20"/>
        </w:rPr>
        <w:t>set out</w:t>
      </w:r>
      <w:r w:rsidR="00915BD0" w:rsidRPr="000137F0">
        <w:rPr>
          <w:rFonts w:ascii="Arial" w:hAnsi="Arial" w:cs="Arial"/>
          <w:sz w:val="20"/>
          <w:szCs w:val="20"/>
        </w:rPr>
        <w:t xml:space="preserve"> in </w:t>
      </w:r>
      <w:r w:rsidR="00526504" w:rsidRPr="000137F0">
        <w:rPr>
          <w:rFonts w:ascii="Arial" w:hAnsi="Arial" w:cs="Arial"/>
          <w:sz w:val="20"/>
          <w:szCs w:val="20"/>
        </w:rPr>
        <w:t xml:space="preserve">full in </w:t>
      </w:r>
      <w:r w:rsidR="00915BD0" w:rsidRPr="000137F0">
        <w:rPr>
          <w:rFonts w:ascii="Arial" w:hAnsi="Arial" w:cs="Arial"/>
          <w:sz w:val="20"/>
          <w:szCs w:val="20"/>
        </w:rPr>
        <w:t>the Circular, Harry Hyman, who</w:t>
      </w:r>
      <w:r w:rsidR="000D325E">
        <w:rPr>
          <w:rFonts w:ascii="Arial" w:hAnsi="Arial" w:cs="Arial"/>
          <w:sz w:val="20"/>
          <w:szCs w:val="20"/>
        </w:rPr>
        <w:t xml:space="preserve"> (together with persons closely associated with him)</w:t>
      </w:r>
      <w:r w:rsidR="00915BD0" w:rsidRPr="000137F0">
        <w:rPr>
          <w:rFonts w:ascii="Arial" w:hAnsi="Arial" w:cs="Arial"/>
          <w:sz w:val="20"/>
          <w:szCs w:val="20"/>
        </w:rPr>
        <w:t xml:space="preserve"> held </w:t>
      </w:r>
      <w:r w:rsidR="000D325E">
        <w:rPr>
          <w:rFonts w:ascii="Arial" w:hAnsi="Arial" w:cs="Arial"/>
          <w:sz w:val="20"/>
          <w:szCs w:val="20"/>
        </w:rPr>
        <w:t>12,897,174</w:t>
      </w:r>
      <w:r w:rsidR="00915BD0" w:rsidRPr="000137F0">
        <w:rPr>
          <w:rFonts w:ascii="Arial" w:hAnsi="Arial" w:cs="Arial"/>
          <w:sz w:val="20"/>
          <w:szCs w:val="20"/>
        </w:rPr>
        <w:t xml:space="preserve"> shares at the time of the General Meeting, voluntarily agreed not to vote on the Acquisition Resolution.</w:t>
      </w:r>
    </w:p>
    <w:p w14:paraId="54CB8149" w14:textId="2652D07D" w:rsidR="00E31616" w:rsidRPr="000137F0" w:rsidRDefault="00E31616" w:rsidP="00E31616">
      <w:pPr>
        <w:rPr>
          <w:rFonts w:ascii="Arial" w:hAnsi="Arial" w:cs="Arial"/>
          <w:sz w:val="20"/>
          <w:szCs w:val="20"/>
        </w:rPr>
      </w:pPr>
      <w:r w:rsidRPr="000137F0">
        <w:rPr>
          <w:rFonts w:ascii="Arial" w:hAnsi="Arial" w:cs="Arial"/>
          <w:sz w:val="20"/>
          <w:szCs w:val="20"/>
        </w:rPr>
        <w:t xml:space="preserve">The voting results will also shortly be available on PHP's website at </w:t>
      </w:r>
      <w:hyperlink r:id="rId6" w:history="1">
        <w:r w:rsidR="00C64A43" w:rsidRPr="000137F0">
          <w:rPr>
            <w:rStyle w:val="Hyperlink"/>
            <w:rFonts w:ascii="Arial" w:hAnsi="Arial" w:cs="Arial"/>
            <w:sz w:val="20"/>
            <w:szCs w:val="20"/>
          </w:rPr>
          <w:t>www.phpgroup.co.uk/investors</w:t>
        </w:r>
      </w:hyperlink>
      <w:r w:rsidRPr="000137F0">
        <w:rPr>
          <w:rFonts w:ascii="Arial" w:hAnsi="Arial" w:cs="Arial"/>
          <w:sz w:val="20"/>
          <w:szCs w:val="20"/>
        </w:rPr>
        <w:t>.</w:t>
      </w:r>
    </w:p>
    <w:p w14:paraId="0C5CF904" w14:textId="3B81EF8E" w:rsidR="00D512D0" w:rsidRPr="000137F0" w:rsidRDefault="00C41440" w:rsidP="00C41440">
      <w:pPr>
        <w:rPr>
          <w:rFonts w:ascii="Arial" w:hAnsi="Arial" w:cs="Arial"/>
          <w:sz w:val="20"/>
          <w:szCs w:val="20"/>
        </w:rPr>
      </w:pPr>
      <w:r w:rsidRPr="000137F0">
        <w:rPr>
          <w:rFonts w:ascii="Arial" w:hAnsi="Arial" w:cs="Arial"/>
          <w:sz w:val="20"/>
          <w:szCs w:val="20"/>
        </w:rPr>
        <w:t xml:space="preserve">Applications have been made to the Financial Conduct Authority (the "FCA") and the London Stock Exchange plc (the "LSE") respectively for the admission of </w:t>
      </w:r>
      <w:r w:rsidR="006A4219">
        <w:rPr>
          <w:rFonts w:ascii="ArialMT" w:hAnsi="ArialMT" w:cs="ArialMT"/>
          <w:sz w:val="20"/>
          <w:szCs w:val="20"/>
        </w:rPr>
        <w:t>11,485,080</w:t>
      </w:r>
      <w:r w:rsidR="00D512D0" w:rsidRPr="000137F0">
        <w:rPr>
          <w:rFonts w:ascii="Arial" w:hAnsi="Arial" w:cs="Arial"/>
          <w:sz w:val="20"/>
          <w:szCs w:val="20"/>
        </w:rPr>
        <w:t xml:space="preserve"> new Ordinary Shares</w:t>
      </w:r>
      <w:r w:rsidRPr="000137F0">
        <w:rPr>
          <w:rFonts w:ascii="Arial" w:hAnsi="Arial" w:cs="Arial"/>
          <w:sz w:val="20"/>
          <w:szCs w:val="20"/>
        </w:rPr>
        <w:t xml:space="preserve"> </w:t>
      </w:r>
      <w:r w:rsidR="00D512D0" w:rsidRPr="000137F0">
        <w:rPr>
          <w:rFonts w:ascii="Arial" w:hAnsi="Arial" w:cs="Arial"/>
          <w:sz w:val="20"/>
          <w:szCs w:val="20"/>
        </w:rPr>
        <w:t>(“</w:t>
      </w:r>
      <w:r w:rsidRPr="000137F0">
        <w:rPr>
          <w:rFonts w:ascii="Arial" w:hAnsi="Arial" w:cs="Arial"/>
          <w:sz w:val="20"/>
          <w:szCs w:val="20"/>
        </w:rPr>
        <w:t>New Shares</w:t>
      </w:r>
      <w:r w:rsidR="00D512D0" w:rsidRPr="000137F0">
        <w:rPr>
          <w:rFonts w:ascii="Arial" w:hAnsi="Arial" w:cs="Arial"/>
          <w:sz w:val="20"/>
          <w:szCs w:val="20"/>
        </w:rPr>
        <w:t>”)</w:t>
      </w:r>
      <w:r w:rsidRPr="000137F0">
        <w:rPr>
          <w:rFonts w:ascii="Arial" w:hAnsi="Arial" w:cs="Arial"/>
          <w:sz w:val="20"/>
          <w:szCs w:val="20"/>
        </w:rPr>
        <w:t xml:space="preserve"> pursuant to the terms of the Share Purchase Agreement to the premium listing segment of the Official List of the FCA and to trading on the main market for listed securities of the LSE (together, "Admission"). </w:t>
      </w:r>
    </w:p>
    <w:p w14:paraId="5F31F39B" w14:textId="7BF3FCFE" w:rsidR="00D512D0" w:rsidRPr="000137F0" w:rsidRDefault="00C41440" w:rsidP="00D512D0">
      <w:pPr>
        <w:rPr>
          <w:rFonts w:ascii="Arial" w:hAnsi="Arial" w:cs="Arial"/>
          <w:sz w:val="20"/>
          <w:szCs w:val="20"/>
        </w:rPr>
      </w:pPr>
      <w:r w:rsidRPr="000137F0">
        <w:rPr>
          <w:rFonts w:ascii="Arial" w:hAnsi="Arial" w:cs="Arial"/>
          <w:sz w:val="20"/>
          <w:szCs w:val="20"/>
        </w:rPr>
        <w:lastRenderedPageBreak/>
        <w:t>Admission</w:t>
      </w:r>
      <w:r w:rsidR="00D512D0" w:rsidRPr="000137F0">
        <w:rPr>
          <w:rFonts w:ascii="Arial" w:hAnsi="Arial" w:cs="Arial"/>
          <w:sz w:val="20"/>
          <w:szCs w:val="20"/>
        </w:rPr>
        <w:t xml:space="preserve"> of the New Shares is expected to be </w:t>
      </w:r>
      <w:r w:rsidRPr="000137F0">
        <w:rPr>
          <w:rFonts w:ascii="Arial" w:hAnsi="Arial" w:cs="Arial"/>
          <w:sz w:val="20"/>
          <w:szCs w:val="20"/>
        </w:rPr>
        <w:t xml:space="preserve">effective on 6 January 2021. </w:t>
      </w:r>
      <w:r w:rsidR="00D512D0" w:rsidRPr="000137F0">
        <w:rPr>
          <w:rFonts w:ascii="Arial" w:hAnsi="Arial" w:cs="Arial"/>
          <w:sz w:val="20"/>
          <w:szCs w:val="20"/>
        </w:rPr>
        <w:t xml:space="preserve">Following admission and in accordance with the Disclosure and Transparency Rules of the Financial Conduct Authority, the Company will have </w:t>
      </w:r>
      <w:r w:rsidR="006A4219">
        <w:rPr>
          <w:rFonts w:ascii="Arial" w:hAnsi="Arial" w:cs="Arial"/>
          <w:sz w:val="20"/>
          <w:szCs w:val="20"/>
        </w:rPr>
        <w:t>1,327,036,460</w:t>
      </w:r>
      <w:r w:rsidR="00D512D0" w:rsidRPr="000137F0">
        <w:rPr>
          <w:rFonts w:ascii="Arial" w:hAnsi="Arial" w:cs="Arial"/>
          <w:sz w:val="20"/>
          <w:szCs w:val="20"/>
        </w:rPr>
        <w:t xml:space="preserve"> Ordinary Shares in issue, each share carrying the right to one vote. The Company does not hold any shares in treasury.</w:t>
      </w:r>
    </w:p>
    <w:p w14:paraId="3CF56C1E" w14:textId="0904D8DC" w:rsidR="00D512D0" w:rsidRPr="000137F0" w:rsidRDefault="00D512D0" w:rsidP="00D512D0">
      <w:pPr>
        <w:jc w:val="both"/>
        <w:rPr>
          <w:rFonts w:ascii="Arial" w:hAnsi="Arial" w:cs="Arial"/>
          <w:sz w:val="20"/>
          <w:szCs w:val="20"/>
        </w:rPr>
      </w:pPr>
      <w:r w:rsidRPr="000137F0">
        <w:rPr>
          <w:rFonts w:ascii="Arial" w:hAnsi="Arial" w:cs="Arial"/>
          <w:sz w:val="20"/>
          <w:szCs w:val="20"/>
        </w:rPr>
        <w:t xml:space="preserve">The above figure of </w:t>
      </w:r>
      <w:r w:rsidR="006A4219">
        <w:rPr>
          <w:rFonts w:ascii="Arial" w:hAnsi="Arial" w:cs="Arial"/>
          <w:sz w:val="20"/>
          <w:szCs w:val="20"/>
        </w:rPr>
        <w:t>1,327,036,460</w:t>
      </w:r>
      <w:r w:rsidRPr="000137F0">
        <w:rPr>
          <w:rFonts w:ascii="Arial" w:hAnsi="Arial" w:cs="Arial"/>
          <w:sz w:val="20"/>
          <w:szCs w:val="20"/>
        </w:rPr>
        <w:t xml:space="preserve"> Ordinary Shares may be used by shareholders in the Company as the denominator for the calculation by which they will determine if they are required to notify their interest in, or a change to their interest in, the share capital of the Company under the Disclosure Guidance and Transparency Rules of the Financial Conduct Authority.</w:t>
      </w:r>
    </w:p>
    <w:p w14:paraId="232F375E" w14:textId="5637FD18" w:rsidR="00432F2B" w:rsidRPr="000137F0" w:rsidRDefault="00E31616" w:rsidP="00D512D0">
      <w:pPr>
        <w:jc w:val="both"/>
        <w:rPr>
          <w:rFonts w:ascii="Arial" w:hAnsi="Arial" w:cs="Arial"/>
          <w:sz w:val="20"/>
          <w:szCs w:val="20"/>
        </w:rPr>
      </w:pPr>
      <w:r w:rsidRPr="000137F0">
        <w:rPr>
          <w:rFonts w:ascii="Arial" w:hAnsi="Arial" w:cs="Arial"/>
          <w:sz w:val="20"/>
          <w:szCs w:val="20"/>
        </w:rPr>
        <w:t xml:space="preserve">Capitalised terms used but not defined in this announcement have the meanings given to them in the circular published by the Company on </w:t>
      </w:r>
      <w:r w:rsidR="00E24D52" w:rsidRPr="000137F0">
        <w:rPr>
          <w:rFonts w:ascii="Arial" w:hAnsi="Arial" w:cs="Arial"/>
          <w:sz w:val="20"/>
          <w:szCs w:val="20"/>
        </w:rPr>
        <w:t>1</w:t>
      </w:r>
      <w:r w:rsidR="00D76758" w:rsidRPr="000137F0">
        <w:rPr>
          <w:rFonts w:ascii="Arial" w:hAnsi="Arial" w:cs="Arial"/>
          <w:sz w:val="20"/>
          <w:szCs w:val="20"/>
        </w:rPr>
        <w:t>1</w:t>
      </w:r>
      <w:r w:rsidR="00F6358D" w:rsidRPr="000137F0">
        <w:rPr>
          <w:rFonts w:ascii="Arial" w:hAnsi="Arial" w:cs="Arial"/>
          <w:sz w:val="20"/>
          <w:szCs w:val="20"/>
        </w:rPr>
        <w:t xml:space="preserve"> December 2020</w:t>
      </w:r>
      <w:r w:rsidR="00C64A43" w:rsidRPr="000137F0">
        <w:rPr>
          <w:rFonts w:ascii="Arial" w:hAnsi="Arial" w:cs="Arial"/>
          <w:sz w:val="20"/>
          <w:szCs w:val="20"/>
        </w:rPr>
        <w:t>.</w:t>
      </w:r>
    </w:p>
    <w:p w14:paraId="7605FB76" w14:textId="77777777" w:rsidR="006A4219" w:rsidRPr="00BB761F" w:rsidRDefault="006A4219" w:rsidP="006A4219">
      <w:pPr>
        <w:jc w:val="both"/>
        <w:rPr>
          <w:rFonts w:ascii="Arial" w:hAnsi="Arial" w:cs="Arial"/>
          <w:sz w:val="20"/>
        </w:rPr>
      </w:pPr>
      <w:r w:rsidRPr="00BB761F">
        <w:rPr>
          <w:rFonts w:ascii="Arial" w:hAnsi="Arial" w:cs="Arial"/>
          <w:sz w:val="20"/>
        </w:rPr>
        <w:t>Legal Entity Identifier: 213800Y5CJHXOATK7X11</w:t>
      </w:r>
    </w:p>
    <w:p w14:paraId="14B720F6" w14:textId="77777777" w:rsidR="0065791B" w:rsidRPr="000137F0" w:rsidRDefault="0065791B" w:rsidP="00432F2B">
      <w:pPr>
        <w:spacing w:after="100" w:afterAutospacing="1" w:line="253" w:lineRule="atLeast"/>
        <w:rPr>
          <w:rFonts w:ascii="Arial" w:eastAsia="Times New Roman" w:hAnsi="Arial" w:cs="Arial"/>
          <w:b/>
          <w:bCs/>
          <w:sz w:val="20"/>
          <w:szCs w:val="20"/>
          <w:lang w:eastAsia="en-GB"/>
        </w:rPr>
      </w:pPr>
    </w:p>
    <w:p w14:paraId="4B3ACAA8" w14:textId="68300184" w:rsidR="00432F2B" w:rsidRPr="000137F0" w:rsidRDefault="00432F2B" w:rsidP="00432F2B">
      <w:pPr>
        <w:spacing w:after="100" w:afterAutospacing="1" w:line="253" w:lineRule="atLeast"/>
        <w:rPr>
          <w:rFonts w:ascii="Arial" w:eastAsia="Times New Roman" w:hAnsi="Arial" w:cs="Arial"/>
          <w:b/>
          <w:bCs/>
          <w:sz w:val="20"/>
          <w:szCs w:val="20"/>
          <w:lang w:eastAsia="en-GB"/>
        </w:rPr>
      </w:pPr>
      <w:r w:rsidRPr="000137F0">
        <w:rPr>
          <w:rFonts w:ascii="Arial" w:eastAsia="Times New Roman" w:hAnsi="Arial" w:cs="Arial"/>
          <w:b/>
          <w:bCs/>
          <w:sz w:val="20"/>
          <w:szCs w:val="20"/>
          <w:lang w:eastAsia="en-GB"/>
        </w:rPr>
        <w:t>For further information contact:</w:t>
      </w:r>
    </w:p>
    <w:tbl>
      <w:tblPr>
        <w:tblW w:w="9780" w:type="dxa"/>
        <w:tblInd w:w="-108" w:type="dxa"/>
        <w:tblCellMar>
          <w:left w:w="0" w:type="dxa"/>
          <w:right w:w="0" w:type="dxa"/>
        </w:tblCellMar>
        <w:tblLook w:val="04A0" w:firstRow="1" w:lastRow="0" w:firstColumn="1" w:lastColumn="0" w:noHBand="0" w:noVBand="1"/>
      </w:tblPr>
      <w:tblGrid>
        <w:gridCol w:w="7136"/>
        <w:gridCol w:w="2644"/>
      </w:tblGrid>
      <w:tr w:rsidR="00221C73" w:rsidRPr="000137F0" w14:paraId="4E884154" w14:textId="77777777" w:rsidTr="0065791B">
        <w:tc>
          <w:tcPr>
            <w:tcW w:w="6821" w:type="dxa"/>
            <w:tcMar>
              <w:top w:w="0" w:type="dxa"/>
              <w:left w:w="108" w:type="dxa"/>
              <w:bottom w:w="0" w:type="dxa"/>
              <w:right w:w="108" w:type="dxa"/>
            </w:tcMar>
            <w:hideMark/>
          </w:tcPr>
          <w:p w14:paraId="297D5CF5" w14:textId="77777777" w:rsidR="00432F2B" w:rsidRPr="000137F0" w:rsidRDefault="00432F2B" w:rsidP="0065791B">
            <w:pPr>
              <w:spacing w:after="120" w:line="240" w:lineRule="auto"/>
              <w:jc w:val="both"/>
              <w:rPr>
                <w:rFonts w:ascii="Arial" w:eastAsia="Times New Roman" w:hAnsi="Arial" w:cs="Arial"/>
                <w:b/>
                <w:bCs/>
                <w:sz w:val="20"/>
                <w:szCs w:val="20"/>
                <w:lang w:eastAsia="en-GB"/>
              </w:rPr>
            </w:pPr>
            <w:r w:rsidRPr="000137F0">
              <w:rPr>
                <w:rFonts w:ascii="Arial" w:eastAsia="Times New Roman" w:hAnsi="Arial" w:cs="Arial"/>
                <w:b/>
                <w:bCs/>
                <w:sz w:val="20"/>
                <w:szCs w:val="20"/>
                <w:lang w:eastAsia="en-GB"/>
              </w:rPr>
              <w:t>Primary Health Properties PLC</w:t>
            </w:r>
          </w:p>
          <w:p w14:paraId="4963F93F" w14:textId="77777777" w:rsidR="00432F2B" w:rsidRPr="000137F0" w:rsidRDefault="00432F2B" w:rsidP="0065791B">
            <w:pPr>
              <w:spacing w:after="120" w:line="240" w:lineRule="auto"/>
              <w:jc w:val="both"/>
              <w:rPr>
                <w:rFonts w:ascii="Arial" w:eastAsia="Times New Roman" w:hAnsi="Arial" w:cs="Arial"/>
                <w:sz w:val="20"/>
                <w:szCs w:val="20"/>
                <w:lang w:eastAsia="en-GB"/>
              </w:rPr>
            </w:pPr>
            <w:r w:rsidRPr="000137F0">
              <w:rPr>
                <w:rFonts w:ascii="Arial" w:eastAsia="Times New Roman" w:hAnsi="Arial" w:cs="Arial"/>
                <w:sz w:val="20"/>
                <w:szCs w:val="20"/>
                <w:lang w:eastAsia="en-GB"/>
              </w:rPr>
              <w:t>Steven Owen, Chairman</w:t>
            </w:r>
          </w:p>
          <w:p w14:paraId="52A49CC9" w14:textId="77777777" w:rsidR="0065791B" w:rsidRPr="000137F0" w:rsidRDefault="00432F2B" w:rsidP="0065791B">
            <w:pPr>
              <w:spacing w:after="120" w:line="240" w:lineRule="auto"/>
              <w:jc w:val="both"/>
              <w:rPr>
                <w:rFonts w:ascii="Arial" w:eastAsia="Times New Roman" w:hAnsi="Arial" w:cs="Arial"/>
                <w:sz w:val="20"/>
                <w:szCs w:val="20"/>
                <w:lang w:eastAsia="en-GB"/>
              </w:rPr>
            </w:pPr>
            <w:r w:rsidRPr="000137F0">
              <w:rPr>
                <w:rFonts w:ascii="Arial" w:eastAsia="Times New Roman" w:hAnsi="Arial" w:cs="Arial"/>
                <w:sz w:val="20"/>
                <w:szCs w:val="20"/>
                <w:lang w:eastAsia="en-GB"/>
              </w:rPr>
              <w:t>Paul Wright, Company Secretary</w:t>
            </w:r>
          </w:p>
          <w:p w14:paraId="76F5AFB6" w14:textId="1A5F3C9A" w:rsidR="00432F2B" w:rsidRPr="000137F0" w:rsidRDefault="00432F2B" w:rsidP="0065791B">
            <w:pPr>
              <w:spacing w:after="120" w:line="240" w:lineRule="auto"/>
              <w:jc w:val="both"/>
              <w:rPr>
                <w:rFonts w:ascii="Arial" w:eastAsia="Times New Roman" w:hAnsi="Arial" w:cs="Arial"/>
                <w:sz w:val="20"/>
                <w:szCs w:val="20"/>
                <w:lang w:eastAsia="en-GB"/>
              </w:rPr>
            </w:pPr>
            <w:r w:rsidRPr="000137F0">
              <w:rPr>
                <w:rFonts w:ascii="Arial" w:eastAsia="Times New Roman" w:hAnsi="Arial" w:cs="Arial"/>
                <w:sz w:val="20"/>
                <w:szCs w:val="20"/>
                <w:lang w:eastAsia="en-GB"/>
              </w:rPr>
              <w:t> </w:t>
            </w:r>
          </w:p>
        </w:tc>
        <w:tc>
          <w:tcPr>
            <w:tcW w:w="2527" w:type="dxa"/>
            <w:tcMar>
              <w:top w:w="0" w:type="dxa"/>
              <w:left w:w="108" w:type="dxa"/>
              <w:bottom w:w="0" w:type="dxa"/>
              <w:right w:w="108" w:type="dxa"/>
            </w:tcMar>
            <w:hideMark/>
          </w:tcPr>
          <w:p w14:paraId="4A62E216" w14:textId="77777777" w:rsidR="00432F2B" w:rsidRPr="000137F0" w:rsidRDefault="00432F2B" w:rsidP="0065791B">
            <w:pPr>
              <w:spacing w:after="120" w:line="240" w:lineRule="auto"/>
              <w:jc w:val="both"/>
              <w:rPr>
                <w:rFonts w:ascii="Arial" w:eastAsia="Times New Roman" w:hAnsi="Arial" w:cs="Arial"/>
                <w:sz w:val="20"/>
                <w:szCs w:val="20"/>
                <w:lang w:eastAsia="en-GB"/>
              </w:rPr>
            </w:pPr>
            <w:r w:rsidRPr="000137F0">
              <w:rPr>
                <w:rFonts w:ascii="Arial" w:eastAsia="Times New Roman" w:hAnsi="Arial" w:cs="Arial"/>
                <w:sz w:val="20"/>
                <w:szCs w:val="20"/>
                <w:lang w:eastAsia="en-GB"/>
              </w:rPr>
              <w:t>020 7451 7050  </w:t>
            </w:r>
          </w:p>
        </w:tc>
      </w:tr>
      <w:tr w:rsidR="00221C73" w:rsidRPr="000137F0" w14:paraId="4022B353" w14:textId="77777777" w:rsidTr="0065791B">
        <w:tc>
          <w:tcPr>
            <w:tcW w:w="6821" w:type="dxa"/>
            <w:tcMar>
              <w:top w:w="0" w:type="dxa"/>
              <w:left w:w="108" w:type="dxa"/>
              <w:bottom w:w="0" w:type="dxa"/>
              <w:right w:w="108" w:type="dxa"/>
            </w:tcMar>
            <w:hideMark/>
          </w:tcPr>
          <w:p w14:paraId="5C3F1D76" w14:textId="77777777" w:rsidR="00432F2B" w:rsidRPr="000137F0" w:rsidRDefault="00432F2B" w:rsidP="0065791B">
            <w:pPr>
              <w:spacing w:after="120" w:line="240" w:lineRule="auto"/>
              <w:jc w:val="both"/>
              <w:rPr>
                <w:rFonts w:ascii="Arial" w:eastAsia="Times New Roman" w:hAnsi="Arial" w:cs="Arial"/>
                <w:b/>
                <w:bCs/>
                <w:sz w:val="20"/>
                <w:szCs w:val="20"/>
                <w:lang w:eastAsia="en-GB"/>
              </w:rPr>
            </w:pPr>
            <w:r w:rsidRPr="000137F0">
              <w:rPr>
                <w:rFonts w:ascii="Arial" w:eastAsia="Times New Roman" w:hAnsi="Arial" w:cs="Arial"/>
                <w:b/>
                <w:bCs/>
                <w:sz w:val="20"/>
                <w:szCs w:val="20"/>
                <w:lang w:eastAsia="en-GB"/>
              </w:rPr>
              <w:t>Numis Securities Limited (Joint Sponsor, Financial Adviser and Broker)</w:t>
            </w:r>
          </w:p>
          <w:p w14:paraId="7C5A31EC" w14:textId="77777777" w:rsidR="00432F2B" w:rsidRPr="000137F0" w:rsidRDefault="00432F2B" w:rsidP="0065791B">
            <w:pPr>
              <w:spacing w:after="120" w:line="240" w:lineRule="auto"/>
              <w:jc w:val="both"/>
              <w:rPr>
                <w:rFonts w:ascii="Arial" w:eastAsia="Times New Roman" w:hAnsi="Arial" w:cs="Arial"/>
                <w:sz w:val="20"/>
                <w:szCs w:val="20"/>
                <w:lang w:eastAsia="en-GB"/>
              </w:rPr>
            </w:pPr>
            <w:r w:rsidRPr="000137F0">
              <w:rPr>
                <w:rFonts w:ascii="Arial" w:eastAsia="Times New Roman" w:hAnsi="Arial" w:cs="Arial"/>
                <w:sz w:val="20"/>
                <w:szCs w:val="20"/>
                <w:lang w:eastAsia="en-GB"/>
              </w:rPr>
              <w:t>James Black / Kevin Cruickshank / Huw Jeremy</w:t>
            </w:r>
          </w:p>
          <w:p w14:paraId="2B3A26D1" w14:textId="77777777" w:rsidR="00432F2B" w:rsidRPr="000137F0" w:rsidRDefault="00432F2B" w:rsidP="0065791B">
            <w:pPr>
              <w:spacing w:after="120" w:line="240" w:lineRule="auto"/>
              <w:jc w:val="both"/>
              <w:rPr>
                <w:rFonts w:ascii="Arial" w:eastAsia="Times New Roman" w:hAnsi="Arial" w:cs="Arial"/>
                <w:b/>
                <w:bCs/>
                <w:sz w:val="20"/>
                <w:szCs w:val="20"/>
                <w:lang w:eastAsia="en-GB"/>
              </w:rPr>
            </w:pPr>
            <w:r w:rsidRPr="000137F0">
              <w:rPr>
                <w:rFonts w:ascii="Arial" w:eastAsia="Times New Roman" w:hAnsi="Arial" w:cs="Arial"/>
                <w:b/>
                <w:bCs/>
                <w:sz w:val="20"/>
                <w:szCs w:val="20"/>
                <w:lang w:eastAsia="en-GB"/>
              </w:rPr>
              <w:t> </w:t>
            </w:r>
          </w:p>
        </w:tc>
        <w:tc>
          <w:tcPr>
            <w:tcW w:w="2527" w:type="dxa"/>
            <w:tcMar>
              <w:top w:w="0" w:type="dxa"/>
              <w:left w:w="108" w:type="dxa"/>
              <w:bottom w:w="0" w:type="dxa"/>
              <w:right w:w="108" w:type="dxa"/>
            </w:tcMar>
            <w:hideMark/>
          </w:tcPr>
          <w:p w14:paraId="70EFF1F8" w14:textId="77777777" w:rsidR="00432F2B" w:rsidRPr="000137F0" w:rsidRDefault="00432F2B" w:rsidP="0065791B">
            <w:pPr>
              <w:spacing w:after="120" w:line="240" w:lineRule="auto"/>
              <w:jc w:val="both"/>
              <w:rPr>
                <w:rFonts w:ascii="Arial" w:eastAsia="Times New Roman" w:hAnsi="Arial" w:cs="Arial"/>
                <w:sz w:val="20"/>
                <w:szCs w:val="20"/>
                <w:lang w:eastAsia="en-GB"/>
              </w:rPr>
            </w:pPr>
            <w:r w:rsidRPr="000137F0">
              <w:rPr>
                <w:rFonts w:ascii="Arial" w:eastAsia="Times New Roman" w:hAnsi="Arial" w:cs="Arial"/>
                <w:sz w:val="20"/>
                <w:szCs w:val="20"/>
                <w:lang w:eastAsia="en-GB"/>
              </w:rPr>
              <w:t>020 7260 1000</w:t>
            </w:r>
          </w:p>
        </w:tc>
      </w:tr>
      <w:tr w:rsidR="00221C73" w:rsidRPr="000137F0" w14:paraId="2DD94B10" w14:textId="77777777" w:rsidTr="0065791B">
        <w:tc>
          <w:tcPr>
            <w:tcW w:w="6821" w:type="dxa"/>
            <w:tcMar>
              <w:top w:w="0" w:type="dxa"/>
              <w:left w:w="108" w:type="dxa"/>
              <w:bottom w:w="0" w:type="dxa"/>
              <w:right w:w="108" w:type="dxa"/>
            </w:tcMar>
            <w:hideMark/>
          </w:tcPr>
          <w:p w14:paraId="0E46574A" w14:textId="77777777" w:rsidR="00432F2B" w:rsidRPr="000137F0" w:rsidRDefault="00432F2B" w:rsidP="0065791B">
            <w:pPr>
              <w:spacing w:after="120" w:line="240" w:lineRule="auto"/>
              <w:jc w:val="both"/>
              <w:rPr>
                <w:rFonts w:ascii="Arial" w:eastAsia="Times New Roman" w:hAnsi="Arial" w:cs="Arial"/>
                <w:b/>
                <w:bCs/>
                <w:sz w:val="20"/>
                <w:szCs w:val="20"/>
                <w:lang w:eastAsia="en-GB"/>
              </w:rPr>
            </w:pPr>
            <w:r w:rsidRPr="000137F0">
              <w:rPr>
                <w:rFonts w:ascii="Arial" w:eastAsia="Times New Roman" w:hAnsi="Arial" w:cs="Arial"/>
                <w:b/>
                <w:bCs/>
                <w:sz w:val="20"/>
                <w:szCs w:val="20"/>
                <w:lang w:eastAsia="en-GB"/>
              </w:rPr>
              <w:t>Peel Hunt LLP (Joint Sponsor, Financial Adviser and Broker)</w:t>
            </w:r>
          </w:p>
          <w:p w14:paraId="3B8F6715" w14:textId="77777777" w:rsidR="00432F2B" w:rsidRPr="000137F0" w:rsidRDefault="00432F2B" w:rsidP="0065791B">
            <w:pPr>
              <w:spacing w:after="120" w:line="240" w:lineRule="auto"/>
              <w:jc w:val="both"/>
              <w:rPr>
                <w:rFonts w:ascii="Arial" w:eastAsia="Times New Roman" w:hAnsi="Arial" w:cs="Arial"/>
                <w:sz w:val="20"/>
                <w:szCs w:val="20"/>
                <w:lang w:eastAsia="en-GB"/>
              </w:rPr>
            </w:pPr>
            <w:r w:rsidRPr="000137F0">
              <w:rPr>
                <w:rFonts w:ascii="Arial" w:eastAsia="Times New Roman" w:hAnsi="Arial" w:cs="Arial"/>
                <w:sz w:val="20"/>
                <w:szCs w:val="20"/>
                <w:lang w:eastAsia="en-GB"/>
              </w:rPr>
              <w:t>Capel Irwin / Carl Gough / Harry Nicholas</w:t>
            </w:r>
          </w:p>
          <w:p w14:paraId="0772691F" w14:textId="77777777" w:rsidR="00432F2B" w:rsidRPr="000137F0" w:rsidRDefault="00432F2B" w:rsidP="0065791B">
            <w:pPr>
              <w:spacing w:after="120" w:line="240" w:lineRule="auto"/>
              <w:jc w:val="both"/>
              <w:rPr>
                <w:rFonts w:ascii="Arial" w:eastAsia="Times New Roman" w:hAnsi="Arial" w:cs="Arial"/>
                <w:sz w:val="20"/>
                <w:szCs w:val="20"/>
                <w:lang w:eastAsia="en-GB"/>
              </w:rPr>
            </w:pPr>
            <w:r w:rsidRPr="000137F0">
              <w:rPr>
                <w:rFonts w:ascii="Arial" w:eastAsia="Times New Roman" w:hAnsi="Arial" w:cs="Arial"/>
                <w:sz w:val="20"/>
                <w:szCs w:val="20"/>
                <w:lang w:eastAsia="en-GB"/>
              </w:rPr>
              <w:t> </w:t>
            </w:r>
          </w:p>
        </w:tc>
        <w:tc>
          <w:tcPr>
            <w:tcW w:w="2527" w:type="dxa"/>
            <w:tcMar>
              <w:top w:w="0" w:type="dxa"/>
              <w:left w:w="108" w:type="dxa"/>
              <w:bottom w:w="0" w:type="dxa"/>
              <w:right w:w="108" w:type="dxa"/>
            </w:tcMar>
            <w:hideMark/>
          </w:tcPr>
          <w:p w14:paraId="4B379198" w14:textId="77777777" w:rsidR="00432F2B" w:rsidRPr="000137F0" w:rsidRDefault="00432F2B" w:rsidP="0065791B">
            <w:pPr>
              <w:spacing w:after="120" w:line="240" w:lineRule="auto"/>
              <w:jc w:val="both"/>
              <w:rPr>
                <w:rFonts w:ascii="Arial" w:eastAsia="Times New Roman" w:hAnsi="Arial" w:cs="Arial"/>
                <w:sz w:val="20"/>
                <w:szCs w:val="20"/>
                <w:lang w:eastAsia="en-GB"/>
              </w:rPr>
            </w:pPr>
            <w:r w:rsidRPr="000137F0">
              <w:rPr>
                <w:rFonts w:ascii="Arial" w:eastAsia="Times New Roman" w:hAnsi="Arial" w:cs="Arial"/>
                <w:sz w:val="20"/>
                <w:szCs w:val="20"/>
                <w:lang w:eastAsia="en-GB"/>
              </w:rPr>
              <w:t>020 7418 8900</w:t>
            </w:r>
          </w:p>
        </w:tc>
      </w:tr>
      <w:tr w:rsidR="00221C73" w:rsidRPr="000137F0" w14:paraId="7213C8A2" w14:textId="77777777" w:rsidTr="0065791B">
        <w:tc>
          <w:tcPr>
            <w:tcW w:w="6821" w:type="dxa"/>
            <w:tcMar>
              <w:top w:w="0" w:type="dxa"/>
              <w:left w:w="108" w:type="dxa"/>
              <w:bottom w:w="0" w:type="dxa"/>
              <w:right w:w="108" w:type="dxa"/>
            </w:tcMar>
            <w:hideMark/>
          </w:tcPr>
          <w:p w14:paraId="04216C4C" w14:textId="77777777" w:rsidR="00432F2B" w:rsidRPr="000137F0" w:rsidRDefault="00432F2B" w:rsidP="0065791B">
            <w:pPr>
              <w:spacing w:after="120" w:line="240" w:lineRule="auto"/>
              <w:jc w:val="both"/>
              <w:rPr>
                <w:rFonts w:ascii="Arial" w:eastAsia="Times New Roman" w:hAnsi="Arial" w:cs="Arial"/>
                <w:b/>
                <w:bCs/>
                <w:sz w:val="20"/>
                <w:szCs w:val="20"/>
                <w:lang w:eastAsia="en-GB"/>
              </w:rPr>
            </w:pPr>
            <w:r w:rsidRPr="000137F0">
              <w:rPr>
                <w:rFonts w:ascii="Arial" w:eastAsia="Times New Roman" w:hAnsi="Arial" w:cs="Arial"/>
                <w:b/>
                <w:bCs/>
                <w:sz w:val="20"/>
                <w:szCs w:val="20"/>
                <w:lang w:eastAsia="en-GB"/>
              </w:rPr>
              <w:t>Buchanan</w:t>
            </w:r>
          </w:p>
          <w:p w14:paraId="06D7F1C9" w14:textId="3EEBCE3D" w:rsidR="00432F2B" w:rsidRPr="000137F0" w:rsidRDefault="00432F2B" w:rsidP="0065791B">
            <w:pPr>
              <w:spacing w:after="120" w:line="240" w:lineRule="auto"/>
              <w:jc w:val="both"/>
              <w:rPr>
                <w:rFonts w:ascii="Arial" w:eastAsia="Times New Roman" w:hAnsi="Arial" w:cs="Arial"/>
                <w:sz w:val="20"/>
                <w:szCs w:val="20"/>
                <w:lang w:eastAsia="en-GB"/>
              </w:rPr>
            </w:pPr>
            <w:r w:rsidRPr="000137F0">
              <w:rPr>
                <w:rFonts w:ascii="Arial" w:eastAsia="Times New Roman" w:hAnsi="Arial" w:cs="Arial"/>
                <w:sz w:val="20"/>
                <w:szCs w:val="20"/>
                <w:lang w:eastAsia="en-GB"/>
              </w:rPr>
              <w:t>David Rydell / Steph Watson / Tilly Abraham </w:t>
            </w:r>
          </w:p>
        </w:tc>
        <w:tc>
          <w:tcPr>
            <w:tcW w:w="2527" w:type="dxa"/>
            <w:tcMar>
              <w:top w:w="0" w:type="dxa"/>
              <w:left w:w="108" w:type="dxa"/>
              <w:bottom w:w="0" w:type="dxa"/>
              <w:right w:w="108" w:type="dxa"/>
            </w:tcMar>
            <w:hideMark/>
          </w:tcPr>
          <w:p w14:paraId="25636B30" w14:textId="77777777" w:rsidR="00432F2B" w:rsidRPr="000137F0" w:rsidRDefault="00432F2B" w:rsidP="0065791B">
            <w:pPr>
              <w:spacing w:after="120" w:line="240" w:lineRule="auto"/>
              <w:jc w:val="both"/>
              <w:rPr>
                <w:rFonts w:ascii="Arial" w:eastAsia="Times New Roman" w:hAnsi="Arial" w:cs="Arial"/>
                <w:sz w:val="20"/>
                <w:szCs w:val="20"/>
                <w:lang w:eastAsia="en-GB"/>
              </w:rPr>
            </w:pPr>
            <w:r w:rsidRPr="000137F0">
              <w:rPr>
                <w:rFonts w:ascii="Arial" w:eastAsia="Times New Roman" w:hAnsi="Arial" w:cs="Arial"/>
                <w:sz w:val="20"/>
                <w:szCs w:val="20"/>
                <w:lang w:eastAsia="en-GB"/>
              </w:rPr>
              <w:t>0207 466 5066</w:t>
            </w:r>
          </w:p>
        </w:tc>
      </w:tr>
    </w:tbl>
    <w:p w14:paraId="13705936" w14:textId="51065CCC" w:rsidR="002E2099" w:rsidRPr="000137F0" w:rsidRDefault="002E2099" w:rsidP="0065791B">
      <w:pPr>
        <w:jc w:val="both"/>
        <w:rPr>
          <w:rFonts w:ascii="Arial" w:hAnsi="Arial" w:cs="Arial"/>
          <w:sz w:val="20"/>
          <w:szCs w:val="20"/>
        </w:rPr>
      </w:pPr>
    </w:p>
    <w:sectPr w:rsidR="002E2099" w:rsidRPr="00013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A4068"/>
    <w:multiLevelType w:val="hybridMultilevel"/>
    <w:tmpl w:val="46B8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3645F6"/>
    <w:multiLevelType w:val="hybridMultilevel"/>
    <w:tmpl w:val="721E78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7A8B6A44"/>
    <w:multiLevelType w:val="hybridMultilevel"/>
    <w:tmpl w:val="1744FAA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AA"/>
    <w:rsid w:val="00012772"/>
    <w:rsid w:val="000137F0"/>
    <w:rsid w:val="00032E94"/>
    <w:rsid w:val="000337EE"/>
    <w:rsid w:val="00034123"/>
    <w:rsid w:val="00043931"/>
    <w:rsid w:val="0005693D"/>
    <w:rsid w:val="00062D56"/>
    <w:rsid w:val="000904BB"/>
    <w:rsid w:val="00090A5D"/>
    <w:rsid w:val="00094D50"/>
    <w:rsid w:val="000D3253"/>
    <w:rsid w:val="000D325E"/>
    <w:rsid w:val="000E2670"/>
    <w:rsid w:val="000E3F9D"/>
    <w:rsid w:val="000E6EED"/>
    <w:rsid w:val="000F2958"/>
    <w:rsid w:val="00125E95"/>
    <w:rsid w:val="00131F1B"/>
    <w:rsid w:val="001375FD"/>
    <w:rsid w:val="001764A8"/>
    <w:rsid w:val="001967AA"/>
    <w:rsid w:val="001A0F36"/>
    <w:rsid w:val="001A4158"/>
    <w:rsid w:val="001B0B89"/>
    <w:rsid w:val="001D2A11"/>
    <w:rsid w:val="00221C73"/>
    <w:rsid w:val="00225263"/>
    <w:rsid w:val="002666CF"/>
    <w:rsid w:val="002A4741"/>
    <w:rsid w:val="002A5DE2"/>
    <w:rsid w:val="002A67A6"/>
    <w:rsid w:val="002B131D"/>
    <w:rsid w:val="002E2099"/>
    <w:rsid w:val="002F69E1"/>
    <w:rsid w:val="003237C5"/>
    <w:rsid w:val="00333D95"/>
    <w:rsid w:val="003660CF"/>
    <w:rsid w:val="003921AD"/>
    <w:rsid w:val="003B0944"/>
    <w:rsid w:val="003C560C"/>
    <w:rsid w:val="003D354E"/>
    <w:rsid w:val="003E0033"/>
    <w:rsid w:val="00432F2B"/>
    <w:rsid w:val="00443AD6"/>
    <w:rsid w:val="004B7F6E"/>
    <w:rsid w:val="004C4C8E"/>
    <w:rsid w:val="004F06DF"/>
    <w:rsid w:val="00506681"/>
    <w:rsid w:val="00526504"/>
    <w:rsid w:val="00560957"/>
    <w:rsid w:val="00572276"/>
    <w:rsid w:val="00573AEA"/>
    <w:rsid w:val="005F09A4"/>
    <w:rsid w:val="005F0A4B"/>
    <w:rsid w:val="005F3CA6"/>
    <w:rsid w:val="00602ECB"/>
    <w:rsid w:val="0063548C"/>
    <w:rsid w:val="006547E1"/>
    <w:rsid w:val="0065791B"/>
    <w:rsid w:val="006755A6"/>
    <w:rsid w:val="0068638A"/>
    <w:rsid w:val="0069604F"/>
    <w:rsid w:val="006A3734"/>
    <w:rsid w:val="006A4219"/>
    <w:rsid w:val="006A7A53"/>
    <w:rsid w:val="006D1C98"/>
    <w:rsid w:val="006D5337"/>
    <w:rsid w:val="006F5360"/>
    <w:rsid w:val="007249E3"/>
    <w:rsid w:val="00733845"/>
    <w:rsid w:val="007A20EA"/>
    <w:rsid w:val="007C7370"/>
    <w:rsid w:val="007D7B77"/>
    <w:rsid w:val="00805144"/>
    <w:rsid w:val="008422E2"/>
    <w:rsid w:val="0088148C"/>
    <w:rsid w:val="00893023"/>
    <w:rsid w:val="008A02D4"/>
    <w:rsid w:val="008A46F5"/>
    <w:rsid w:val="008D6B2B"/>
    <w:rsid w:val="00900CAC"/>
    <w:rsid w:val="00910084"/>
    <w:rsid w:val="00915BD0"/>
    <w:rsid w:val="00924C0B"/>
    <w:rsid w:val="0092606C"/>
    <w:rsid w:val="0099740B"/>
    <w:rsid w:val="00A2021B"/>
    <w:rsid w:val="00A230AC"/>
    <w:rsid w:val="00A31B8A"/>
    <w:rsid w:val="00A46BF0"/>
    <w:rsid w:val="00A92335"/>
    <w:rsid w:val="00AE5979"/>
    <w:rsid w:val="00B019B0"/>
    <w:rsid w:val="00B04375"/>
    <w:rsid w:val="00B07950"/>
    <w:rsid w:val="00B24657"/>
    <w:rsid w:val="00B37EA2"/>
    <w:rsid w:val="00B52C19"/>
    <w:rsid w:val="00BC2593"/>
    <w:rsid w:val="00BC3B50"/>
    <w:rsid w:val="00BE4960"/>
    <w:rsid w:val="00BE6128"/>
    <w:rsid w:val="00C41440"/>
    <w:rsid w:val="00C60327"/>
    <w:rsid w:val="00C64A43"/>
    <w:rsid w:val="00C77B3A"/>
    <w:rsid w:val="00C86887"/>
    <w:rsid w:val="00CA0A36"/>
    <w:rsid w:val="00CC5D96"/>
    <w:rsid w:val="00D13215"/>
    <w:rsid w:val="00D13DC2"/>
    <w:rsid w:val="00D30343"/>
    <w:rsid w:val="00D512D0"/>
    <w:rsid w:val="00D523F0"/>
    <w:rsid w:val="00D63419"/>
    <w:rsid w:val="00D64E52"/>
    <w:rsid w:val="00D6680A"/>
    <w:rsid w:val="00D76758"/>
    <w:rsid w:val="00D83F5A"/>
    <w:rsid w:val="00D96190"/>
    <w:rsid w:val="00DE25D5"/>
    <w:rsid w:val="00E13EB9"/>
    <w:rsid w:val="00E24D52"/>
    <w:rsid w:val="00E31616"/>
    <w:rsid w:val="00E547D9"/>
    <w:rsid w:val="00EA10B1"/>
    <w:rsid w:val="00EC4F05"/>
    <w:rsid w:val="00ED4D48"/>
    <w:rsid w:val="00EF6A8A"/>
    <w:rsid w:val="00F00E7D"/>
    <w:rsid w:val="00F06DF7"/>
    <w:rsid w:val="00F113BC"/>
    <w:rsid w:val="00F122FE"/>
    <w:rsid w:val="00F30BF0"/>
    <w:rsid w:val="00F52DF7"/>
    <w:rsid w:val="00F54510"/>
    <w:rsid w:val="00F61271"/>
    <w:rsid w:val="00F6358D"/>
    <w:rsid w:val="00F7255E"/>
    <w:rsid w:val="00FF14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B622"/>
  <w15:chartTrackingRefBased/>
  <w15:docId w15:val="{FCDE8524-4D74-43BF-9F7E-8276054F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8"/>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n">
    <w:name w:val="dn"/>
    <w:basedOn w:val="Normal"/>
    <w:rsid w:val="001967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p">
    <w:name w:val="dp"/>
    <w:basedOn w:val="DefaultParagraphFont"/>
    <w:rsid w:val="001967AA"/>
  </w:style>
  <w:style w:type="paragraph" w:customStyle="1" w:styleId="do">
    <w:name w:val="do"/>
    <w:basedOn w:val="Normal"/>
    <w:rsid w:val="001967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p">
    <w:name w:val="cp"/>
    <w:basedOn w:val="Normal"/>
    <w:rsid w:val="00B37E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
    <w:name w:val="ca"/>
    <w:basedOn w:val="DefaultParagraphFont"/>
    <w:rsid w:val="00B37EA2"/>
  </w:style>
  <w:style w:type="paragraph" w:customStyle="1" w:styleId="cq">
    <w:name w:val="cq"/>
    <w:basedOn w:val="Normal"/>
    <w:rsid w:val="00B37E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b">
    <w:name w:val="cb"/>
    <w:basedOn w:val="DefaultParagraphFont"/>
    <w:rsid w:val="00B37EA2"/>
  </w:style>
  <w:style w:type="character" w:customStyle="1" w:styleId="bx">
    <w:name w:val="bx"/>
    <w:basedOn w:val="DefaultParagraphFont"/>
    <w:rsid w:val="00B37EA2"/>
  </w:style>
  <w:style w:type="character" w:styleId="CommentReference">
    <w:name w:val="annotation reference"/>
    <w:basedOn w:val="DefaultParagraphFont"/>
    <w:uiPriority w:val="99"/>
    <w:semiHidden/>
    <w:unhideWhenUsed/>
    <w:rsid w:val="00B37EA2"/>
    <w:rPr>
      <w:sz w:val="16"/>
      <w:szCs w:val="16"/>
    </w:rPr>
  </w:style>
  <w:style w:type="paragraph" w:styleId="CommentText">
    <w:name w:val="annotation text"/>
    <w:basedOn w:val="Normal"/>
    <w:link w:val="CommentTextChar"/>
    <w:uiPriority w:val="99"/>
    <w:semiHidden/>
    <w:unhideWhenUsed/>
    <w:rsid w:val="00B37EA2"/>
    <w:pPr>
      <w:spacing w:line="240" w:lineRule="auto"/>
    </w:pPr>
    <w:rPr>
      <w:sz w:val="20"/>
      <w:szCs w:val="20"/>
    </w:rPr>
  </w:style>
  <w:style w:type="character" w:customStyle="1" w:styleId="CommentTextChar">
    <w:name w:val="Comment Text Char"/>
    <w:basedOn w:val="DefaultParagraphFont"/>
    <w:link w:val="CommentText"/>
    <w:uiPriority w:val="99"/>
    <w:semiHidden/>
    <w:rsid w:val="00B37EA2"/>
    <w:rPr>
      <w:sz w:val="20"/>
      <w:szCs w:val="20"/>
    </w:rPr>
  </w:style>
  <w:style w:type="paragraph" w:styleId="CommentSubject">
    <w:name w:val="annotation subject"/>
    <w:basedOn w:val="CommentText"/>
    <w:next w:val="CommentText"/>
    <w:link w:val="CommentSubjectChar"/>
    <w:uiPriority w:val="99"/>
    <w:semiHidden/>
    <w:unhideWhenUsed/>
    <w:rsid w:val="00B37EA2"/>
    <w:rPr>
      <w:b/>
      <w:bCs/>
    </w:rPr>
  </w:style>
  <w:style w:type="character" w:customStyle="1" w:styleId="CommentSubjectChar">
    <w:name w:val="Comment Subject Char"/>
    <w:basedOn w:val="CommentTextChar"/>
    <w:link w:val="CommentSubject"/>
    <w:uiPriority w:val="99"/>
    <w:semiHidden/>
    <w:rsid w:val="00B37EA2"/>
    <w:rPr>
      <w:b/>
      <w:bCs/>
      <w:sz w:val="20"/>
      <w:szCs w:val="20"/>
    </w:rPr>
  </w:style>
  <w:style w:type="paragraph" w:styleId="BalloonText">
    <w:name w:val="Balloon Text"/>
    <w:basedOn w:val="Normal"/>
    <w:link w:val="BalloonTextChar"/>
    <w:uiPriority w:val="99"/>
    <w:semiHidden/>
    <w:unhideWhenUsed/>
    <w:rsid w:val="00B37E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EA2"/>
    <w:rPr>
      <w:rFonts w:ascii="Segoe UI" w:hAnsi="Segoe UI" w:cs="Segoe UI"/>
      <w:sz w:val="18"/>
      <w:szCs w:val="18"/>
    </w:rPr>
  </w:style>
  <w:style w:type="paragraph" w:styleId="ListParagraph">
    <w:name w:val="List Paragraph"/>
    <w:basedOn w:val="Normal"/>
    <w:uiPriority w:val="34"/>
    <w:qFormat/>
    <w:rsid w:val="00BE4960"/>
    <w:pPr>
      <w:ind w:left="720"/>
      <w:contextualSpacing/>
    </w:pPr>
  </w:style>
  <w:style w:type="paragraph" w:customStyle="1" w:styleId="CMSANBodyText">
    <w:name w:val="CMS AN Body Text"/>
    <w:uiPriority w:val="9"/>
    <w:qFormat/>
    <w:rsid w:val="00EF6A8A"/>
    <w:pPr>
      <w:spacing w:before="58" w:after="0" w:line="262" w:lineRule="auto"/>
      <w:jc w:val="both"/>
    </w:pPr>
    <w:rPr>
      <w:rFonts w:ascii="Times New Roman" w:hAnsi="Times New Roman" w:cs="Segoe Script"/>
      <w:color w:val="000000" w:themeColor="text1"/>
      <w:sz w:val="20"/>
      <w:szCs w:val="20"/>
    </w:rPr>
  </w:style>
  <w:style w:type="table" w:styleId="TableGrid">
    <w:name w:val="Table Grid"/>
    <w:uiPriority w:val="98"/>
    <w:rsid w:val="00EF6A8A"/>
    <w:pPr>
      <w:spacing w:before="58" w:after="0" w:line="300" w:lineRule="atLeast"/>
    </w:pPr>
    <w:rPr>
      <w:rFonts w:ascii="Times New Roman" w:eastAsia="Times New Roman" w:hAnsi="Times New Roman" w:cs="Times New Roman"/>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6A8A"/>
    <w:rPr>
      <w:color w:val="0000FF" w:themeColor="hyperlink"/>
      <w:u w:val="single"/>
    </w:rPr>
  </w:style>
  <w:style w:type="character" w:styleId="UnresolvedMention">
    <w:name w:val="Unresolved Mention"/>
    <w:basedOn w:val="DefaultParagraphFont"/>
    <w:uiPriority w:val="99"/>
    <w:semiHidden/>
    <w:unhideWhenUsed/>
    <w:rsid w:val="00EF6A8A"/>
    <w:rPr>
      <w:color w:val="605E5C"/>
      <w:shd w:val="clear" w:color="auto" w:fill="E1DFDD"/>
    </w:rPr>
  </w:style>
  <w:style w:type="paragraph" w:customStyle="1" w:styleId="CMSANzhanging1">
    <w:name w:val="CMS AN z_hanging 1"/>
    <w:uiPriority w:val="6"/>
    <w:rsid w:val="00EF6A8A"/>
    <w:pPr>
      <w:spacing w:before="58" w:after="30" w:line="262" w:lineRule="auto"/>
      <w:ind w:left="851" w:hanging="851"/>
      <w:jc w:val="both"/>
    </w:pPr>
    <w:rPr>
      <w:rFonts w:ascii="Times New Roman" w:hAnsi="Times New Roman" w:cs="Segoe Script"/>
      <w:color w:val="000000" w:themeColor="text1"/>
      <w:sz w:val="20"/>
      <w:szCs w:val="20"/>
    </w:rPr>
  </w:style>
  <w:style w:type="paragraph" w:customStyle="1" w:styleId="a">
    <w:name w:val="a"/>
    <w:basedOn w:val="Normal"/>
    <w:rsid w:val="00432F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432F2B"/>
  </w:style>
  <w:style w:type="paragraph" w:customStyle="1" w:styleId="ce">
    <w:name w:val="ce"/>
    <w:basedOn w:val="Normal"/>
    <w:rsid w:val="00432F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k">
    <w:name w:val="ak"/>
    <w:basedOn w:val="DefaultParagraphFont"/>
    <w:rsid w:val="00432F2B"/>
  </w:style>
  <w:style w:type="paragraph" w:customStyle="1" w:styleId="cf">
    <w:name w:val="cf"/>
    <w:basedOn w:val="Normal"/>
    <w:rsid w:val="00432F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i">
    <w:name w:val="ai"/>
    <w:basedOn w:val="DefaultParagraphFont"/>
    <w:rsid w:val="0043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482250">
      <w:bodyDiv w:val="1"/>
      <w:marLeft w:val="0"/>
      <w:marRight w:val="0"/>
      <w:marTop w:val="0"/>
      <w:marBottom w:val="0"/>
      <w:divBdr>
        <w:top w:val="none" w:sz="0" w:space="0" w:color="auto"/>
        <w:left w:val="none" w:sz="0" w:space="0" w:color="auto"/>
        <w:bottom w:val="none" w:sz="0" w:space="0" w:color="auto"/>
        <w:right w:val="none" w:sz="0" w:space="0" w:color="auto"/>
      </w:divBdr>
      <w:divsChild>
        <w:div w:id="1101680931">
          <w:marLeft w:val="1440"/>
          <w:marRight w:val="1440"/>
          <w:marTop w:val="1440"/>
          <w:marBottom w:val="1440"/>
          <w:divBdr>
            <w:top w:val="none" w:sz="0" w:space="0" w:color="auto"/>
            <w:left w:val="none" w:sz="0" w:space="0" w:color="auto"/>
            <w:bottom w:val="none" w:sz="0" w:space="0" w:color="auto"/>
            <w:right w:val="none" w:sz="0" w:space="0" w:color="auto"/>
          </w:divBdr>
        </w:div>
      </w:divsChild>
    </w:div>
    <w:div w:id="568999463">
      <w:bodyDiv w:val="1"/>
      <w:marLeft w:val="0"/>
      <w:marRight w:val="0"/>
      <w:marTop w:val="0"/>
      <w:marBottom w:val="0"/>
      <w:divBdr>
        <w:top w:val="none" w:sz="0" w:space="0" w:color="auto"/>
        <w:left w:val="none" w:sz="0" w:space="0" w:color="auto"/>
        <w:bottom w:val="none" w:sz="0" w:space="0" w:color="auto"/>
        <w:right w:val="none" w:sz="0" w:space="0" w:color="auto"/>
      </w:divBdr>
    </w:div>
    <w:div w:id="670596635">
      <w:bodyDiv w:val="1"/>
      <w:marLeft w:val="0"/>
      <w:marRight w:val="0"/>
      <w:marTop w:val="0"/>
      <w:marBottom w:val="0"/>
      <w:divBdr>
        <w:top w:val="none" w:sz="0" w:space="0" w:color="auto"/>
        <w:left w:val="none" w:sz="0" w:space="0" w:color="auto"/>
        <w:bottom w:val="none" w:sz="0" w:space="0" w:color="auto"/>
        <w:right w:val="none" w:sz="0" w:space="0" w:color="auto"/>
      </w:divBdr>
    </w:div>
    <w:div w:id="691803748">
      <w:bodyDiv w:val="1"/>
      <w:marLeft w:val="0"/>
      <w:marRight w:val="0"/>
      <w:marTop w:val="0"/>
      <w:marBottom w:val="0"/>
      <w:divBdr>
        <w:top w:val="none" w:sz="0" w:space="0" w:color="auto"/>
        <w:left w:val="none" w:sz="0" w:space="0" w:color="auto"/>
        <w:bottom w:val="none" w:sz="0" w:space="0" w:color="auto"/>
        <w:right w:val="none" w:sz="0" w:space="0" w:color="auto"/>
      </w:divBdr>
    </w:div>
    <w:div w:id="866529924">
      <w:bodyDiv w:val="1"/>
      <w:marLeft w:val="0"/>
      <w:marRight w:val="0"/>
      <w:marTop w:val="0"/>
      <w:marBottom w:val="0"/>
      <w:divBdr>
        <w:top w:val="none" w:sz="0" w:space="0" w:color="auto"/>
        <w:left w:val="none" w:sz="0" w:space="0" w:color="auto"/>
        <w:bottom w:val="none" w:sz="0" w:space="0" w:color="auto"/>
        <w:right w:val="none" w:sz="0" w:space="0" w:color="auto"/>
      </w:divBdr>
    </w:div>
    <w:div w:id="1177227434">
      <w:bodyDiv w:val="1"/>
      <w:marLeft w:val="0"/>
      <w:marRight w:val="0"/>
      <w:marTop w:val="0"/>
      <w:marBottom w:val="0"/>
      <w:divBdr>
        <w:top w:val="none" w:sz="0" w:space="0" w:color="auto"/>
        <w:left w:val="none" w:sz="0" w:space="0" w:color="auto"/>
        <w:bottom w:val="none" w:sz="0" w:space="0" w:color="auto"/>
        <w:right w:val="none" w:sz="0" w:space="0" w:color="auto"/>
      </w:divBdr>
      <w:divsChild>
        <w:div w:id="1789811716">
          <w:marLeft w:val="1440"/>
          <w:marRight w:val="1440"/>
          <w:marTop w:val="1440"/>
          <w:marBottom w:val="1440"/>
          <w:divBdr>
            <w:top w:val="none" w:sz="0" w:space="0" w:color="auto"/>
            <w:left w:val="none" w:sz="0" w:space="0" w:color="auto"/>
            <w:bottom w:val="none" w:sz="0" w:space="0" w:color="auto"/>
            <w:right w:val="none" w:sz="0" w:space="0" w:color="auto"/>
          </w:divBdr>
        </w:div>
      </w:divsChild>
    </w:div>
    <w:div w:id="1280182024">
      <w:bodyDiv w:val="1"/>
      <w:marLeft w:val="0"/>
      <w:marRight w:val="0"/>
      <w:marTop w:val="0"/>
      <w:marBottom w:val="0"/>
      <w:divBdr>
        <w:top w:val="none" w:sz="0" w:space="0" w:color="auto"/>
        <w:left w:val="none" w:sz="0" w:space="0" w:color="auto"/>
        <w:bottom w:val="none" w:sz="0" w:space="0" w:color="auto"/>
        <w:right w:val="none" w:sz="0" w:space="0" w:color="auto"/>
      </w:divBdr>
    </w:div>
    <w:div w:id="1613902910">
      <w:bodyDiv w:val="1"/>
      <w:marLeft w:val="0"/>
      <w:marRight w:val="0"/>
      <w:marTop w:val="0"/>
      <w:marBottom w:val="0"/>
      <w:divBdr>
        <w:top w:val="none" w:sz="0" w:space="0" w:color="auto"/>
        <w:left w:val="none" w:sz="0" w:space="0" w:color="auto"/>
        <w:bottom w:val="none" w:sz="0" w:space="0" w:color="auto"/>
        <w:right w:val="none" w:sz="0" w:space="0" w:color="auto"/>
      </w:divBdr>
    </w:div>
    <w:div w:id="1677656675">
      <w:bodyDiv w:val="1"/>
      <w:marLeft w:val="0"/>
      <w:marRight w:val="0"/>
      <w:marTop w:val="0"/>
      <w:marBottom w:val="0"/>
      <w:divBdr>
        <w:top w:val="none" w:sz="0" w:space="0" w:color="auto"/>
        <w:left w:val="none" w:sz="0" w:space="0" w:color="auto"/>
        <w:bottom w:val="none" w:sz="0" w:space="0" w:color="auto"/>
        <w:right w:val="none" w:sz="0" w:space="0" w:color="auto"/>
      </w:divBdr>
    </w:div>
    <w:div w:id="1749883648">
      <w:bodyDiv w:val="1"/>
      <w:marLeft w:val="0"/>
      <w:marRight w:val="0"/>
      <w:marTop w:val="0"/>
      <w:marBottom w:val="0"/>
      <w:divBdr>
        <w:top w:val="none" w:sz="0" w:space="0" w:color="auto"/>
        <w:left w:val="none" w:sz="0" w:space="0" w:color="auto"/>
        <w:bottom w:val="none" w:sz="0" w:space="0" w:color="auto"/>
        <w:right w:val="none" w:sz="0" w:space="0" w:color="auto"/>
      </w:divBdr>
      <w:divsChild>
        <w:div w:id="552619027">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hpgroup.co.uk/investo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B5AD5-2F22-48B2-ADF7-9E5D7FAB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615</Words>
  <Characters>3169</Characters>
  <Application>Microsoft Office Word</Application>
  <DocSecurity>0</DocSecurity>
  <Lines>67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Byrne</dc:creator>
  <cp:keywords/>
  <dc:description/>
  <cp:lastModifiedBy>Paul Wright</cp:lastModifiedBy>
  <cp:revision>3</cp:revision>
  <dcterms:created xsi:type="dcterms:W3CDTF">2021-01-04T11:09:00Z</dcterms:created>
  <dcterms:modified xsi:type="dcterms:W3CDTF">2021-01-04T11:15:00Z</dcterms:modified>
</cp:coreProperties>
</file>