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419" w14:textId="276F8580" w:rsidR="00C26A78" w:rsidRPr="00617015" w:rsidRDefault="00FE10D2" w:rsidP="0061701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April 2027</w:t>
      </w:r>
    </w:p>
    <w:p w14:paraId="5FE5DAE5" w14:textId="553EF428" w:rsidR="00C26A78" w:rsidRDefault="00C26A78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2F5C59">
        <w:rPr>
          <w:rFonts w:ascii="Arial" w:hAnsi="Arial" w:cs="Arial"/>
          <w:b/>
        </w:rPr>
        <w:t>Primary Health Properties PLC</w:t>
      </w:r>
    </w:p>
    <w:p w14:paraId="6B2995FE" w14:textId="77777777" w:rsidR="002D6D8A" w:rsidRDefault="002D6D8A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100B7EE7" w14:textId="356C2DF5" w:rsidR="00C26A78" w:rsidRDefault="00C26A78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Results of AGM voting</w:t>
      </w:r>
    </w:p>
    <w:p w14:paraId="122BCD13" w14:textId="77777777" w:rsidR="002D6D8A" w:rsidRPr="002F5C59" w:rsidRDefault="002D6D8A" w:rsidP="0061701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24101320" w14:textId="4A2276A4" w:rsidR="00C26A78" w:rsidRDefault="00C26A78" w:rsidP="001A1BE0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Health Properties PLC (the</w:t>
      </w:r>
      <w:r w:rsidR="009279D6" w:rsidRPr="00C26A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9279D6" w:rsidRPr="00C26A78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”</w:t>
      </w:r>
      <w:r w:rsidR="00CD1F49">
        <w:rPr>
          <w:rFonts w:ascii="Arial" w:hAnsi="Arial" w:cs="Arial"/>
          <w:sz w:val="20"/>
          <w:szCs w:val="20"/>
        </w:rPr>
        <w:t xml:space="preserve"> or “PHP”)</w:t>
      </w:r>
      <w:r>
        <w:rPr>
          <w:rFonts w:ascii="Arial" w:hAnsi="Arial" w:cs="Arial"/>
          <w:sz w:val="20"/>
          <w:szCs w:val="20"/>
        </w:rPr>
        <w:t>)</w:t>
      </w:r>
      <w:r w:rsidR="009279D6" w:rsidRPr="00C26A78">
        <w:rPr>
          <w:rFonts w:ascii="Arial" w:hAnsi="Arial" w:cs="Arial"/>
          <w:sz w:val="20"/>
          <w:szCs w:val="20"/>
        </w:rPr>
        <w:t xml:space="preserve"> announces that at the Annual General Meeting of the Company held today </w:t>
      </w:r>
      <w:r w:rsidR="009369B3">
        <w:rPr>
          <w:rFonts w:ascii="Arial" w:hAnsi="Arial" w:cs="Arial"/>
          <w:sz w:val="20"/>
          <w:szCs w:val="20"/>
        </w:rPr>
        <w:t>27 April 2022</w:t>
      </w:r>
      <w:r w:rsidR="009279D6" w:rsidRPr="00C26A78">
        <w:rPr>
          <w:rFonts w:ascii="Arial" w:hAnsi="Arial" w:cs="Arial"/>
          <w:sz w:val="20"/>
          <w:szCs w:val="20"/>
        </w:rPr>
        <w:t>, all of the resolutions, as set out in full in the Notice of Meeting, were duly passed</w:t>
      </w:r>
      <w:r>
        <w:rPr>
          <w:rFonts w:ascii="Arial" w:hAnsi="Arial" w:cs="Arial"/>
          <w:sz w:val="20"/>
          <w:szCs w:val="20"/>
        </w:rPr>
        <w:t xml:space="preserve"> on a poll by the requisite majority.  </w:t>
      </w:r>
    </w:p>
    <w:p w14:paraId="17BA76BD" w14:textId="77777777" w:rsidR="009279D6" w:rsidRPr="00C26A78" w:rsidRDefault="00C26A78" w:rsidP="001A1BE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proxy votes which were at the discretion of the Chairman have been included in the “For” total</w:t>
      </w:r>
      <w:r w:rsidR="009279D6" w:rsidRPr="00C26A78">
        <w:rPr>
          <w:rFonts w:ascii="Arial" w:hAnsi="Arial" w:cs="Arial"/>
          <w:sz w:val="20"/>
          <w:szCs w:val="20"/>
        </w:rPr>
        <w:t>.</w:t>
      </w:r>
    </w:p>
    <w:p w14:paraId="6769E868" w14:textId="77777777" w:rsidR="009279D6" w:rsidRPr="00C26A78" w:rsidRDefault="00C26A78" w:rsidP="001A1BE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information the votes cast were as follows</w:t>
      </w:r>
      <w:r w:rsidR="009279D6" w:rsidRPr="00C26A78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709"/>
        <w:gridCol w:w="1134"/>
        <w:gridCol w:w="567"/>
        <w:gridCol w:w="1417"/>
        <w:gridCol w:w="709"/>
        <w:gridCol w:w="1134"/>
      </w:tblGrid>
      <w:tr w:rsidR="00FC14EA" w:rsidRPr="005414F2" w14:paraId="4E85B8AD" w14:textId="721A0346" w:rsidTr="006D4FA7">
        <w:trPr>
          <w:trHeight w:val="397"/>
        </w:trPr>
        <w:tc>
          <w:tcPr>
            <w:tcW w:w="2830" w:type="dxa"/>
            <w:vMerge w:val="restart"/>
          </w:tcPr>
          <w:p w14:paraId="48D865AB" w14:textId="7BB27952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Resolution</w:t>
            </w:r>
          </w:p>
        </w:tc>
        <w:tc>
          <w:tcPr>
            <w:tcW w:w="1985" w:type="dxa"/>
            <w:gridSpan w:val="2"/>
          </w:tcPr>
          <w:p w14:paraId="7BAB8748" w14:textId="40B08C53" w:rsidR="00FC14EA" w:rsidRPr="005414F2" w:rsidRDefault="00FC14EA" w:rsidP="005D54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For (including discretionary)</w:t>
            </w:r>
          </w:p>
        </w:tc>
        <w:tc>
          <w:tcPr>
            <w:tcW w:w="1701" w:type="dxa"/>
            <w:gridSpan w:val="2"/>
          </w:tcPr>
          <w:p w14:paraId="6CFF5F9A" w14:textId="0C163F5A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Against</w:t>
            </w:r>
          </w:p>
        </w:tc>
        <w:tc>
          <w:tcPr>
            <w:tcW w:w="1417" w:type="dxa"/>
          </w:tcPr>
          <w:p w14:paraId="0FB4DEF2" w14:textId="4CC4FABF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Votes Total</w:t>
            </w:r>
          </w:p>
        </w:tc>
        <w:tc>
          <w:tcPr>
            <w:tcW w:w="709" w:type="dxa"/>
          </w:tcPr>
          <w:p w14:paraId="2E333ED1" w14:textId="4D44112A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of ISC Voted</w:t>
            </w:r>
          </w:p>
        </w:tc>
        <w:tc>
          <w:tcPr>
            <w:tcW w:w="1134" w:type="dxa"/>
          </w:tcPr>
          <w:p w14:paraId="1C038804" w14:textId="0B97E80D" w:rsidR="00FC14EA" w:rsidRPr="005414F2" w:rsidRDefault="00FC14EA" w:rsidP="007610EC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Withheld</w:t>
            </w:r>
            <w:r w:rsidRPr="005414F2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</w:tr>
      <w:tr w:rsidR="00FC14EA" w:rsidRPr="005414F2" w14:paraId="526E1474" w14:textId="77FE4FAA" w:rsidTr="006D4FA7">
        <w:tc>
          <w:tcPr>
            <w:tcW w:w="2830" w:type="dxa"/>
            <w:vMerge/>
          </w:tcPr>
          <w:p w14:paraId="7B0A99AA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B60046" w14:textId="5ABEA9AB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Votes</w:t>
            </w:r>
          </w:p>
        </w:tc>
        <w:tc>
          <w:tcPr>
            <w:tcW w:w="709" w:type="dxa"/>
          </w:tcPr>
          <w:p w14:paraId="41355E76" w14:textId="1735A634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14:paraId="3775B753" w14:textId="4564A3A8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Votes</w:t>
            </w:r>
          </w:p>
        </w:tc>
        <w:tc>
          <w:tcPr>
            <w:tcW w:w="567" w:type="dxa"/>
          </w:tcPr>
          <w:p w14:paraId="3A06B88E" w14:textId="40E7429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417" w:type="dxa"/>
          </w:tcPr>
          <w:p w14:paraId="42CAB0B8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73116" w14:textId="77777777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E2EB6A" w14:textId="738F7818" w:rsidR="00FC14EA" w:rsidRPr="005414F2" w:rsidRDefault="00FC14EA" w:rsidP="005D54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4EA" w:rsidRPr="005414F2" w14:paraId="798D27AB" w14:textId="12D950E1" w:rsidTr="006D4FA7">
        <w:tc>
          <w:tcPr>
            <w:tcW w:w="2830" w:type="dxa"/>
          </w:tcPr>
          <w:p w14:paraId="0E7DE61D" w14:textId="3640F758" w:rsidR="00FC14EA" w:rsidRPr="005414F2" w:rsidRDefault="00FC14EA" w:rsidP="005B6E5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1. to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receive the Annual Accounts and Reports for the year ended 31st December 2021.</w:t>
            </w:r>
          </w:p>
          <w:p w14:paraId="641382E6" w14:textId="6742F355" w:rsidR="00FC14EA" w:rsidRPr="005414F2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91ACCF" w14:textId="49E4948D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935,109,718</w:t>
            </w:r>
          </w:p>
        </w:tc>
        <w:tc>
          <w:tcPr>
            <w:tcW w:w="709" w:type="dxa"/>
          </w:tcPr>
          <w:p w14:paraId="7E9F79AE" w14:textId="20E25AA7" w:rsidR="00FC14EA" w:rsidRPr="00862E3A" w:rsidRDefault="00FC14EA" w:rsidP="005B6E50">
            <w:pPr>
              <w:rPr>
                <w:rFonts w:ascii="Arial" w:hAnsi="Arial" w:cs="Arial"/>
                <w:sz w:val="16"/>
                <w:szCs w:val="16"/>
              </w:rPr>
            </w:pPr>
            <w:r w:rsidRPr="00862E3A"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1134" w:type="dxa"/>
          </w:tcPr>
          <w:p w14:paraId="470C0B69" w14:textId="1F2C646D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18,887</w:t>
            </w:r>
          </w:p>
        </w:tc>
        <w:tc>
          <w:tcPr>
            <w:tcW w:w="567" w:type="dxa"/>
          </w:tcPr>
          <w:p w14:paraId="341E9715" w14:textId="0FCF50A0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  <w:tc>
          <w:tcPr>
            <w:tcW w:w="1417" w:type="dxa"/>
          </w:tcPr>
          <w:p w14:paraId="5F0C2A92" w14:textId="3ED8D93C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935,128,605</w:t>
            </w:r>
          </w:p>
        </w:tc>
        <w:tc>
          <w:tcPr>
            <w:tcW w:w="709" w:type="dxa"/>
          </w:tcPr>
          <w:p w14:paraId="1E8883E0" w14:textId="7E70A7B0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70.13</w:t>
            </w:r>
          </w:p>
        </w:tc>
        <w:tc>
          <w:tcPr>
            <w:tcW w:w="1134" w:type="dxa"/>
          </w:tcPr>
          <w:p w14:paraId="1496D59A" w14:textId="1546E805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942,362</w:t>
            </w:r>
          </w:p>
        </w:tc>
      </w:tr>
      <w:tr w:rsidR="00FC14EA" w:rsidRPr="005414F2" w14:paraId="7BF9B170" w14:textId="4E9D1AF5" w:rsidTr="006D4FA7">
        <w:tc>
          <w:tcPr>
            <w:tcW w:w="2830" w:type="dxa"/>
          </w:tcPr>
          <w:p w14:paraId="1F500BBD" w14:textId="77777777" w:rsidR="00FC14EA" w:rsidRPr="005414F2" w:rsidRDefault="00FC14EA" w:rsidP="005B6E5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to approve the Directors’ remuneration report</w:t>
            </w:r>
          </w:p>
          <w:p w14:paraId="3737CA33" w14:textId="7F489A2F" w:rsidR="00FC14EA" w:rsidRPr="005414F2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54E2C3" w14:textId="38005EA4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928,995,763</w:t>
            </w:r>
          </w:p>
        </w:tc>
        <w:tc>
          <w:tcPr>
            <w:tcW w:w="709" w:type="dxa"/>
          </w:tcPr>
          <w:p w14:paraId="3D8C43AF" w14:textId="159BB5D1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99.27</w:t>
            </w:r>
          </w:p>
        </w:tc>
        <w:tc>
          <w:tcPr>
            <w:tcW w:w="1134" w:type="dxa"/>
          </w:tcPr>
          <w:p w14:paraId="490D5954" w14:textId="42D8F15F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6,846,372</w:t>
            </w:r>
          </w:p>
        </w:tc>
        <w:tc>
          <w:tcPr>
            <w:tcW w:w="567" w:type="dxa"/>
          </w:tcPr>
          <w:p w14:paraId="2028D3AB" w14:textId="0C69845F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1417" w:type="dxa"/>
          </w:tcPr>
          <w:p w14:paraId="129D76E4" w14:textId="4707E303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935,842,135</w:t>
            </w:r>
          </w:p>
        </w:tc>
        <w:tc>
          <w:tcPr>
            <w:tcW w:w="709" w:type="dxa"/>
          </w:tcPr>
          <w:p w14:paraId="5C6698E9" w14:textId="70DC6C97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134" w:type="dxa"/>
          </w:tcPr>
          <w:p w14:paraId="594D0D07" w14:textId="157F4CB8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228,832</w:t>
            </w:r>
          </w:p>
        </w:tc>
      </w:tr>
      <w:tr w:rsidR="00FC14EA" w:rsidRPr="005414F2" w14:paraId="757AC317" w14:textId="750E13A3" w:rsidTr="006D4FA7">
        <w:tc>
          <w:tcPr>
            <w:tcW w:w="2830" w:type="dxa"/>
          </w:tcPr>
          <w:p w14:paraId="6ADAA7AE" w14:textId="60C9F971" w:rsidR="00FC14EA" w:rsidRPr="005414F2" w:rsidRDefault="00FC14EA" w:rsidP="005B6E50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to approve the Company’s dividend policy.</w:t>
            </w:r>
          </w:p>
          <w:p w14:paraId="4F1C96BE" w14:textId="36014C58" w:rsidR="00FC14EA" w:rsidRPr="005414F2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FDA15" w14:textId="131B713F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931,339,651</w:t>
            </w:r>
          </w:p>
        </w:tc>
        <w:tc>
          <w:tcPr>
            <w:tcW w:w="709" w:type="dxa"/>
          </w:tcPr>
          <w:p w14:paraId="3EEE100D" w14:textId="2C9C1B50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99.50</w:t>
            </w:r>
          </w:p>
        </w:tc>
        <w:tc>
          <w:tcPr>
            <w:tcW w:w="1134" w:type="dxa"/>
          </w:tcPr>
          <w:p w14:paraId="4DEA93F2" w14:textId="3E511D2F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4,651,954</w:t>
            </w:r>
          </w:p>
        </w:tc>
        <w:tc>
          <w:tcPr>
            <w:tcW w:w="567" w:type="dxa"/>
          </w:tcPr>
          <w:p w14:paraId="3B3A80DC" w14:textId="71AA75FA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1417" w:type="dxa"/>
          </w:tcPr>
          <w:p w14:paraId="5B81A396" w14:textId="744726B9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935,991,605</w:t>
            </w:r>
          </w:p>
        </w:tc>
        <w:tc>
          <w:tcPr>
            <w:tcW w:w="709" w:type="dxa"/>
          </w:tcPr>
          <w:p w14:paraId="492846BF" w14:textId="24FDD3D2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134" w:type="dxa"/>
          </w:tcPr>
          <w:p w14:paraId="4E6E3882" w14:textId="07352709" w:rsidR="00FC14EA" w:rsidRPr="00FC14EA" w:rsidRDefault="00FC14EA" w:rsidP="005B6E50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79,362</w:t>
            </w:r>
          </w:p>
        </w:tc>
      </w:tr>
      <w:tr w:rsidR="00FC14EA" w:rsidRPr="005414F2" w14:paraId="1ADFC697" w14:textId="7AEC8D2C" w:rsidTr="006D4FA7">
        <w:tc>
          <w:tcPr>
            <w:tcW w:w="2830" w:type="dxa"/>
          </w:tcPr>
          <w:p w14:paraId="67C1031D" w14:textId="4705585D" w:rsidR="00FC14EA" w:rsidRPr="005414F2" w:rsidRDefault="00FC14EA" w:rsidP="00FC14EA">
            <w:pPr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5414F2">
              <w:rPr>
                <w:rFonts w:ascii="Arial" w:eastAsia="Arial" w:hAnsi="Arial" w:cs="Arial"/>
                <w:sz w:val="18"/>
                <w:szCs w:val="18"/>
                <w:lang w:val="en-GB"/>
              </w:rPr>
              <w:t>to approve the re-appointment of Deloitte as auditors</w:t>
            </w:r>
          </w:p>
          <w:p w14:paraId="30C21822" w14:textId="6F59EC09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249ECE" w14:textId="1FFA53DB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928,128,371</w:t>
            </w:r>
          </w:p>
        </w:tc>
        <w:tc>
          <w:tcPr>
            <w:tcW w:w="709" w:type="dxa"/>
          </w:tcPr>
          <w:p w14:paraId="14ECFF22" w14:textId="616FB04E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99.73</w:t>
            </w:r>
          </w:p>
        </w:tc>
        <w:tc>
          <w:tcPr>
            <w:tcW w:w="1134" w:type="dxa"/>
          </w:tcPr>
          <w:p w14:paraId="63047AF7" w14:textId="14CB7F93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2,558,674</w:t>
            </w:r>
          </w:p>
        </w:tc>
        <w:tc>
          <w:tcPr>
            <w:tcW w:w="567" w:type="dxa"/>
          </w:tcPr>
          <w:p w14:paraId="3DEE37BD" w14:textId="5DE9D8B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  <w:tc>
          <w:tcPr>
            <w:tcW w:w="1417" w:type="dxa"/>
          </w:tcPr>
          <w:p w14:paraId="64DC9BA1" w14:textId="6F2B7B5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930,687,045</w:t>
            </w:r>
          </w:p>
        </w:tc>
        <w:tc>
          <w:tcPr>
            <w:tcW w:w="709" w:type="dxa"/>
          </w:tcPr>
          <w:p w14:paraId="0A158EF7" w14:textId="7F5C54F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69.80</w:t>
            </w:r>
          </w:p>
        </w:tc>
        <w:tc>
          <w:tcPr>
            <w:tcW w:w="1134" w:type="dxa"/>
          </w:tcPr>
          <w:p w14:paraId="76DD179D" w14:textId="07023000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5,383,922</w:t>
            </w:r>
          </w:p>
        </w:tc>
      </w:tr>
      <w:tr w:rsidR="00FC14EA" w:rsidRPr="005414F2" w14:paraId="4A82DBD3" w14:textId="33AD1ABC" w:rsidTr="006D4FA7">
        <w:tc>
          <w:tcPr>
            <w:tcW w:w="2830" w:type="dxa"/>
          </w:tcPr>
          <w:p w14:paraId="51629047" w14:textId="4DBCE7D1" w:rsidR="00FC14EA" w:rsidRPr="005414F2" w:rsidRDefault="00FC14EA" w:rsidP="00FC14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proofErr w:type="spellStart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authorised</w:t>
            </w:r>
            <w:proofErr w:type="spellEnd"/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audit committee to fix the auditors’ remuneration.</w:t>
            </w:r>
          </w:p>
          <w:p w14:paraId="4D2FCF18" w14:textId="4CED9464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28A33D" w14:textId="5FCDEE00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933,505,227</w:t>
            </w:r>
          </w:p>
        </w:tc>
        <w:tc>
          <w:tcPr>
            <w:tcW w:w="709" w:type="dxa"/>
          </w:tcPr>
          <w:p w14:paraId="380B2018" w14:textId="7A3071A1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99.74</w:t>
            </w:r>
          </w:p>
        </w:tc>
        <w:tc>
          <w:tcPr>
            <w:tcW w:w="1134" w:type="dxa"/>
          </w:tcPr>
          <w:p w14:paraId="1DDB16C2" w14:textId="2F842274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2,459,715</w:t>
            </w:r>
          </w:p>
        </w:tc>
        <w:tc>
          <w:tcPr>
            <w:tcW w:w="567" w:type="dxa"/>
          </w:tcPr>
          <w:p w14:paraId="7904C260" w14:textId="7B2A8471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1417" w:type="dxa"/>
          </w:tcPr>
          <w:p w14:paraId="2C4B4A88" w14:textId="2927EE1F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935,964,942</w:t>
            </w:r>
          </w:p>
        </w:tc>
        <w:tc>
          <w:tcPr>
            <w:tcW w:w="709" w:type="dxa"/>
          </w:tcPr>
          <w:p w14:paraId="267D9FFE" w14:textId="1435733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134" w:type="dxa"/>
          </w:tcPr>
          <w:p w14:paraId="46A1DC07" w14:textId="3D9B865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106,025</w:t>
            </w:r>
          </w:p>
        </w:tc>
      </w:tr>
      <w:tr w:rsidR="00FC14EA" w:rsidRPr="005414F2" w14:paraId="55FE4289" w14:textId="554644E5" w:rsidTr="006D4FA7">
        <w:tc>
          <w:tcPr>
            <w:tcW w:w="2830" w:type="dxa"/>
          </w:tcPr>
          <w:p w14:paraId="276DF26C" w14:textId="64E0E76E" w:rsidR="00FC14EA" w:rsidRPr="005414F2" w:rsidRDefault="00FC14EA" w:rsidP="00FC14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to re- appoint Steven Owen as a Director.</w:t>
            </w:r>
          </w:p>
          <w:p w14:paraId="2A4EC9D5" w14:textId="548FB05E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A1BE75" w14:textId="064BE16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897,133,741</w:t>
            </w:r>
          </w:p>
        </w:tc>
        <w:tc>
          <w:tcPr>
            <w:tcW w:w="709" w:type="dxa"/>
          </w:tcPr>
          <w:p w14:paraId="77144C51" w14:textId="2813BA03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95.86</w:t>
            </w:r>
          </w:p>
        </w:tc>
        <w:tc>
          <w:tcPr>
            <w:tcW w:w="1134" w:type="dxa"/>
          </w:tcPr>
          <w:p w14:paraId="60C0BA02" w14:textId="17D3CD6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38,749,322</w:t>
            </w:r>
          </w:p>
        </w:tc>
        <w:tc>
          <w:tcPr>
            <w:tcW w:w="567" w:type="dxa"/>
          </w:tcPr>
          <w:p w14:paraId="5CACBEDC" w14:textId="337B806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1417" w:type="dxa"/>
          </w:tcPr>
          <w:p w14:paraId="73150052" w14:textId="23F98154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935,883,063</w:t>
            </w:r>
          </w:p>
        </w:tc>
        <w:tc>
          <w:tcPr>
            <w:tcW w:w="709" w:type="dxa"/>
          </w:tcPr>
          <w:p w14:paraId="221A912D" w14:textId="6191977C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134" w:type="dxa"/>
          </w:tcPr>
          <w:p w14:paraId="6A22D97B" w14:textId="691E6B6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187,904</w:t>
            </w:r>
          </w:p>
        </w:tc>
      </w:tr>
      <w:tr w:rsidR="00FC14EA" w:rsidRPr="005414F2" w14:paraId="6AAD0B26" w14:textId="0C7361C3" w:rsidTr="006D4FA7">
        <w:tc>
          <w:tcPr>
            <w:tcW w:w="2830" w:type="dxa"/>
          </w:tcPr>
          <w:p w14:paraId="438BE281" w14:textId="68DC5B45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7. to re-elect Harry Hyman as a Director.</w:t>
            </w:r>
          </w:p>
          <w:p w14:paraId="6424A369" w14:textId="0B728603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9DD5D3" w14:textId="4A82F73C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861,912,254</w:t>
            </w:r>
          </w:p>
        </w:tc>
        <w:tc>
          <w:tcPr>
            <w:tcW w:w="709" w:type="dxa"/>
          </w:tcPr>
          <w:p w14:paraId="7E20E1F4" w14:textId="1D538959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92.09</w:t>
            </w:r>
          </w:p>
        </w:tc>
        <w:tc>
          <w:tcPr>
            <w:tcW w:w="1134" w:type="dxa"/>
          </w:tcPr>
          <w:p w14:paraId="4E8959D5" w14:textId="28C8D8E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74,042,970</w:t>
            </w:r>
          </w:p>
        </w:tc>
        <w:tc>
          <w:tcPr>
            <w:tcW w:w="567" w:type="dxa"/>
          </w:tcPr>
          <w:p w14:paraId="06481487" w14:textId="3C36BB6A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1417" w:type="dxa"/>
          </w:tcPr>
          <w:p w14:paraId="0FA7332E" w14:textId="1AC097A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935,955,224</w:t>
            </w:r>
          </w:p>
        </w:tc>
        <w:tc>
          <w:tcPr>
            <w:tcW w:w="709" w:type="dxa"/>
          </w:tcPr>
          <w:p w14:paraId="6A4F6F44" w14:textId="296D6B1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134" w:type="dxa"/>
          </w:tcPr>
          <w:p w14:paraId="164831D9" w14:textId="7271959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115,743</w:t>
            </w:r>
          </w:p>
        </w:tc>
      </w:tr>
      <w:tr w:rsidR="00FC14EA" w:rsidRPr="005414F2" w14:paraId="51EC7738" w14:textId="0772EFE2" w:rsidTr="006D4FA7">
        <w:tc>
          <w:tcPr>
            <w:tcW w:w="2830" w:type="dxa"/>
          </w:tcPr>
          <w:p w14:paraId="71813DE8" w14:textId="5094AEEC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8. to re-elect Richard Howell as a Director.</w:t>
            </w:r>
          </w:p>
          <w:p w14:paraId="32A44E4C" w14:textId="11547E62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5C7613" w14:textId="64C2B70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930,036,485</w:t>
            </w:r>
          </w:p>
        </w:tc>
        <w:tc>
          <w:tcPr>
            <w:tcW w:w="709" w:type="dxa"/>
          </w:tcPr>
          <w:p w14:paraId="4A2AA725" w14:textId="1CF3BF51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99.37</w:t>
            </w:r>
          </w:p>
        </w:tc>
        <w:tc>
          <w:tcPr>
            <w:tcW w:w="1134" w:type="dxa"/>
          </w:tcPr>
          <w:p w14:paraId="615B1406" w14:textId="4DFF3601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5,849,568</w:t>
            </w:r>
          </w:p>
        </w:tc>
        <w:tc>
          <w:tcPr>
            <w:tcW w:w="567" w:type="dxa"/>
          </w:tcPr>
          <w:p w14:paraId="7E1C255C" w14:textId="52C7AB50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1417" w:type="dxa"/>
          </w:tcPr>
          <w:p w14:paraId="233A1465" w14:textId="51040BEE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935,886,053</w:t>
            </w:r>
          </w:p>
        </w:tc>
        <w:tc>
          <w:tcPr>
            <w:tcW w:w="709" w:type="dxa"/>
          </w:tcPr>
          <w:p w14:paraId="4F724AF5" w14:textId="65B1C1D8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134" w:type="dxa"/>
          </w:tcPr>
          <w:p w14:paraId="18D22BF1" w14:textId="1C898B1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184,914</w:t>
            </w:r>
          </w:p>
        </w:tc>
      </w:tr>
      <w:tr w:rsidR="00FC14EA" w:rsidRPr="005414F2" w14:paraId="51683272" w14:textId="6C271233" w:rsidTr="006D4FA7">
        <w:tc>
          <w:tcPr>
            <w:tcW w:w="2830" w:type="dxa"/>
          </w:tcPr>
          <w:p w14:paraId="76AA9DC9" w14:textId="7F738D07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9. To re-elect Laure </w:t>
            </w:r>
            <w:proofErr w:type="spellStart"/>
            <w:r w:rsidRPr="005414F2">
              <w:rPr>
                <w:rFonts w:ascii="Arial" w:hAnsi="Arial" w:cs="Arial"/>
                <w:sz w:val="18"/>
                <w:szCs w:val="18"/>
              </w:rPr>
              <w:t>Duhot</w:t>
            </w:r>
            <w:proofErr w:type="spellEnd"/>
            <w:r w:rsidRPr="005414F2">
              <w:rPr>
                <w:rFonts w:ascii="Arial" w:hAnsi="Arial" w:cs="Arial"/>
                <w:sz w:val="18"/>
                <w:szCs w:val="18"/>
              </w:rPr>
              <w:t xml:space="preserve"> as a Director.</w:t>
            </w:r>
          </w:p>
          <w:p w14:paraId="620B938F" w14:textId="14861399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128B860" w14:textId="4E669CBA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927,683,385</w:t>
            </w:r>
          </w:p>
        </w:tc>
        <w:tc>
          <w:tcPr>
            <w:tcW w:w="709" w:type="dxa"/>
          </w:tcPr>
          <w:p w14:paraId="42363C80" w14:textId="519757EC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99.12</w:t>
            </w:r>
          </w:p>
        </w:tc>
        <w:tc>
          <w:tcPr>
            <w:tcW w:w="1134" w:type="dxa"/>
          </w:tcPr>
          <w:p w14:paraId="35BBDDA2" w14:textId="3614D619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8,214,963</w:t>
            </w:r>
          </w:p>
        </w:tc>
        <w:tc>
          <w:tcPr>
            <w:tcW w:w="567" w:type="dxa"/>
          </w:tcPr>
          <w:p w14:paraId="03324F3F" w14:textId="58663CFF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  <w:tc>
          <w:tcPr>
            <w:tcW w:w="1417" w:type="dxa"/>
          </w:tcPr>
          <w:p w14:paraId="0CE14352" w14:textId="653EDA27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935,898,348</w:t>
            </w:r>
          </w:p>
        </w:tc>
        <w:tc>
          <w:tcPr>
            <w:tcW w:w="709" w:type="dxa"/>
          </w:tcPr>
          <w:p w14:paraId="4E686017" w14:textId="6F6664AA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134" w:type="dxa"/>
          </w:tcPr>
          <w:p w14:paraId="3C16CAA0" w14:textId="79C1639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172,619</w:t>
            </w:r>
          </w:p>
        </w:tc>
      </w:tr>
      <w:tr w:rsidR="00FC14EA" w:rsidRPr="005414F2" w14:paraId="3012FFCD" w14:textId="2F6856C1" w:rsidTr="006D4FA7">
        <w:tc>
          <w:tcPr>
            <w:tcW w:w="2830" w:type="dxa"/>
          </w:tcPr>
          <w:p w14:paraId="28247AA4" w14:textId="17B94F54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10 To re-elect Ian Krieger as a Director.</w:t>
            </w:r>
          </w:p>
          <w:p w14:paraId="0CA583B4" w14:textId="5C223A53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BA4BA9" w14:textId="76F723B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890,315,679</w:t>
            </w:r>
          </w:p>
        </w:tc>
        <w:tc>
          <w:tcPr>
            <w:tcW w:w="709" w:type="dxa"/>
          </w:tcPr>
          <w:p w14:paraId="39F55FDF" w14:textId="02214FD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95.14</w:t>
            </w:r>
          </w:p>
        </w:tc>
        <w:tc>
          <w:tcPr>
            <w:tcW w:w="1134" w:type="dxa"/>
          </w:tcPr>
          <w:p w14:paraId="156BC0CF" w14:textId="53018FD9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45,518,728</w:t>
            </w:r>
          </w:p>
        </w:tc>
        <w:tc>
          <w:tcPr>
            <w:tcW w:w="567" w:type="dxa"/>
          </w:tcPr>
          <w:p w14:paraId="61D09406" w14:textId="7DF86B5F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4.86</w:t>
            </w:r>
          </w:p>
        </w:tc>
        <w:tc>
          <w:tcPr>
            <w:tcW w:w="1417" w:type="dxa"/>
          </w:tcPr>
          <w:p w14:paraId="1160E2A1" w14:textId="3E3C0FC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935,834,407</w:t>
            </w:r>
          </w:p>
        </w:tc>
        <w:tc>
          <w:tcPr>
            <w:tcW w:w="709" w:type="dxa"/>
          </w:tcPr>
          <w:p w14:paraId="19B3D07F" w14:textId="4630CEDC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70.19</w:t>
            </w:r>
          </w:p>
        </w:tc>
        <w:tc>
          <w:tcPr>
            <w:tcW w:w="1134" w:type="dxa"/>
          </w:tcPr>
          <w:p w14:paraId="19CB8751" w14:textId="1F445CA1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236,560</w:t>
            </w:r>
          </w:p>
        </w:tc>
      </w:tr>
      <w:tr w:rsidR="00FC14EA" w:rsidRPr="005414F2" w14:paraId="2FCE7D50" w14:textId="1398C0C3" w:rsidTr="006D4FA7">
        <w:tc>
          <w:tcPr>
            <w:tcW w:w="2830" w:type="dxa"/>
          </w:tcPr>
          <w:p w14:paraId="01139068" w14:textId="77777777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11 To elect Ivonne Cantu as a Director</w:t>
            </w:r>
          </w:p>
          <w:p w14:paraId="73C994A6" w14:textId="34C4E861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5886EA" w14:textId="626FEDEF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803,831,743</w:t>
            </w:r>
          </w:p>
        </w:tc>
        <w:tc>
          <w:tcPr>
            <w:tcW w:w="709" w:type="dxa"/>
          </w:tcPr>
          <w:p w14:paraId="3A3C73FC" w14:textId="7B07CC6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90.12</w:t>
            </w:r>
          </w:p>
        </w:tc>
        <w:tc>
          <w:tcPr>
            <w:tcW w:w="1134" w:type="dxa"/>
          </w:tcPr>
          <w:p w14:paraId="3C3A4E22" w14:textId="753A734C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88,119,981</w:t>
            </w:r>
          </w:p>
        </w:tc>
        <w:tc>
          <w:tcPr>
            <w:tcW w:w="567" w:type="dxa"/>
          </w:tcPr>
          <w:p w14:paraId="23D4420C" w14:textId="5E6614A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9.88</w:t>
            </w:r>
          </w:p>
        </w:tc>
        <w:tc>
          <w:tcPr>
            <w:tcW w:w="1417" w:type="dxa"/>
          </w:tcPr>
          <w:p w14:paraId="381516CF" w14:textId="0D326598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891,951,724</w:t>
            </w:r>
          </w:p>
        </w:tc>
        <w:tc>
          <w:tcPr>
            <w:tcW w:w="709" w:type="dxa"/>
          </w:tcPr>
          <w:p w14:paraId="4956E147" w14:textId="597CA690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66.90</w:t>
            </w:r>
          </w:p>
        </w:tc>
        <w:tc>
          <w:tcPr>
            <w:tcW w:w="1134" w:type="dxa"/>
          </w:tcPr>
          <w:p w14:paraId="20F69C14" w14:textId="1C989D90" w:rsidR="00FC14EA" w:rsidRPr="006D4FA7" w:rsidRDefault="00FC14EA" w:rsidP="00FC14EA">
            <w:pPr>
              <w:rPr>
                <w:rFonts w:ascii="Arial" w:hAnsi="Arial" w:cs="Arial"/>
                <w:sz w:val="16"/>
                <w:szCs w:val="16"/>
              </w:rPr>
            </w:pPr>
            <w:r w:rsidRPr="006D4FA7">
              <w:rPr>
                <w:rFonts w:ascii="Arial" w:hAnsi="Arial" w:cs="Arial"/>
                <w:sz w:val="16"/>
                <w:szCs w:val="16"/>
              </w:rPr>
              <w:t>44,119,243</w:t>
            </w:r>
          </w:p>
        </w:tc>
      </w:tr>
      <w:tr w:rsidR="00FC14EA" w:rsidRPr="005414F2" w14:paraId="0C20A834" w14:textId="199D6186" w:rsidTr="006D4FA7">
        <w:tc>
          <w:tcPr>
            <w:tcW w:w="2830" w:type="dxa"/>
          </w:tcPr>
          <w:p w14:paraId="124F67CD" w14:textId="0290DAFB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12. </w:t>
            </w:r>
            <w:r w:rsidR="00837044">
              <w:rPr>
                <w:rFonts w:ascii="Arial" w:hAnsi="Arial" w:cs="Arial"/>
                <w:sz w:val="18"/>
                <w:szCs w:val="18"/>
              </w:rPr>
              <w:t>to authorise the making of political donations</w:t>
            </w:r>
          </w:p>
          <w:p w14:paraId="126DD2E1" w14:textId="1EBB4B95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3FBF68" w14:textId="684A3D7D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906,125,354</w:t>
            </w:r>
          </w:p>
        </w:tc>
        <w:tc>
          <w:tcPr>
            <w:tcW w:w="709" w:type="dxa"/>
          </w:tcPr>
          <w:p w14:paraId="1A9EBF11" w14:textId="0325D2A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96.83</w:t>
            </w:r>
          </w:p>
        </w:tc>
        <w:tc>
          <w:tcPr>
            <w:tcW w:w="1134" w:type="dxa"/>
          </w:tcPr>
          <w:p w14:paraId="5714B130" w14:textId="5D0E4BBE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29,638,813</w:t>
            </w:r>
          </w:p>
        </w:tc>
        <w:tc>
          <w:tcPr>
            <w:tcW w:w="567" w:type="dxa"/>
          </w:tcPr>
          <w:p w14:paraId="4FDE5940" w14:textId="087CAF64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1417" w:type="dxa"/>
          </w:tcPr>
          <w:p w14:paraId="00B97C40" w14:textId="3261410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935,764,167</w:t>
            </w:r>
          </w:p>
        </w:tc>
        <w:tc>
          <w:tcPr>
            <w:tcW w:w="709" w:type="dxa"/>
          </w:tcPr>
          <w:p w14:paraId="07332EAA" w14:textId="1E0EB79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1134" w:type="dxa"/>
          </w:tcPr>
          <w:p w14:paraId="2012CBC9" w14:textId="5088FFAF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306,800</w:t>
            </w:r>
          </w:p>
        </w:tc>
      </w:tr>
      <w:tr w:rsidR="00FC14EA" w:rsidRPr="005414F2" w14:paraId="4C644C78" w14:textId="037A176F" w:rsidTr="006D4FA7">
        <w:tc>
          <w:tcPr>
            <w:tcW w:w="2830" w:type="dxa"/>
          </w:tcPr>
          <w:p w14:paraId="7AB988B7" w14:textId="26DF0F12" w:rsidR="00FC14EA" w:rsidRPr="005414F2" w:rsidRDefault="00FC14EA" w:rsidP="00FC14E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 xml:space="preserve">13. </w:t>
            </w:r>
            <w:r w:rsidR="00837044" w:rsidRPr="005414F2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="00837044">
              <w:rPr>
                <w:rFonts w:ascii="Arial" w:hAnsi="Arial" w:cs="Arial"/>
                <w:sz w:val="18"/>
                <w:szCs w:val="18"/>
              </w:rPr>
              <w:t>renew the scrip dividend scheme</w:t>
            </w:r>
            <w:r w:rsidR="00837044" w:rsidRPr="005414F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6DC49BA" w14:textId="1FF4504E" w:rsidR="00FC14EA" w:rsidRPr="005414F2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054168" w14:textId="36E6F4C2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935,831,387</w:t>
            </w:r>
          </w:p>
        </w:tc>
        <w:tc>
          <w:tcPr>
            <w:tcW w:w="709" w:type="dxa"/>
          </w:tcPr>
          <w:p w14:paraId="50AB0EA5" w14:textId="55488A05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134" w:type="dxa"/>
          </w:tcPr>
          <w:p w14:paraId="4D5D9DF1" w14:textId="5AE3CFF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118,216</w:t>
            </w:r>
          </w:p>
        </w:tc>
        <w:tc>
          <w:tcPr>
            <w:tcW w:w="567" w:type="dxa"/>
          </w:tcPr>
          <w:p w14:paraId="1B8103C4" w14:textId="70ADEAA7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417" w:type="dxa"/>
          </w:tcPr>
          <w:p w14:paraId="451EA9C1" w14:textId="5B100426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935,949,603</w:t>
            </w:r>
          </w:p>
        </w:tc>
        <w:tc>
          <w:tcPr>
            <w:tcW w:w="709" w:type="dxa"/>
          </w:tcPr>
          <w:p w14:paraId="6739EA46" w14:textId="35A59DBB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134" w:type="dxa"/>
          </w:tcPr>
          <w:p w14:paraId="3F7A282E" w14:textId="652D7B1A" w:rsidR="00FC14EA" w:rsidRPr="00FC14EA" w:rsidRDefault="00FC14EA" w:rsidP="00FC14EA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121,364</w:t>
            </w:r>
          </w:p>
        </w:tc>
      </w:tr>
      <w:tr w:rsidR="00837044" w:rsidRPr="005414F2" w14:paraId="0DD532B5" w14:textId="57F4C6E0" w:rsidTr="006D4FA7">
        <w:tc>
          <w:tcPr>
            <w:tcW w:w="2830" w:type="dxa"/>
          </w:tcPr>
          <w:p w14:paraId="4D014AFC" w14:textId="516A2E53" w:rsidR="00837044" w:rsidRPr="005414F2" w:rsidRDefault="00837044" w:rsidP="008370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to give the directors authority to issue shares.*</w:t>
            </w:r>
          </w:p>
          <w:p w14:paraId="71D2AAAD" w14:textId="591D2C89" w:rsidR="00837044" w:rsidRPr="005414F2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EAA589" w14:textId="1870E32F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874,220,705</w:t>
            </w:r>
          </w:p>
        </w:tc>
        <w:tc>
          <w:tcPr>
            <w:tcW w:w="709" w:type="dxa"/>
          </w:tcPr>
          <w:p w14:paraId="79DD47D1" w14:textId="3DC84583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93.99</w:t>
            </w:r>
          </w:p>
        </w:tc>
        <w:tc>
          <w:tcPr>
            <w:tcW w:w="1134" w:type="dxa"/>
          </w:tcPr>
          <w:p w14:paraId="39190EF8" w14:textId="471F8F5A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55,928,522</w:t>
            </w:r>
          </w:p>
        </w:tc>
        <w:tc>
          <w:tcPr>
            <w:tcW w:w="567" w:type="dxa"/>
          </w:tcPr>
          <w:p w14:paraId="11600541" w14:textId="20CB4497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6.01</w:t>
            </w:r>
          </w:p>
        </w:tc>
        <w:tc>
          <w:tcPr>
            <w:tcW w:w="1417" w:type="dxa"/>
          </w:tcPr>
          <w:p w14:paraId="2D39CFE1" w14:textId="311326FA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930,149,227</w:t>
            </w:r>
          </w:p>
        </w:tc>
        <w:tc>
          <w:tcPr>
            <w:tcW w:w="709" w:type="dxa"/>
          </w:tcPr>
          <w:p w14:paraId="50FDD7F9" w14:textId="2DA0D72A" w:rsidR="00837044" w:rsidRPr="00FC14EA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69.76</w:t>
            </w:r>
          </w:p>
        </w:tc>
        <w:tc>
          <w:tcPr>
            <w:tcW w:w="1134" w:type="dxa"/>
          </w:tcPr>
          <w:p w14:paraId="2BB65B31" w14:textId="3858FDAE" w:rsidR="00837044" w:rsidRPr="006D4FA7" w:rsidRDefault="00837044" w:rsidP="00837044">
            <w:pPr>
              <w:rPr>
                <w:rFonts w:ascii="Arial" w:hAnsi="Arial" w:cs="Arial"/>
                <w:sz w:val="16"/>
                <w:szCs w:val="16"/>
              </w:rPr>
            </w:pPr>
            <w:r w:rsidRPr="006D4FA7">
              <w:rPr>
                <w:rFonts w:ascii="Arial" w:hAnsi="Arial" w:cs="Arial"/>
                <w:sz w:val="16"/>
                <w:szCs w:val="16"/>
              </w:rPr>
              <w:t>5,921,740</w:t>
            </w:r>
          </w:p>
        </w:tc>
      </w:tr>
      <w:tr w:rsidR="00837044" w:rsidRPr="005414F2" w14:paraId="77DCF294" w14:textId="77777777" w:rsidTr="006D4FA7">
        <w:tc>
          <w:tcPr>
            <w:tcW w:w="2830" w:type="dxa"/>
          </w:tcPr>
          <w:p w14:paraId="22012D27" w14:textId="10E8C8D4" w:rsidR="00837044" w:rsidRPr="005414F2" w:rsidRDefault="00837044" w:rsidP="008370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4F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5414F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5414F2">
              <w:rPr>
                <w:rFonts w:ascii="Arial" w:hAnsi="Arial" w:cs="Arial"/>
                <w:color w:val="000000"/>
                <w:sz w:val="18"/>
                <w:szCs w:val="18"/>
              </w:rPr>
              <w:t>to authorise the directors to disapply pre-emption rights *</w:t>
            </w:r>
          </w:p>
          <w:p w14:paraId="79DC94FF" w14:textId="45A69078" w:rsidR="00837044" w:rsidRPr="005414F2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4CF436" w14:textId="23A70F0B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917,708,189</w:t>
            </w:r>
          </w:p>
        </w:tc>
        <w:tc>
          <w:tcPr>
            <w:tcW w:w="709" w:type="dxa"/>
          </w:tcPr>
          <w:p w14:paraId="09417757" w14:textId="5AF8E81E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98.24</w:t>
            </w:r>
          </w:p>
        </w:tc>
        <w:tc>
          <w:tcPr>
            <w:tcW w:w="1134" w:type="dxa"/>
          </w:tcPr>
          <w:p w14:paraId="2F8BEF2B" w14:textId="19EDBFE9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16,395,699</w:t>
            </w:r>
          </w:p>
        </w:tc>
        <w:tc>
          <w:tcPr>
            <w:tcW w:w="567" w:type="dxa"/>
          </w:tcPr>
          <w:p w14:paraId="2662FEB1" w14:textId="50E80E88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1417" w:type="dxa"/>
          </w:tcPr>
          <w:p w14:paraId="3ED19D60" w14:textId="71825CC8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934,103,888</w:t>
            </w:r>
          </w:p>
        </w:tc>
        <w:tc>
          <w:tcPr>
            <w:tcW w:w="709" w:type="dxa"/>
          </w:tcPr>
          <w:p w14:paraId="0A8F33E2" w14:textId="77532C8A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70.06</w:t>
            </w:r>
          </w:p>
        </w:tc>
        <w:tc>
          <w:tcPr>
            <w:tcW w:w="1134" w:type="dxa"/>
          </w:tcPr>
          <w:p w14:paraId="32C62DEF" w14:textId="5A7E8D80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1,967,079</w:t>
            </w:r>
          </w:p>
        </w:tc>
      </w:tr>
      <w:tr w:rsidR="00837044" w:rsidRPr="005414F2" w14:paraId="71309895" w14:textId="77777777" w:rsidTr="006D4FA7">
        <w:tc>
          <w:tcPr>
            <w:tcW w:w="2830" w:type="dxa"/>
          </w:tcPr>
          <w:p w14:paraId="01649509" w14:textId="6F27D019" w:rsidR="00837044" w:rsidRDefault="00837044" w:rsidP="00837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To disapply pre-emption rights in connection with an acquisition or specified capital investment.*</w:t>
            </w:r>
          </w:p>
        </w:tc>
        <w:tc>
          <w:tcPr>
            <w:tcW w:w="1276" w:type="dxa"/>
          </w:tcPr>
          <w:p w14:paraId="0AB6183F" w14:textId="4407490F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916,570,196</w:t>
            </w:r>
          </w:p>
        </w:tc>
        <w:tc>
          <w:tcPr>
            <w:tcW w:w="709" w:type="dxa"/>
          </w:tcPr>
          <w:p w14:paraId="06CCCF2E" w14:textId="668A8AF4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98.13</w:t>
            </w:r>
          </w:p>
        </w:tc>
        <w:tc>
          <w:tcPr>
            <w:tcW w:w="1134" w:type="dxa"/>
          </w:tcPr>
          <w:p w14:paraId="7A34CFB7" w14:textId="6C01AFEB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17,511,512</w:t>
            </w:r>
          </w:p>
        </w:tc>
        <w:tc>
          <w:tcPr>
            <w:tcW w:w="567" w:type="dxa"/>
          </w:tcPr>
          <w:p w14:paraId="5711AA49" w14:textId="17C6BF30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1417" w:type="dxa"/>
          </w:tcPr>
          <w:p w14:paraId="5BBE8C0F" w14:textId="3EA14ECF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934,081,708</w:t>
            </w:r>
          </w:p>
        </w:tc>
        <w:tc>
          <w:tcPr>
            <w:tcW w:w="709" w:type="dxa"/>
          </w:tcPr>
          <w:p w14:paraId="380FF79D" w14:textId="4CE09F78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70.06</w:t>
            </w:r>
          </w:p>
        </w:tc>
        <w:tc>
          <w:tcPr>
            <w:tcW w:w="1134" w:type="dxa"/>
          </w:tcPr>
          <w:p w14:paraId="579B058B" w14:textId="6F71D38A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1,989,259</w:t>
            </w:r>
          </w:p>
        </w:tc>
      </w:tr>
      <w:tr w:rsidR="00837044" w:rsidRPr="005414F2" w14:paraId="41D5EB98" w14:textId="77777777" w:rsidTr="006D4FA7">
        <w:tc>
          <w:tcPr>
            <w:tcW w:w="2830" w:type="dxa"/>
          </w:tcPr>
          <w:p w14:paraId="58837EC3" w14:textId="43E6FCE5" w:rsidR="00837044" w:rsidRDefault="00837044" w:rsidP="0083704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>to hold general meetings on 14 days notice.*</w:t>
            </w:r>
          </w:p>
          <w:p w14:paraId="58162AF5" w14:textId="77777777" w:rsidR="00837044" w:rsidRDefault="00837044" w:rsidP="0083704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57AE4E6" w14:textId="7CCD45D2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851,686,069</w:t>
            </w:r>
          </w:p>
        </w:tc>
        <w:tc>
          <w:tcPr>
            <w:tcW w:w="709" w:type="dxa"/>
          </w:tcPr>
          <w:p w14:paraId="36AC3AF9" w14:textId="69FC90AF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90.99</w:t>
            </w:r>
          </w:p>
        </w:tc>
        <w:tc>
          <w:tcPr>
            <w:tcW w:w="1134" w:type="dxa"/>
          </w:tcPr>
          <w:p w14:paraId="085F401F" w14:textId="19476C1C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84,298,131</w:t>
            </w:r>
          </w:p>
        </w:tc>
        <w:tc>
          <w:tcPr>
            <w:tcW w:w="567" w:type="dxa"/>
          </w:tcPr>
          <w:p w14:paraId="492B9AAF" w14:textId="640B1C2D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9.01</w:t>
            </w:r>
          </w:p>
        </w:tc>
        <w:tc>
          <w:tcPr>
            <w:tcW w:w="1417" w:type="dxa"/>
          </w:tcPr>
          <w:p w14:paraId="28DA18F9" w14:textId="1944D86C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935,984,200</w:t>
            </w:r>
          </w:p>
        </w:tc>
        <w:tc>
          <w:tcPr>
            <w:tcW w:w="709" w:type="dxa"/>
          </w:tcPr>
          <w:p w14:paraId="51FCC36D" w14:textId="6052A9D1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70.20</w:t>
            </w:r>
          </w:p>
        </w:tc>
        <w:tc>
          <w:tcPr>
            <w:tcW w:w="1134" w:type="dxa"/>
          </w:tcPr>
          <w:p w14:paraId="68E20490" w14:textId="0FBDB50B" w:rsidR="00837044" w:rsidRPr="006D4FA7" w:rsidRDefault="00837044" w:rsidP="00837044">
            <w:pPr>
              <w:rPr>
                <w:rFonts w:ascii="Arial" w:hAnsi="Arial" w:cs="Arial"/>
                <w:sz w:val="18"/>
                <w:szCs w:val="18"/>
              </w:rPr>
            </w:pPr>
            <w:r w:rsidRPr="00FC14EA">
              <w:rPr>
                <w:rFonts w:ascii="Arial" w:hAnsi="Arial" w:cs="Arial"/>
                <w:sz w:val="18"/>
                <w:szCs w:val="18"/>
              </w:rPr>
              <w:t>86,767</w:t>
            </w:r>
          </w:p>
        </w:tc>
      </w:tr>
      <w:tr w:rsidR="00837044" w:rsidRPr="005414F2" w14:paraId="0A9D0FA6" w14:textId="77777777" w:rsidTr="006D4FA7">
        <w:tc>
          <w:tcPr>
            <w:tcW w:w="2830" w:type="dxa"/>
          </w:tcPr>
          <w:p w14:paraId="5F5BA714" w14:textId="4CC5DA6B" w:rsidR="00837044" w:rsidRDefault="00837044" w:rsidP="006D4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to purchase own shares</w:t>
            </w:r>
          </w:p>
        </w:tc>
        <w:tc>
          <w:tcPr>
            <w:tcW w:w="1276" w:type="dxa"/>
          </w:tcPr>
          <w:p w14:paraId="06796720" w14:textId="77777777" w:rsidR="00837044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934,067,318</w:t>
            </w:r>
          </w:p>
          <w:p w14:paraId="5A259D81" w14:textId="0D796DE3" w:rsidR="00237AEC" w:rsidRPr="00FC14EA" w:rsidRDefault="00237AEC" w:rsidP="006D4F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845A3" w14:textId="17518ABF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99.82</w:t>
            </w:r>
          </w:p>
        </w:tc>
        <w:tc>
          <w:tcPr>
            <w:tcW w:w="1134" w:type="dxa"/>
          </w:tcPr>
          <w:p w14:paraId="6E346E01" w14:textId="763D468F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1,721,761</w:t>
            </w:r>
          </w:p>
        </w:tc>
        <w:tc>
          <w:tcPr>
            <w:tcW w:w="567" w:type="dxa"/>
          </w:tcPr>
          <w:p w14:paraId="6C6D1CDD" w14:textId="36998D9A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417" w:type="dxa"/>
          </w:tcPr>
          <w:p w14:paraId="30F937E8" w14:textId="4A9B3A6B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935,789,079</w:t>
            </w:r>
          </w:p>
        </w:tc>
        <w:tc>
          <w:tcPr>
            <w:tcW w:w="709" w:type="dxa"/>
          </w:tcPr>
          <w:p w14:paraId="63E28F3A" w14:textId="7E2785A2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70.18</w:t>
            </w:r>
          </w:p>
        </w:tc>
        <w:tc>
          <w:tcPr>
            <w:tcW w:w="1134" w:type="dxa"/>
          </w:tcPr>
          <w:p w14:paraId="059D9D02" w14:textId="28C0E72D" w:rsidR="00837044" w:rsidRPr="00FC14EA" w:rsidRDefault="00837044" w:rsidP="006D4F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281,888</w:t>
            </w:r>
          </w:p>
        </w:tc>
      </w:tr>
    </w:tbl>
    <w:p w14:paraId="79494161" w14:textId="35143FD9" w:rsidR="009279D6" w:rsidRDefault="009279D6" w:rsidP="007610EC">
      <w:pPr>
        <w:spacing w:after="0"/>
        <w:rPr>
          <w:rFonts w:ascii="Arial" w:hAnsi="Arial" w:cs="Arial"/>
          <w:sz w:val="20"/>
          <w:szCs w:val="20"/>
        </w:rPr>
      </w:pPr>
    </w:p>
    <w:p w14:paraId="0B59EDEE" w14:textId="77777777" w:rsidR="00FC14EA" w:rsidRDefault="00FC14EA" w:rsidP="007610EC">
      <w:pPr>
        <w:spacing w:after="0"/>
        <w:rPr>
          <w:rFonts w:ascii="Arial" w:hAnsi="Arial" w:cs="Arial"/>
          <w:sz w:val="20"/>
          <w:szCs w:val="20"/>
        </w:rPr>
      </w:pPr>
    </w:p>
    <w:p w14:paraId="50A15C04" w14:textId="655FCA6B" w:rsidR="00383C14" w:rsidRDefault="00383C14" w:rsidP="00383C14">
      <w:pPr>
        <w:spacing w:after="0"/>
        <w:rPr>
          <w:rFonts w:ascii="Arial" w:hAnsi="Arial" w:cs="Arial"/>
          <w:sz w:val="20"/>
          <w:szCs w:val="20"/>
        </w:rPr>
      </w:pPr>
      <w:r w:rsidRPr="00383C14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383C1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vote withheld is not a vote in law and is not counted in the calculation of the  proportion of votes for or against a resolution.</w:t>
      </w:r>
    </w:p>
    <w:p w14:paraId="26E5574B" w14:textId="4752ABB7" w:rsidR="00383C14" w:rsidRDefault="00383C14" w:rsidP="00383C14">
      <w:pPr>
        <w:spacing w:after="0"/>
        <w:rPr>
          <w:rFonts w:ascii="Arial" w:hAnsi="Arial" w:cs="Arial"/>
          <w:sz w:val="20"/>
          <w:szCs w:val="20"/>
        </w:rPr>
      </w:pPr>
    </w:p>
    <w:p w14:paraId="499272A8" w14:textId="7E0977F3" w:rsidR="00383C14" w:rsidRPr="00383C14" w:rsidRDefault="00383C14" w:rsidP="00383C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indicates a special resolution</w:t>
      </w:r>
    </w:p>
    <w:p w14:paraId="045ED2C1" w14:textId="77777777" w:rsidR="00383C14" w:rsidRDefault="00383C14" w:rsidP="007610EC">
      <w:pPr>
        <w:spacing w:after="0"/>
        <w:rPr>
          <w:rFonts w:ascii="Arial" w:hAnsi="Arial" w:cs="Arial"/>
          <w:sz w:val="20"/>
          <w:szCs w:val="20"/>
        </w:rPr>
      </w:pPr>
    </w:p>
    <w:p w14:paraId="0A5E2013" w14:textId="24563969" w:rsidR="002D6D8A" w:rsidRDefault="009915CD" w:rsidP="007610E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CD1F49" w:rsidRPr="00CD1F49">
        <w:rPr>
          <w:rFonts w:ascii="Arial" w:hAnsi="Arial" w:cs="Arial"/>
          <w:sz w:val="20"/>
          <w:szCs w:val="20"/>
        </w:rPr>
        <w:t xml:space="preserve"> total issued share capital of PHP </w:t>
      </w:r>
      <w:r w:rsidR="007610EC">
        <w:rPr>
          <w:rFonts w:ascii="Arial" w:hAnsi="Arial" w:cs="Arial"/>
          <w:sz w:val="20"/>
          <w:szCs w:val="20"/>
        </w:rPr>
        <w:t xml:space="preserve">is </w:t>
      </w:r>
      <w:r w:rsidR="00383C14" w:rsidRPr="00383C14">
        <w:rPr>
          <w:rFonts w:ascii="Arial" w:hAnsi="Arial" w:cs="Arial"/>
          <w:sz w:val="20"/>
          <w:szCs w:val="20"/>
        </w:rPr>
        <w:t>1</w:t>
      </w:r>
      <w:r w:rsidR="00383C14">
        <w:rPr>
          <w:rFonts w:ascii="Arial" w:hAnsi="Arial" w:cs="Arial"/>
          <w:sz w:val="20"/>
          <w:szCs w:val="20"/>
        </w:rPr>
        <w:t>,</w:t>
      </w:r>
      <w:r w:rsidR="00383C14" w:rsidRPr="00383C14">
        <w:rPr>
          <w:rFonts w:ascii="Arial" w:hAnsi="Arial" w:cs="Arial"/>
          <w:sz w:val="20"/>
          <w:szCs w:val="20"/>
        </w:rPr>
        <w:t>3</w:t>
      </w:r>
      <w:r w:rsidR="00C25C3E">
        <w:rPr>
          <w:rFonts w:ascii="Arial" w:hAnsi="Arial" w:cs="Arial"/>
          <w:sz w:val="20"/>
          <w:szCs w:val="20"/>
        </w:rPr>
        <w:t>33</w:t>
      </w:r>
      <w:r w:rsidR="00383C14">
        <w:rPr>
          <w:rFonts w:ascii="Arial" w:hAnsi="Arial" w:cs="Arial"/>
          <w:sz w:val="20"/>
          <w:szCs w:val="20"/>
        </w:rPr>
        <w:t>,</w:t>
      </w:r>
      <w:r w:rsidR="00C25C3E">
        <w:rPr>
          <w:rFonts w:ascii="Arial" w:hAnsi="Arial" w:cs="Arial"/>
          <w:sz w:val="20"/>
          <w:szCs w:val="20"/>
        </w:rPr>
        <w:t>331</w:t>
      </w:r>
      <w:r w:rsidR="00383C14">
        <w:rPr>
          <w:rFonts w:ascii="Arial" w:hAnsi="Arial" w:cs="Arial"/>
          <w:sz w:val="20"/>
          <w:szCs w:val="20"/>
        </w:rPr>
        <w:t>,</w:t>
      </w:r>
      <w:r w:rsidR="00383C14" w:rsidRPr="00383C14">
        <w:rPr>
          <w:rFonts w:ascii="Arial" w:hAnsi="Arial" w:cs="Arial"/>
          <w:sz w:val="20"/>
          <w:szCs w:val="20"/>
        </w:rPr>
        <w:t>6</w:t>
      </w:r>
      <w:r w:rsidR="00C25C3E">
        <w:rPr>
          <w:rFonts w:ascii="Arial" w:hAnsi="Arial" w:cs="Arial"/>
          <w:sz w:val="20"/>
          <w:szCs w:val="20"/>
        </w:rPr>
        <w:t>08</w:t>
      </w:r>
      <w:r w:rsidR="00383C14" w:rsidRPr="00383C14">
        <w:rPr>
          <w:rFonts w:ascii="Arial" w:hAnsi="Arial" w:cs="Arial"/>
          <w:sz w:val="20"/>
          <w:szCs w:val="20"/>
        </w:rPr>
        <w:t xml:space="preserve"> </w:t>
      </w:r>
      <w:r w:rsidR="00617015">
        <w:rPr>
          <w:rFonts w:ascii="Arial" w:hAnsi="Arial" w:cs="Arial"/>
          <w:sz w:val="20"/>
          <w:szCs w:val="20"/>
        </w:rPr>
        <w:t>Ordinary Shares</w:t>
      </w:r>
      <w:r w:rsidR="00CD1F49" w:rsidRPr="00CD1F49">
        <w:rPr>
          <w:rFonts w:ascii="Arial" w:hAnsi="Arial" w:cs="Arial"/>
          <w:sz w:val="20"/>
          <w:szCs w:val="20"/>
        </w:rPr>
        <w:t>. This figure may be used by Shareholders as the denominator for the calculations by which they will determine if they are required to notify their interest in, or a change in their interest in, the share capital of the Company under the FCA's Disclosure Guidance and Transparency Rules</w:t>
      </w:r>
      <w:r w:rsidR="00617015">
        <w:rPr>
          <w:rFonts w:ascii="Arial" w:hAnsi="Arial" w:cs="Arial"/>
          <w:sz w:val="20"/>
          <w:szCs w:val="20"/>
        </w:rPr>
        <w:t>.</w:t>
      </w:r>
    </w:p>
    <w:p w14:paraId="287F03A8" w14:textId="523308B6" w:rsidR="00144B96" w:rsidRDefault="00144B96" w:rsidP="00144B96">
      <w:pPr>
        <w:rPr>
          <w:rFonts w:ascii="Arial" w:hAnsi="Arial" w:cs="Arial"/>
          <w:sz w:val="20"/>
          <w:szCs w:val="20"/>
        </w:rPr>
      </w:pPr>
      <w:r w:rsidRPr="00144B96">
        <w:rPr>
          <w:rFonts w:ascii="Arial" w:hAnsi="Arial" w:cs="Arial"/>
          <w:sz w:val="20"/>
          <w:szCs w:val="20"/>
        </w:rPr>
        <w:t>A copy of the resolutions passed as special business at today’s AGM will, in accordance with Listing Rule 9.6.2., be submitted to the</w:t>
      </w:r>
      <w:r>
        <w:rPr>
          <w:rFonts w:ascii="Arial" w:hAnsi="Arial" w:cs="Arial"/>
          <w:sz w:val="20"/>
          <w:szCs w:val="20"/>
        </w:rPr>
        <w:t xml:space="preserve"> </w:t>
      </w:r>
      <w:r w:rsidRPr="00144B96">
        <w:rPr>
          <w:rFonts w:ascii="Arial" w:hAnsi="Arial" w:cs="Arial"/>
          <w:sz w:val="20"/>
          <w:szCs w:val="20"/>
        </w:rPr>
        <w:t xml:space="preserve">National Storage Mechanism and will be available at </w:t>
      </w:r>
      <w:r w:rsidRPr="00144B96">
        <w:rPr>
          <w:rFonts w:ascii="Arial" w:hAnsi="Arial" w:cs="Arial"/>
          <w:sz w:val="20"/>
          <w:szCs w:val="20"/>
          <w:u w:val="single"/>
        </w:rPr>
        <w:t>https://data.fca.org.uk/#/nsm/nationalstoragemechanism</w:t>
      </w:r>
    </w:p>
    <w:p w14:paraId="4C7CC974" w14:textId="77777777" w:rsidR="00CD1F49" w:rsidRPr="00C26A78" w:rsidRDefault="00CD1F49" w:rsidP="007610EC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215BFA2" w14:textId="77777777" w:rsidR="00417ADB" w:rsidRPr="00C26A78" w:rsidRDefault="00417ADB" w:rsidP="00417ADB">
      <w:pPr>
        <w:jc w:val="both"/>
        <w:rPr>
          <w:rFonts w:ascii="Arial" w:hAnsi="Arial" w:cs="Arial"/>
          <w:sz w:val="20"/>
          <w:szCs w:val="20"/>
        </w:rPr>
      </w:pPr>
      <w:r w:rsidRPr="00C26A78">
        <w:rPr>
          <w:rFonts w:ascii="Arial" w:hAnsi="Arial" w:cs="Arial"/>
          <w:sz w:val="20"/>
          <w:szCs w:val="20"/>
        </w:rPr>
        <w:t>For further information contact: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476"/>
      </w:tblGrid>
      <w:tr w:rsidR="00417ADB" w:rsidRPr="00C26A78" w14:paraId="6019FE18" w14:textId="77777777" w:rsidTr="00033419">
        <w:tc>
          <w:tcPr>
            <w:tcW w:w="4550" w:type="dxa"/>
          </w:tcPr>
          <w:p w14:paraId="5765765A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>Harry Hyman</w:t>
            </w:r>
          </w:p>
          <w:p w14:paraId="6A7A45FE" w14:textId="325E2153" w:rsidR="00417ADB" w:rsidRPr="00C26A78" w:rsidRDefault="00144B96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Executive Officer</w:t>
            </w:r>
          </w:p>
          <w:p w14:paraId="6FDBFF4E" w14:textId="4629B58E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>Tel: +44 (0) 20</w:t>
            </w:r>
            <w:r w:rsidR="00C25C3E">
              <w:rPr>
                <w:rFonts w:ascii="Arial" w:hAnsi="Arial" w:cs="Arial"/>
              </w:rPr>
              <w:t>3 833 3341</w:t>
            </w:r>
          </w:p>
        </w:tc>
        <w:tc>
          <w:tcPr>
            <w:tcW w:w="4476" w:type="dxa"/>
          </w:tcPr>
          <w:p w14:paraId="65DE51F6" w14:textId="77777777" w:rsidR="00417ADB" w:rsidRPr="00C26A78" w:rsidRDefault="006B57BD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Howell</w:t>
            </w:r>
          </w:p>
          <w:p w14:paraId="1CFB49AC" w14:textId="42267962" w:rsidR="00417ADB" w:rsidRPr="00C26A78" w:rsidRDefault="00144B96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</w:t>
            </w:r>
            <w:r w:rsidR="00417ADB" w:rsidRPr="00C26A78">
              <w:rPr>
                <w:rFonts w:ascii="Arial" w:hAnsi="Arial" w:cs="Arial"/>
              </w:rPr>
              <w:t>Financ</w:t>
            </w:r>
            <w:r>
              <w:rPr>
                <w:rFonts w:ascii="Arial" w:hAnsi="Arial" w:cs="Arial"/>
              </w:rPr>
              <w:t>ial Officer</w:t>
            </w:r>
          </w:p>
          <w:p w14:paraId="6F461643" w14:textId="2FC017A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 xml:space="preserve">Tel: +44 (0) </w:t>
            </w:r>
            <w:r w:rsidR="00C25C3E">
              <w:rPr>
                <w:rFonts w:ascii="Arial" w:hAnsi="Arial" w:cs="Arial"/>
              </w:rPr>
              <w:t xml:space="preserve">203 83342 </w:t>
            </w:r>
          </w:p>
          <w:p w14:paraId="6ED0ECD1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</w:p>
        </w:tc>
      </w:tr>
      <w:tr w:rsidR="00417ADB" w:rsidRPr="00C26A78" w14:paraId="746E2F18" w14:textId="77777777" w:rsidTr="00033419">
        <w:tc>
          <w:tcPr>
            <w:tcW w:w="4550" w:type="dxa"/>
          </w:tcPr>
          <w:p w14:paraId="6035B569" w14:textId="77777777" w:rsidR="00417ADB" w:rsidRPr="00C26A78" w:rsidRDefault="006B57BD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Wright</w:t>
            </w:r>
          </w:p>
          <w:p w14:paraId="077D5D0E" w14:textId="77777777" w:rsidR="00417ADB" w:rsidRPr="00C26A78" w:rsidRDefault="001D3AC8" w:rsidP="0003341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S</w:t>
            </w:r>
            <w:r w:rsidR="00417ADB" w:rsidRPr="00C26A78">
              <w:rPr>
                <w:rFonts w:ascii="Arial" w:hAnsi="Arial" w:cs="Arial"/>
              </w:rPr>
              <w:t>ecretary</w:t>
            </w:r>
          </w:p>
          <w:p w14:paraId="6F67A8BE" w14:textId="6D647A45" w:rsidR="00417ADB" w:rsidRPr="00C26A78" w:rsidRDefault="00417ADB" w:rsidP="00617015">
            <w:pPr>
              <w:jc w:val="both"/>
              <w:rPr>
                <w:rFonts w:ascii="Arial" w:hAnsi="Arial" w:cs="Arial"/>
              </w:rPr>
            </w:pPr>
            <w:r w:rsidRPr="00C26A78">
              <w:rPr>
                <w:rFonts w:ascii="Arial" w:hAnsi="Arial" w:cs="Arial"/>
              </w:rPr>
              <w:t>Tel: +44 (0) 20</w:t>
            </w:r>
            <w:r w:rsidR="00C25C3E">
              <w:rPr>
                <w:rFonts w:ascii="Arial" w:hAnsi="Arial" w:cs="Arial"/>
              </w:rPr>
              <w:t xml:space="preserve">3 </w:t>
            </w:r>
            <w:r w:rsidR="00CC67E2">
              <w:rPr>
                <w:rFonts w:ascii="Arial" w:hAnsi="Arial" w:cs="Arial"/>
              </w:rPr>
              <w:t>833 3344</w:t>
            </w:r>
          </w:p>
        </w:tc>
        <w:tc>
          <w:tcPr>
            <w:tcW w:w="4476" w:type="dxa"/>
          </w:tcPr>
          <w:p w14:paraId="76C165E0" w14:textId="77777777" w:rsidR="00417ADB" w:rsidRPr="00C26A78" w:rsidRDefault="00417ADB" w:rsidP="0003341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119B23" w14:textId="77777777" w:rsidR="00417ADB" w:rsidRPr="00C26A78" w:rsidRDefault="00417ADB">
      <w:pPr>
        <w:rPr>
          <w:rFonts w:ascii="Arial" w:hAnsi="Arial" w:cs="Arial"/>
          <w:sz w:val="20"/>
          <w:szCs w:val="20"/>
        </w:rPr>
      </w:pPr>
    </w:p>
    <w:sectPr w:rsidR="00417ADB" w:rsidRPr="00C26A78" w:rsidSect="00731F3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8BCE" w14:textId="77777777" w:rsidR="00096148" w:rsidRDefault="00096148" w:rsidP="009279D6">
      <w:pPr>
        <w:spacing w:after="0" w:line="240" w:lineRule="auto"/>
      </w:pPr>
      <w:r>
        <w:separator/>
      </w:r>
    </w:p>
  </w:endnote>
  <w:endnote w:type="continuationSeparator" w:id="0">
    <w:p w14:paraId="519E0528" w14:textId="77777777" w:rsidR="00096148" w:rsidRDefault="00096148" w:rsidP="0092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5ABB" w14:textId="77777777" w:rsidR="00096148" w:rsidRDefault="00096148" w:rsidP="009279D6">
      <w:pPr>
        <w:spacing w:after="0" w:line="240" w:lineRule="auto"/>
      </w:pPr>
      <w:r>
        <w:separator/>
      </w:r>
    </w:p>
  </w:footnote>
  <w:footnote w:type="continuationSeparator" w:id="0">
    <w:p w14:paraId="2BBDD184" w14:textId="77777777" w:rsidR="00096148" w:rsidRDefault="00096148" w:rsidP="0092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A4B"/>
    <w:multiLevelType w:val="hybridMultilevel"/>
    <w:tmpl w:val="B246A25C"/>
    <w:lvl w:ilvl="0" w:tplc="130611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61FA"/>
    <w:multiLevelType w:val="hybridMultilevel"/>
    <w:tmpl w:val="6BB8E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577C5"/>
    <w:multiLevelType w:val="hybridMultilevel"/>
    <w:tmpl w:val="A51E1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F5"/>
    <w:rsid w:val="0005488C"/>
    <w:rsid w:val="00096148"/>
    <w:rsid w:val="000C2855"/>
    <w:rsid w:val="000F4669"/>
    <w:rsid w:val="00144B96"/>
    <w:rsid w:val="00155454"/>
    <w:rsid w:val="00166BF5"/>
    <w:rsid w:val="001A1BE0"/>
    <w:rsid w:val="001D3AC8"/>
    <w:rsid w:val="00237AEC"/>
    <w:rsid w:val="002D6D8A"/>
    <w:rsid w:val="00383C14"/>
    <w:rsid w:val="00417ADB"/>
    <w:rsid w:val="00450A90"/>
    <w:rsid w:val="00483674"/>
    <w:rsid w:val="004B5A29"/>
    <w:rsid w:val="005414F2"/>
    <w:rsid w:val="005B6E50"/>
    <w:rsid w:val="005D54A0"/>
    <w:rsid w:val="005E51A3"/>
    <w:rsid w:val="005F65CD"/>
    <w:rsid w:val="00617015"/>
    <w:rsid w:val="00670651"/>
    <w:rsid w:val="006B57BD"/>
    <w:rsid w:val="006C069A"/>
    <w:rsid w:val="006D4FA7"/>
    <w:rsid w:val="00731F3D"/>
    <w:rsid w:val="007610EC"/>
    <w:rsid w:val="00780D4B"/>
    <w:rsid w:val="00837044"/>
    <w:rsid w:val="00862E3A"/>
    <w:rsid w:val="008B0C23"/>
    <w:rsid w:val="008B72E7"/>
    <w:rsid w:val="009279D6"/>
    <w:rsid w:val="009369B3"/>
    <w:rsid w:val="0096797A"/>
    <w:rsid w:val="009915CD"/>
    <w:rsid w:val="009E287A"/>
    <w:rsid w:val="00B45A03"/>
    <w:rsid w:val="00B73F07"/>
    <w:rsid w:val="00BB7158"/>
    <w:rsid w:val="00C25C3E"/>
    <w:rsid w:val="00C26A78"/>
    <w:rsid w:val="00CC67E2"/>
    <w:rsid w:val="00CD1F49"/>
    <w:rsid w:val="00D96CFD"/>
    <w:rsid w:val="00E91AF5"/>
    <w:rsid w:val="00EC1E52"/>
    <w:rsid w:val="00FC14EA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0CF4"/>
  <w15:chartTrackingRefBased/>
  <w15:docId w15:val="{33D7A8C8-009B-48AC-B116-F07EAC54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D6"/>
  </w:style>
  <w:style w:type="paragraph" w:styleId="Footer">
    <w:name w:val="footer"/>
    <w:basedOn w:val="Normal"/>
    <w:link w:val="FooterChar"/>
    <w:uiPriority w:val="99"/>
    <w:unhideWhenUsed/>
    <w:rsid w:val="00927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D6"/>
  </w:style>
  <w:style w:type="table" w:styleId="TableGrid">
    <w:name w:val="Table Grid"/>
    <w:basedOn w:val="TableNormal"/>
    <w:uiPriority w:val="59"/>
    <w:rsid w:val="00417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57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5F2E-D7CD-4AA7-BB4E-FF06D648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Brown</dc:creator>
  <cp:keywords/>
  <dc:description/>
  <cp:lastModifiedBy>Paul Wright</cp:lastModifiedBy>
  <cp:revision>3</cp:revision>
  <cp:lastPrinted>2022-04-27T15:22:00Z</cp:lastPrinted>
  <dcterms:created xsi:type="dcterms:W3CDTF">2022-04-27T15:22:00Z</dcterms:created>
  <dcterms:modified xsi:type="dcterms:W3CDTF">2022-04-27T15:42:00Z</dcterms:modified>
</cp:coreProperties>
</file>