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1419" w14:textId="3D516D4F" w:rsidR="00C26A78" w:rsidRPr="00617015" w:rsidRDefault="005027E1" w:rsidP="0061701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="00FE10D2">
        <w:rPr>
          <w:rFonts w:ascii="Arial" w:hAnsi="Arial" w:cs="Arial"/>
          <w:sz w:val="20"/>
          <w:szCs w:val="20"/>
        </w:rPr>
        <w:t xml:space="preserve"> April 202</w:t>
      </w:r>
      <w:r>
        <w:rPr>
          <w:rFonts w:ascii="Arial" w:hAnsi="Arial" w:cs="Arial"/>
          <w:sz w:val="20"/>
          <w:szCs w:val="20"/>
        </w:rPr>
        <w:t>4</w:t>
      </w:r>
    </w:p>
    <w:p w14:paraId="5FE5DAE5" w14:textId="553EF428" w:rsidR="00C26A78" w:rsidRDefault="00C26A78" w:rsidP="006170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2F5C59">
        <w:rPr>
          <w:rFonts w:ascii="Arial" w:hAnsi="Arial" w:cs="Arial"/>
          <w:b/>
        </w:rPr>
        <w:t>Primary Health Properties PLC</w:t>
      </w:r>
    </w:p>
    <w:p w14:paraId="6B2995FE" w14:textId="77777777" w:rsidR="002D6D8A" w:rsidRDefault="002D6D8A" w:rsidP="006170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100B7EE7" w14:textId="356C2DF5" w:rsidR="00C26A78" w:rsidRDefault="00C26A78" w:rsidP="006170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Results of AGM voting</w:t>
      </w:r>
    </w:p>
    <w:p w14:paraId="122BCD13" w14:textId="77777777" w:rsidR="002D6D8A" w:rsidRPr="002F5C59" w:rsidRDefault="002D6D8A" w:rsidP="006170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24101320" w14:textId="7490549E" w:rsidR="00C26A78" w:rsidRDefault="00C26A78" w:rsidP="001A1BE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Health Properties PLC (the</w:t>
      </w:r>
      <w:r w:rsidR="009279D6" w:rsidRPr="00C26A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r w:rsidR="009279D6" w:rsidRPr="00C26A78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>”</w:t>
      </w:r>
      <w:r w:rsidR="00CD1F49">
        <w:rPr>
          <w:rFonts w:ascii="Arial" w:hAnsi="Arial" w:cs="Arial"/>
          <w:sz w:val="20"/>
          <w:szCs w:val="20"/>
        </w:rPr>
        <w:t xml:space="preserve"> or “PHP”)</w:t>
      </w:r>
      <w:r>
        <w:rPr>
          <w:rFonts w:ascii="Arial" w:hAnsi="Arial" w:cs="Arial"/>
          <w:sz w:val="20"/>
          <w:szCs w:val="20"/>
        </w:rPr>
        <w:t>)</w:t>
      </w:r>
      <w:r w:rsidR="009279D6" w:rsidRPr="00C26A78">
        <w:rPr>
          <w:rFonts w:ascii="Arial" w:hAnsi="Arial" w:cs="Arial"/>
          <w:sz w:val="20"/>
          <w:szCs w:val="20"/>
        </w:rPr>
        <w:t xml:space="preserve"> announces that at the Annual General Meeting of </w:t>
      </w:r>
      <w:proofErr w:type="gramStart"/>
      <w:r w:rsidR="009279D6" w:rsidRPr="00C26A78">
        <w:rPr>
          <w:rFonts w:ascii="Arial" w:hAnsi="Arial" w:cs="Arial"/>
          <w:sz w:val="20"/>
          <w:szCs w:val="20"/>
        </w:rPr>
        <w:t>the Company held today</w:t>
      </w:r>
      <w:proofErr w:type="gramEnd"/>
      <w:r w:rsidR="009279D6" w:rsidRPr="00C26A78">
        <w:rPr>
          <w:rFonts w:ascii="Arial" w:hAnsi="Arial" w:cs="Arial"/>
          <w:sz w:val="20"/>
          <w:szCs w:val="20"/>
        </w:rPr>
        <w:t xml:space="preserve"> </w:t>
      </w:r>
      <w:r w:rsidR="005027E1">
        <w:rPr>
          <w:rFonts w:ascii="Arial" w:hAnsi="Arial" w:cs="Arial"/>
          <w:sz w:val="20"/>
          <w:szCs w:val="20"/>
        </w:rPr>
        <w:t xml:space="preserve">24 </w:t>
      </w:r>
      <w:r w:rsidR="009369B3">
        <w:rPr>
          <w:rFonts w:ascii="Arial" w:hAnsi="Arial" w:cs="Arial"/>
          <w:sz w:val="20"/>
          <w:szCs w:val="20"/>
        </w:rPr>
        <w:t>April 202</w:t>
      </w:r>
      <w:r w:rsidR="005027E1">
        <w:rPr>
          <w:rFonts w:ascii="Arial" w:hAnsi="Arial" w:cs="Arial"/>
          <w:sz w:val="20"/>
          <w:szCs w:val="20"/>
        </w:rPr>
        <w:t>4</w:t>
      </w:r>
      <w:r w:rsidR="009279D6" w:rsidRPr="00C26A78">
        <w:rPr>
          <w:rFonts w:ascii="Arial" w:hAnsi="Arial" w:cs="Arial"/>
          <w:sz w:val="20"/>
          <w:szCs w:val="20"/>
        </w:rPr>
        <w:t>, all of the resolutions, as set out in full in the Notice of Meeting, were duly passed</w:t>
      </w:r>
      <w:r>
        <w:rPr>
          <w:rFonts w:ascii="Arial" w:hAnsi="Arial" w:cs="Arial"/>
          <w:sz w:val="20"/>
          <w:szCs w:val="20"/>
        </w:rPr>
        <w:t xml:space="preserve"> on a poll by the requisite majority.  </w:t>
      </w:r>
    </w:p>
    <w:p w14:paraId="17BA76BD" w14:textId="77777777" w:rsidR="009279D6" w:rsidRPr="00C26A78" w:rsidRDefault="00C26A78" w:rsidP="001A1BE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proxy votes which were at the discretion of the Chairman have been included in the “For” total</w:t>
      </w:r>
      <w:r w:rsidR="009279D6" w:rsidRPr="00C26A78">
        <w:rPr>
          <w:rFonts w:ascii="Arial" w:hAnsi="Arial" w:cs="Arial"/>
          <w:sz w:val="20"/>
          <w:szCs w:val="20"/>
        </w:rPr>
        <w:t>.</w:t>
      </w:r>
    </w:p>
    <w:p w14:paraId="6769E868" w14:textId="77777777" w:rsidR="009279D6" w:rsidRPr="00C26A78" w:rsidRDefault="00C26A78" w:rsidP="001A1BE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information the votes cast were as follows</w:t>
      </w:r>
      <w:r w:rsidR="009279D6" w:rsidRPr="00C26A78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709"/>
        <w:gridCol w:w="1134"/>
        <w:gridCol w:w="567"/>
        <w:gridCol w:w="1417"/>
        <w:gridCol w:w="709"/>
        <w:gridCol w:w="1134"/>
      </w:tblGrid>
      <w:tr w:rsidR="00FC14EA" w:rsidRPr="005414F2" w14:paraId="4E85B8AD" w14:textId="721A0346" w:rsidTr="006D4FA7">
        <w:trPr>
          <w:trHeight w:val="397"/>
        </w:trPr>
        <w:tc>
          <w:tcPr>
            <w:tcW w:w="2830" w:type="dxa"/>
            <w:vMerge w:val="restart"/>
          </w:tcPr>
          <w:p w14:paraId="48D865AB" w14:textId="7BB27952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Resolution</w:t>
            </w:r>
          </w:p>
        </w:tc>
        <w:tc>
          <w:tcPr>
            <w:tcW w:w="1985" w:type="dxa"/>
            <w:gridSpan w:val="2"/>
          </w:tcPr>
          <w:p w14:paraId="7BAB8748" w14:textId="40B08C53" w:rsidR="00FC14EA" w:rsidRPr="005414F2" w:rsidRDefault="00FC14EA" w:rsidP="005D5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For (including discretionary)</w:t>
            </w:r>
          </w:p>
        </w:tc>
        <w:tc>
          <w:tcPr>
            <w:tcW w:w="1701" w:type="dxa"/>
            <w:gridSpan w:val="2"/>
          </w:tcPr>
          <w:p w14:paraId="6CFF5F9A" w14:textId="0C163F5A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Against</w:t>
            </w:r>
          </w:p>
        </w:tc>
        <w:tc>
          <w:tcPr>
            <w:tcW w:w="1417" w:type="dxa"/>
          </w:tcPr>
          <w:p w14:paraId="0FB4DEF2" w14:textId="4CC4FABF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Votes Total</w:t>
            </w:r>
          </w:p>
        </w:tc>
        <w:tc>
          <w:tcPr>
            <w:tcW w:w="709" w:type="dxa"/>
          </w:tcPr>
          <w:p w14:paraId="2E333ED1" w14:textId="4D44112A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of ISC Voted</w:t>
            </w:r>
          </w:p>
        </w:tc>
        <w:tc>
          <w:tcPr>
            <w:tcW w:w="1134" w:type="dxa"/>
          </w:tcPr>
          <w:p w14:paraId="1C038804" w14:textId="0B97E80D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Withheld</w:t>
            </w:r>
            <w:r w:rsidRPr="005414F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FC14EA" w:rsidRPr="005414F2" w14:paraId="526E1474" w14:textId="77FE4FAA" w:rsidTr="006D4FA7">
        <w:tc>
          <w:tcPr>
            <w:tcW w:w="2830" w:type="dxa"/>
            <w:vMerge/>
          </w:tcPr>
          <w:p w14:paraId="7B0A99AA" w14:textId="77777777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B60046" w14:textId="5ABEA9AB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Votes</w:t>
            </w:r>
          </w:p>
        </w:tc>
        <w:tc>
          <w:tcPr>
            <w:tcW w:w="709" w:type="dxa"/>
          </w:tcPr>
          <w:p w14:paraId="41355E76" w14:textId="1735A634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3775B753" w14:textId="4564A3A8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Votes</w:t>
            </w:r>
          </w:p>
        </w:tc>
        <w:tc>
          <w:tcPr>
            <w:tcW w:w="567" w:type="dxa"/>
          </w:tcPr>
          <w:p w14:paraId="3A06B88E" w14:textId="40E74297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2CAB0B8" w14:textId="77777777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273116" w14:textId="77777777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E2EB6A" w14:textId="738F7818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1A6" w:rsidRPr="005414F2" w14:paraId="798D27AB" w14:textId="12D950E1" w:rsidTr="000B0224">
        <w:tc>
          <w:tcPr>
            <w:tcW w:w="2830" w:type="dxa"/>
          </w:tcPr>
          <w:p w14:paraId="0E7DE61D" w14:textId="1CF3938E" w:rsidR="00F711A6" w:rsidRPr="005414F2" w:rsidRDefault="00F711A6" w:rsidP="00F711A6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receive the Annual 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Report and 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>Accounts for the year ended 31 December 202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3</w:t>
            </w:r>
          </w:p>
          <w:p w14:paraId="641382E6" w14:textId="6742F355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91ACCF" w14:textId="3F5DB845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847,732,800</w:t>
            </w:r>
          </w:p>
        </w:tc>
        <w:tc>
          <w:tcPr>
            <w:tcW w:w="709" w:type="dxa"/>
          </w:tcPr>
          <w:p w14:paraId="7E9F79AE" w14:textId="09730070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99.38</w:t>
            </w:r>
          </w:p>
        </w:tc>
        <w:tc>
          <w:tcPr>
            <w:tcW w:w="1134" w:type="dxa"/>
          </w:tcPr>
          <w:p w14:paraId="470C0B69" w14:textId="1BE47E90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5,289,997</w:t>
            </w:r>
          </w:p>
        </w:tc>
        <w:tc>
          <w:tcPr>
            <w:tcW w:w="567" w:type="dxa"/>
          </w:tcPr>
          <w:p w14:paraId="341E9715" w14:textId="27D824CB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0.62</w:t>
            </w:r>
          </w:p>
        </w:tc>
        <w:tc>
          <w:tcPr>
            <w:tcW w:w="1417" w:type="dxa"/>
          </w:tcPr>
          <w:p w14:paraId="5F0C2A92" w14:textId="2A08485A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853,022,797</w:t>
            </w:r>
          </w:p>
        </w:tc>
        <w:tc>
          <w:tcPr>
            <w:tcW w:w="709" w:type="dxa"/>
          </w:tcPr>
          <w:p w14:paraId="1E8883E0" w14:textId="1ACC7EE9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63.83%</w:t>
            </w:r>
          </w:p>
        </w:tc>
        <w:tc>
          <w:tcPr>
            <w:tcW w:w="1134" w:type="dxa"/>
          </w:tcPr>
          <w:p w14:paraId="1496D59A" w14:textId="322D7ECC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814,778</w:t>
            </w:r>
          </w:p>
        </w:tc>
      </w:tr>
      <w:tr w:rsidR="00F711A6" w:rsidRPr="005414F2" w14:paraId="6783B09B" w14:textId="77777777" w:rsidTr="000B0224">
        <w:tc>
          <w:tcPr>
            <w:tcW w:w="2830" w:type="dxa"/>
          </w:tcPr>
          <w:p w14:paraId="3D023602" w14:textId="56FA1021" w:rsidR="00F711A6" w:rsidRPr="005414F2" w:rsidRDefault="00F711A6" w:rsidP="00F711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To approve the Directors’ remuneration policy</w:t>
            </w:r>
          </w:p>
        </w:tc>
        <w:tc>
          <w:tcPr>
            <w:tcW w:w="1276" w:type="dxa"/>
          </w:tcPr>
          <w:p w14:paraId="18DEC731" w14:textId="16661CE5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834,480,067</w:t>
            </w:r>
          </w:p>
        </w:tc>
        <w:tc>
          <w:tcPr>
            <w:tcW w:w="709" w:type="dxa"/>
          </w:tcPr>
          <w:p w14:paraId="358C5BD2" w14:textId="666F4D4A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98.45</w:t>
            </w:r>
          </w:p>
        </w:tc>
        <w:tc>
          <w:tcPr>
            <w:tcW w:w="1134" w:type="dxa"/>
          </w:tcPr>
          <w:p w14:paraId="64AB69E5" w14:textId="56F4F064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13,150,253</w:t>
            </w:r>
          </w:p>
        </w:tc>
        <w:tc>
          <w:tcPr>
            <w:tcW w:w="567" w:type="dxa"/>
          </w:tcPr>
          <w:p w14:paraId="1F0A5188" w14:textId="0DB7045F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1.55</w:t>
            </w:r>
          </w:p>
        </w:tc>
        <w:tc>
          <w:tcPr>
            <w:tcW w:w="1417" w:type="dxa"/>
          </w:tcPr>
          <w:p w14:paraId="69E691FD" w14:textId="412F7466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847,630,320</w:t>
            </w:r>
          </w:p>
        </w:tc>
        <w:tc>
          <w:tcPr>
            <w:tcW w:w="709" w:type="dxa"/>
          </w:tcPr>
          <w:p w14:paraId="4D7B90F8" w14:textId="54913642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63.42%</w:t>
            </w:r>
          </w:p>
        </w:tc>
        <w:tc>
          <w:tcPr>
            <w:tcW w:w="1134" w:type="dxa"/>
          </w:tcPr>
          <w:p w14:paraId="18754FD1" w14:textId="61DB6D92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6,207,255</w:t>
            </w:r>
          </w:p>
        </w:tc>
      </w:tr>
      <w:tr w:rsidR="00F711A6" w:rsidRPr="005414F2" w14:paraId="7BF9B170" w14:textId="4E9D1AF5" w:rsidTr="000B0224">
        <w:tc>
          <w:tcPr>
            <w:tcW w:w="2830" w:type="dxa"/>
          </w:tcPr>
          <w:p w14:paraId="1F500BBD" w14:textId="2ECA4E78" w:rsidR="00F711A6" w:rsidRPr="005414F2" w:rsidRDefault="00F711A6" w:rsidP="00F711A6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o approve the Directors’ 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r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emuneration 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r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>eport</w:t>
            </w:r>
          </w:p>
          <w:p w14:paraId="3737CA33" w14:textId="7F489A2F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54E2C3" w14:textId="3A0773F3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718,248,823</w:t>
            </w:r>
          </w:p>
        </w:tc>
        <w:tc>
          <w:tcPr>
            <w:tcW w:w="709" w:type="dxa"/>
          </w:tcPr>
          <w:p w14:paraId="3D8C43AF" w14:textId="4AF7F90F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84.22</w:t>
            </w:r>
          </w:p>
        </w:tc>
        <w:tc>
          <w:tcPr>
            <w:tcW w:w="1134" w:type="dxa"/>
          </w:tcPr>
          <w:p w14:paraId="490D5954" w14:textId="261A8EBD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134,558,949</w:t>
            </w:r>
          </w:p>
        </w:tc>
        <w:tc>
          <w:tcPr>
            <w:tcW w:w="567" w:type="dxa"/>
          </w:tcPr>
          <w:p w14:paraId="2028D3AB" w14:textId="63E2BDC7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15.78</w:t>
            </w:r>
          </w:p>
        </w:tc>
        <w:tc>
          <w:tcPr>
            <w:tcW w:w="1417" w:type="dxa"/>
          </w:tcPr>
          <w:p w14:paraId="129D76E4" w14:textId="0C976253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852,807,772</w:t>
            </w:r>
          </w:p>
        </w:tc>
        <w:tc>
          <w:tcPr>
            <w:tcW w:w="709" w:type="dxa"/>
          </w:tcPr>
          <w:p w14:paraId="5C6698E9" w14:textId="26A3B444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63.81%</w:t>
            </w:r>
          </w:p>
        </w:tc>
        <w:tc>
          <w:tcPr>
            <w:tcW w:w="1134" w:type="dxa"/>
          </w:tcPr>
          <w:p w14:paraId="594D0D07" w14:textId="71474B53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1,029,803</w:t>
            </w:r>
          </w:p>
        </w:tc>
      </w:tr>
      <w:tr w:rsidR="00F711A6" w:rsidRPr="005414F2" w14:paraId="757AC317" w14:textId="750E13A3" w:rsidTr="000B0224">
        <w:tc>
          <w:tcPr>
            <w:tcW w:w="2830" w:type="dxa"/>
          </w:tcPr>
          <w:p w14:paraId="6ADAA7AE" w14:textId="1FD62825" w:rsidR="00F711A6" w:rsidRPr="005414F2" w:rsidRDefault="00F711A6" w:rsidP="00F711A6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T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>o approve the Company’s dividend policy</w:t>
            </w:r>
          </w:p>
          <w:p w14:paraId="4F1C96BE" w14:textId="36014C58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CFDA15" w14:textId="572198F3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853,714,461</w:t>
            </w:r>
          </w:p>
        </w:tc>
        <w:tc>
          <w:tcPr>
            <w:tcW w:w="709" w:type="dxa"/>
          </w:tcPr>
          <w:p w14:paraId="3EEE100D" w14:textId="3EF58E66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99.99</w:t>
            </w:r>
          </w:p>
        </w:tc>
        <w:tc>
          <w:tcPr>
            <w:tcW w:w="1134" w:type="dxa"/>
          </w:tcPr>
          <w:p w14:paraId="4DEA93F2" w14:textId="6D64BD03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51,404</w:t>
            </w:r>
          </w:p>
        </w:tc>
        <w:tc>
          <w:tcPr>
            <w:tcW w:w="567" w:type="dxa"/>
          </w:tcPr>
          <w:p w14:paraId="3B3A80DC" w14:textId="4CB413C0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0.01</w:t>
            </w:r>
          </w:p>
        </w:tc>
        <w:tc>
          <w:tcPr>
            <w:tcW w:w="1417" w:type="dxa"/>
          </w:tcPr>
          <w:p w14:paraId="5B81A396" w14:textId="336689BD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853,765,865</w:t>
            </w:r>
          </w:p>
        </w:tc>
        <w:tc>
          <w:tcPr>
            <w:tcW w:w="709" w:type="dxa"/>
          </w:tcPr>
          <w:p w14:paraId="492846BF" w14:textId="7FBEDB18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63.88%</w:t>
            </w:r>
          </w:p>
        </w:tc>
        <w:tc>
          <w:tcPr>
            <w:tcW w:w="1134" w:type="dxa"/>
          </w:tcPr>
          <w:p w14:paraId="4E6E3882" w14:textId="57E813D7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71,710</w:t>
            </w:r>
          </w:p>
        </w:tc>
      </w:tr>
      <w:tr w:rsidR="00F711A6" w:rsidRPr="005414F2" w14:paraId="1ADFC697" w14:textId="7AEC8D2C" w:rsidTr="000B0224">
        <w:tc>
          <w:tcPr>
            <w:tcW w:w="2830" w:type="dxa"/>
          </w:tcPr>
          <w:p w14:paraId="67C1031D" w14:textId="20AA4157" w:rsidR="00F711A6" w:rsidRPr="005414F2" w:rsidRDefault="00F711A6" w:rsidP="00F711A6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T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>o approve the re-appointment of Deloitte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LLP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as auditors</w:t>
            </w:r>
          </w:p>
          <w:p w14:paraId="30C21822" w14:textId="6F59EC09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249ECE" w14:textId="7D4DFD23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798,538,907</w:t>
            </w:r>
          </w:p>
        </w:tc>
        <w:tc>
          <w:tcPr>
            <w:tcW w:w="709" w:type="dxa"/>
          </w:tcPr>
          <w:p w14:paraId="14ECFF22" w14:textId="33F52658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93.61</w:t>
            </w:r>
          </w:p>
        </w:tc>
        <w:tc>
          <w:tcPr>
            <w:tcW w:w="1134" w:type="dxa"/>
          </w:tcPr>
          <w:p w14:paraId="63047AF7" w14:textId="5ECCD6E8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54,537,248</w:t>
            </w:r>
          </w:p>
        </w:tc>
        <w:tc>
          <w:tcPr>
            <w:tcW w:w="567" w:type="dxa"/>
          </w:tcPr>
          <w:p w14:paraId="3DEE37BD" w14:textId="735D736C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6.39</w:t>
            </w:r>
          </w:p>
        </w:tc>
        <w:tc>
          <w:tcPr>
            <w:tcW w:w="1417" w:type="dxa"/>
          </w:tcPr>
          <w:p w14:paraId="64DC9BA1" w14:textId="6321DAB6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853,076,155</w:t>
            </w:r>
          </w:p>
        </w:tc>
        <w:tc>
          <w:tcPr>
            <w:tcW w:w="709" w:type="dxa"/>
          </w:tcPr>
          <w:p w14:paraId="0A158EF7" w14:textId="24D06849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63.83%</w:t>
            </w:r>
          </w:p>
        </w:tc>
        <w:tc>
          <w:tcPr>
            <w:tcW w:w="1134" w:type="dxa"/>
          </w:tcPr>
          <w:p w14:paraId="76DD179D" w14:textId="6A3D8F22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761,420</w:t>
            </w:r>
          </w:p>
        </w:tc>
      </w:tr>
      <w:tr w:rsidR="00F711A6" w:rsidRPr="005414F2" w14:paraId="4A82DBD3" w14:textId="33AD1ABC" w:rsidTr="000B0224">
        <w:tc>
          <w:tcPr>
            <w:tcW w:w="2830" w:type="dxa"/>
          </w:tcPr>
          <w:p w14:paraId="51629047" w14:textId="4018B71E" w:rsidR="00F711A6" w:rsidRPr="005414F2" w:rsidRDefault="00F711A6" w:rsidP="00F711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authorise</w:t>
            </w:r>
            <w:proofErr w:type="spellEnd"/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udit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ommittee to fix the auditors’ remuneration</w:t>
            </w:r>
          </w:p>
          <w:p w14:paraId="4D2FCF18" w14:textId="4CED9464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28A33D" w14:textId="56A90AA7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822,389,407</w:t>
            </w:r>
          </w:p>
        </w:tc>
        <w:tc>
          <w:tcPr>
            <w:tcW w:w="709" w:type="dxa"/>
          </w:tcPr>
          <w:p w14:paraId="380B2018" w14:textId="2E0A99D0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96.41</w:t>
            </w:r>
          </w:p>
        </w:tc>
        <w:tc>
          <w:tcPr>
            <w:tcW w:w="1134" w:type="dxa"/>
          </w:tcPr>
          <w:p w14:paraId="1DDB16C2" w14:textId="67BB7EAD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30,657,916</w:t>
            </w:r>
          </w:p>
        </w:tc>
        <w:tc>
          <w:tcPr>
            <w:tcW w:w="567" w:type="dxa"/>
          </w:tcPr>
          <w:p w14:paraId="7904C260" w14:textId="1EF7A2F1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3.59</w:t>
            </w:r>
          </w:p>
        </w:tc>
        <w:tc>
          <w:tcPr>
            <w:tcW w:w="1417" w:type="dxa"/>
          </w:tcPr>
          <w:p w14:paraId="2C4B4A88" w14:textId="1D32C734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853,047,323</w:t>
            </w:r>
          </w:p>
        </w:tc>
        <w:tc>
          <w:tcPr>
            <w:tcW w:w="709" w:type="dxa"/>
          </w:tcPr>
          <w:p w14:paraId="267D9FFE" w14:textId="4010CC97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63.83%</w:t>
            </w:r>
          </w:p>
        </w:tc>
        <w:tc>
          <w:tcPr>
            <w:tcW w:w="1134" w:type="dxa"/>
          </w:tcPr>
          <w:p w14:paraId="46A1DC07" w14:textId="5F858742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790,252</w:t>
            </w:r>
          </w:p>
        </w:tc>
      </w:tr>
      <w:tr w:rsidR="00F711A6" w:rsidRPr="005414F2" w14:paraId="55FE4289" w14:textId="554644E5" w:rsidTr="000B0224">
        <w:tc>
          <w:tcPr>
            <w:tcW w:w="2830" w:type="dxa"/>
          </w:tcPr>
          <w:p w14:paraId="276DF26C" w14:textId="3C66E089" w:rsidR="00F711A6" w:rsidRPr="005414F2" w:rsidRDefault="00F711A6" w:rsidP="00F711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o re-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elect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Harry Hyman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 as a Director</w:t>
            </w:r>
          </w:p>
          <w:p w14:paraId="2A4EC9D5" w14:textId="548FB05E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A1BE75" w14:textId="20A2D6FB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684,478,145</w:t>
            </w:r>
          </w:p>
        </w:tc>
        <w:tc>
          <w:tcPr>
            <w:tcW w:w="709" w:type="dxa"/>
          </w:tcPr>
          <w:p w14:paraId="77144C51" w14:textId="221E1328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80.25</w:t>
            </w:r>
          </w:p>
        </w:tc>
        <w:tc>
          <w:tcPr>
            <w:tcW w:w="1134" w:type="dxa"/>
          </w:tcPr>
          <w:p w14:paraId="60C0BA02" w14:textId="76D1B34E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168,483,888</w:t>
            </w:r>
          </w:p>
        </w:tc>
        <w:tc>
          <w:tcPr>
            <w:tcW w:w="567" w:type="dxa"/>
          </w:tcPr>
          <w:p w14:paraId="5CACBEDC" w14:textId="65D8A601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19.75</w:t>
            </w:r>
          </w:p>
        </w:tc>
        <w:tc>
          <w:tcPr>
            <w:tcW w:w="1417" w:type="dxa"/>
          </w:tcPr>
          <w:p w14:paraId="73150052" w14:textId="43655924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852,962,033</w:t>
            </w:r>
          </w:p>
        </w:tc>
        <w:tc>
          <w:tcPr>
            <w:tcW w:w="709" w:type="dxa"/>
          </w:tcPr>
          <w:p w14:paraId="221A912D" w14:textId="22199FAF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63.82%</w:t>
            </w:r>
          </w:p>
        </w:tc>
        <w:tc>
          <w:tcPr>
            <w:tcW w:w="1134" w:type="dxa"/>
          </w:tcPr>
          <w:p w14:paraId="6A22D97B" w14:textId="4C0FBBBD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875,542</w:t>
            </w:r>
          </w:p>
        </w:tc>
      </w:tr>
      <w:tr w:rsidR="00F711A6" w:rsidRPr="005414F2" w14:paraId="6AAD0B26" w14:textId="0C7361C3" w:rsidTr="000B0224">
        <w:tc>
          <w:tcPr>
            <w:tcW w:w="2830" w:type="dxa"/>
          </w:tcPr>
          <w:p w14:paraId="438BE281" w14:textId="19CDCCE6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o re-elect </w:t>
            </w:r>
            <w:r w:rsidRPr="005027E1">
              <w:rPr>
                <w:rFonts w:ascii="Arial" w:hAnsi="Arial" w:cs="Arial"/>
                <w:sz w:val="18"/>
                <w:szCs w:val="18"/>
              </w:rPr>
              <w:t xml:space="preserve">Richard Howell </w:t>
            </w:r>
            <w:r w:rsidRPr="005414F2">
              <w:rPr>
                <w:rFonts w:ascii="Arial" w:hAnsi="Arial" w:cs="Arial"/>
                <w:sz w:val="18"/>
                <w:szCs w:val="18"/>
              </w:rPr>
              <w:t>as a Director</w:t>
            </w:r>
          </w:p>
          <w:p w14:paraId="6424A369" w14:textId="0B728603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9DD5D3" w14:textId="12A22039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846,343,631</w:t>
            </w:r>
          </w:p>
        </w:tc>
        <w:tc>
          <w:tcPr>
            <w:tcW w:w="709" w:type="dxa"/>
          </w:tcPr>
          <w:p w14:paraId="7E20E1F4" w14:textId="70BAE706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99.16</w:t>
            </w:r>
          </w:p>
        </w:tc>
        <w:tc>
          <w:tcPr>
            <w:tcW w:w="1134" w:type="dxa"/>
          </w:tcPr>
          <w:p w14:paraId="4E8959D5" w14:textId="4D3DB37C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7,175,667</w:t>
            </w:r>
          </w:p>
        </w:tc>
        <w:tc>
          <w:tcPr>
            <w:tcW w:w="567" w:type="dxa"/>
          </w:tcPr>
          <w:p w14:paraId="06481487" w14:textId="531B81E0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0.84</w:t>
            </w:r>
          </w:p>
        </w:tc>
        <w:tc>
          <w:tcPr>
            <w:tcW w:w="1417" w:type="dxa"/>
          </w:tcPr>
          <w:p w14:paraId="0FA7332E" w14:textId="61524271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853,519,298</w:t>
            </w:r>
          </w:p>
        </w:tc>
        <w:tc>
          <w:tcPr>
            <w:tcW w:w="709" w:type="dxa"/>
          </w:tcPr>
          <w:p w14:paraId="6A4F6F44" w14:textId="2BCBE19D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63.86%</w:t>
            </w:r>
          </w:p>
        </w:tc>
        <w:tc>
          <w:tcPr>
            <w:tcW w:w="1134" w:type="dxa"/>
          </w:tcPr>
          <w:p w14:paraId="164831D9" w14:textId="479B017A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318,277</w:t>
            </w:r>
          </w:p>
        </w:tc>
      </w:tr>
      <w:tr w:rsidR="00F711A6" w:rsidRPr="005414F2" w14:paraId="51EC7738" w14:textId="0772EFE2" w:rsidTr="000B0224">
        <w:tc>
          <w:tcPr>
            <w:tcW w:w="2830" w:type="dxa"/>
          </w:tcPr>
          <w:p w14:paraId="71813DE8" w14:textId="2B5DEFD8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o re-elect </w:t>
            </w:r>
            <w:r>
              <w:rPr>
                <w:rFonts w:ascii="Arial" w:hAnsi="Arial" w:cs="Arial"/>
                <w:sz w:val="18"/>
                <w:szCs w:val="18"/>
              </w:rPr>
              <w:t>Laure Duhot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 as a Director</w:t>
            </w:r>
          </w:p>
          <w:p w14:paraId="32A44E4C" w14:textId="11547E62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5C7613" w14:textId="20947D10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842,507,501</w:t>
            </w:r>
          </w:p>
        </w:tc>
        <w:tc>
          <w:tcPr>
            <w:tcW w:w="709" w:type="dxa"/>
          </w:tcPr>
          <w:p w14:paraId="4A2AA725" w14:textId="7B8E9D2F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98.71</w:t>
            </w:r>
          </w:p>
        </w:tc>
        <w:tc>
          <w:tcPr>
            <w:tcW w:w="1134" w:type="dxa"/>
          </w:tcPr>
          <w:p w14:paraId="615B1406" w14:textId="29311421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10,967,172</w:t>
            </w:r>
          </w:p>
        </w:tc>
        <w:tc>
          <w:tcPr>
            <w:tcW w:w="567" w:type="dxa"/>
          </w:tcPr>
          <w:p w14:paraId="7E1C255C" w14:textId="5ADDF9CC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1.29</w:t>
            </w:r>
          </w:p>
        </w:tc>
        <w:tc>
          <w:tcPr>
            <w:tcW w:w="1417" w:type="dxa"/>
          </w:tcPr>
          <w:p w14:paraId="233A1465" w14:textId="10C4EFB6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853,474,673</w:t>
            </w:r>
          </w:p>
        </w:tc>
        <w:tc>
          <w:tcPr>
            <w:tcW w:w="709" w:type="dxa"/>
          </w:tcPr>
          <w:p w14:paraId="4F724AF5" w14:textId="6E2CE278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63.86%</w:t>
            </w:r>
          </w:p>
        </w:tc>
        <w:tc>
          <w:tcPr>
            <w:tcW w:w="1134" w:type="dxa"/>
          </w:tcPr>
          <w:p w14:paraId="18D22BF1" w14:textId="4AF90F21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362,902</w:t>
            </w:r>
          </w:p>
        </w:tc>
      </w:tr>
      <w:tr w:rsidR="00F711A6" w:rsidRPr="005414F2" w14:paraId="51683272" w14:textId="6C271233" w:rsidTr="000B0224">
        <w:tc>
          <w:tcPr>
            <w:tcW w:w="2830" w:type="dxa"/>
          </w:tcPr>
          <w:p w14:paraId="76AA9DC9" w14:textId="7E8545CD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To re-elect </w:t>
            </w:r>
            <w:r>
              <w:rPr>
                <w:rFonts w:ascii="Arial" w:hAnsi="Arial" w:cs="Arial"/>
                <w:sz w:val="18"/>
                <w:szCs w:val="18"/>
              </w:rPr>
              <w:t>Ian Krieger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 as a Director</w:t>
            </w:r>
          </w:p>
          <w:p w14:paraId="620B938F" w14:textId="14861399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28B860" w14:textId="4FC63071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827,051,818</w:t>
            </w:r>
          </w:p>
        </w:tc>
        <w:tc>
          <w:tcPr>
            <w:tcW w:w="709" w:type="dxa"/>
          </w:tcPr>
          <w:p w14:paraId="42363C80" w14:textId="013D3586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96.90</w:t>
            </w:r>
          </w:p>
        </w:tc>
        <w:tc>
          <w:tcPr>
            <w:tcW w:w="1134" w:type="dxa"/>
          </w:tcPr>
          <w:p w14:paraId="35BBDDA2" w14:textId="243AFA52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26,453,111</w:t>
            </w:r>
          </w:p>
        </w:tc>
        <w:tc>
          <w:tcPr>
            <w:tcW w:w="567" w:type="dxa"/>
          </w:tcPr>
          <w:p w14:paraId="03324F3F" w14:textId="05A1EED1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3.10</w:t>
            </w:r>
          </w:p>
        </w:tc>
        <w:tc>
          <w:tcPr>
            <w:tcW w:w="1417" w:type="dxa"/>
          </w:tcPr>
          <w:p w14:paraId="0CE14352" w14:textId="30536A6E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853,504,929</w:t>
            </w:r>
          </w:p>
        </w:tc>
        <w:tc>
          <w:tcPr>
            <w:tcW w:w="709" w:type="dxa"/>
          </w:tcPr>
          <w:p w14:paraId="4E686017" w14:textId="0B26DD63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63.86%</w:t>
            </w:r>
          </w:p>
        </w:tc>
        <w:tc>
          <w:tcPr>
            <w:tcW w:w="1134" w:type="dxa"/>
          </w:tcPr>
          <w:p w14:paraId="3C16CAA0" w14:textId="6D07CB82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332,646</w:t>
            </w:r>
          </w:p>
        </w:tc>
      </w:tr>
      <w:tr w:rsidR="00F711A6" w:rsidRPr="005414F2" w14:paraId="3012FFCD" w14:textId="2F6856C1" w:rsidTr="000B0224">
        <w:tc>
          <w:tcPr>
            <w:tcW w:w="2830" w:type="dxa"/>
          </w:tcPr>
          <w:p w14:paraId="28247AA4" w14:textId="59D3B84A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 To re-elect </w:t>
            </w:r>
            <w:r w:rsidRPr="005027E1">
              <w:rPr>
                <w:rFonts w:ascii="Arial" w:hAnsi="Arial" w:cs="Arial"/>
                <w:sz w:val="18"/>
                <w:szCs w:val="18"/>
              </w:rPr>
              <w:t>Ivonne Cantú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 as a Director</w:t>
            </w:r>
          </w:p>
          <w:p w14:paraId="0CA583B4" w14:textId="5C223A53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BA4BA9" w14:textId="5F1726AF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764,087,120</w:t>
            </w:r>
          </w:p>
        </w:tc>
        <w:tc>
          <w:tcPr>
            <w:tcW w:w="709" w:type="dxa"/>
          </w:tcPr>
          <w:p w14:paraId="39F55FDF" w14:textId="1633F1C0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89.53</w:t>
            </w:r>
          </w:p>
        </w:tc>
        <w:tc>
          <w:tcPr>
            <w:tcW w:w="1134" w:type="dxa"/>
          </w:tcPr>
          <w:p w14:paraId="156BC0CF" w14:textId="61CE14FC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89,371,223</w:t>
            </w:r>
          </w:p>
        </w:tc>
        <w:tc>
          <w:tcPr>
            <w:tcW w:w="567" w:type="dxa"/>
          </w:tcPr>
          <w:p w14:paraId="61D09406" w14:textId="3A07F744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10.47</w:t>
            </w:r>
          </w:p>
        </w:tc>
        <w:tc>
          <w:tcPr>
            <w:tcW w:w="1417" w:type="dxa"/>
          </w:tcPr>
          <w:p w14:paraId="1160E2A1" w14:textId="5EA5BEDF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853,458,343</w:t>
            </w:r>
          </w:p>
        </w:tc>
        <w:tc>
          <w:tcPr>
            <w:tcW w:w="709" w:type="dxa"/>
          </w:tcPr>
          <w:p w14:paraId="19B3D07F" w14:textId="179862AE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63.86%</w:t>
            </w:r>
          </w:p>
        </w:tc>
        <w:tc>
          <w:tcPr>
            <w:tcW w:w="1134" w:type="dxa"/>
          </w:tcPr>
          <w:p w14:paraId="19CB8751" w14:textId="4C0E75BE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379,231</w:t>
            </w:r>
          </w:p>
        </w:tc>
      </w:tr>
      <w:tr w:rsidR="00F711A6" w:rsidRPr="005414F2" w14:paraId="2FCE7D50" w14:textId="1398C0C3" w:rsidTr="000B0224">
        <w:tc>
          <w:tcPr>
            <w:tcW w:w="2830" w:type="dxa"/>
          </w:tcPr>
          <w:p w14:paraId="01139068" w14:textId="45C7EF40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 To elect </w:t>
            </w:r>
            <w:r>
              <w:rPr>
                <w:rFonts w:ascii="Arial" w:hAnsi="Arial" w:cs="Arial"/>
                <w:sz w:val="18"/>
                <w:szCs w:val="18"/>
              </w:rPr>
              <w:t xml:space="preserve">Mark Davies </w:t>
            </w:r>
            <w:r w:rsidRPr="005414F2">
              <w:rPr>
                <w:rFonts w:ascii="Arial" w:hAnsi="Arial" w:cs="Arial"/>
                <w:sz w:val="18"/>
                <w:szCs w:val="18"/>
              </w:rPr>
              <w:t>as a Director</w:t>
            </w:r>
          </w:p>
          <w:p w14:paraId="73C994A6" w14:textId="34C4E861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5886EA" w14:textId="61C7CD44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846,312,464</w:t>
            </w:r>
          </w:p>
        </w:tc>
        <w:tc>
          <w:tcPr>
            <w:tcW w:w="709" w:type="dxa"/>
          </w:tcPr>
          <w:p w14:paraId="3A3C73FC" w14:textId="491AA256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99.16</w:t>
            </w:r>
          </w:p>
        </w:tc>
        <w:tc>
          <w:tcPr>
            <w:tcW w:w="1134" w:type="dxa"/>
          </w:tcPr>
          <w:p w14:paraId="3C3A4E22" w14:textId="1DD2A804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7,137,487</w:t>
            </w:r>
          </w:p>
        </w:tc>
        <w:tc>
          <w:tcPr>
            <w:tcW w:w="567" w:type="dxa"/>
          </w:tcPr>
          <w:p w14:paraId="23D4420C" w14:textId="35847513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0.84</w:t>
            </w:r>
          </w:p>
        </w:tc>
        <w:tc>
          <w:tcPr>
            <w:tcW w:w="1417" w:type="dxa"/>
          </w:tcPr>
          <w:p w14:paraId="381516CF" w14:textId="358C28A7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853,449,951</w:t>
            </w:r>
          </w:p>
        </w:tc>
        <w:tc>
          <w:tcPr>
            <w:tcW w:w="709" w:type="dxa"/>
          </w:tcPr>
          <w:p w14:paraId="4956E147" w14:textId="5D0064D6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63.86%</w:t>
            </w:r>
          </w:p>
        </w:tc>
        <w:tc>
          <w:tcPr>
            <w:tcW w:w="1134" w:type="dxa"/>
          </w:tcPr>
          <w:p w14:paraId="20F69C14" w14:textId="73293B3C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387,624</w:t>
            </w:r>
          </w:p>
        </w:tc>
      </w:tr>
      <w:tr w:rsidR="00F711A6" w:rsidRPr="005414F2" w14:paraId="4AC5965A" w14:textId="77777777" w:rsidTr="000B0224">
        <w:tc>
          <w:tcPr>
            <w:tcW w:w="2830" w:type="dxa"/>
          </w:tcPr>
          <w:p w14:paraId="77DBD1B6" w14:textId="6C8CE4EE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 To elect Dr Bandhana Rawal as a Director</w:t>
            </w:r>
          </w:p>
        </w:tc>
        <w:tc>
          <w:tcPr>
            <w:tcW w:w="1276" w:type="dxa"/>
          </w:tcPr>
          <w:p w14:paraId="47091B0B" w14:textId="0FD2504E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847,076,970</w:t>
            </w:r>
          </w:p>
        </w:tc>
        <w:tc>
          <w:tcPr>
            <w:tcW w:w="709" w:type="dxa"/>
          </w:tcPr>
          <w:p w14:paraId="435F4C70" w14:textId="125F7C35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99.25</w:t>
            </w:r>
          </w:p>
        </w:tc>
        <w:tc>
          <w:tcPr>
            <w:tcW w:w="1134" w:type="dxa"/>
          </w:tcPr>
          <w:p w14:paraId="3A043D8E" w14:textId="742CB5BF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6,388,370</w:t>
            </w:r>
          </w:p>
        </w:tc>
        <w:tc>
          <w:tcPr>
            <w:tcW w:w="567" w:type="dxa"/>
          </w:tcPr>
          <w:p w14:paraId="4FBA3465" w14:textId="72455EF0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0.75</w:t>
            </w:r>
          </w:p>
        </w:tc>
        <w:tc>
          <w:tcPr>
            <w:tcW w:w="1417" w:type="dxa"/>
          </w:tcPr>
          <w:p w14:paraId="3578EF4B" w14:textId="6A581572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853,465,340</w:t>
            </w:r>
          </w:p>
        </w:tc>
        <w:tc>
          <w:tcPr>
            <w:tcW w:w="709" w:type="dxa"/>
          </w:tcPr>
          <w:p w14:paraId="7B80D999" w14:textId="503BA4C8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63.86%</w:t>
            </w:r>
          </w:p>
        </w:tc>
        <w:tc>
          <w:tcPr>
            <w:tcW w:w="1134" w:type="dxa"/>
          </w:tcPr>
          <w:p w14:paraId="1928BC1E" w14:textId="1B2D7BDA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372,235</w:t>
            </w:r>
          </w:p>
        </w:tc>
      </w:tr>
      <w:tr w:rsidR="00F711A6" w:rsidRPr="005414F2" w14:paraId="0C20A834" w14:textId="199D6186" w:rsidTr="000B0224">
        <w:tc>
          <w:tcPr>
            <w:tcW w:w="2830" w:type="dxa"/>
          </w:tcPr>
          <w:p w14:paraId="124F67CD" w14:textId="0E98E1CE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authorise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 making of political donations</w:t>
            </w:r>
          </w:p>
          <w:p w14:paraId="126DD2E1" w14:textId="1EBB4B95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3FBF68" w14:textId="3AF522F4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794,156,741</w:t>
            </w:r>
          </w:p>
        </w:tc>
        <w:tc>
          <w:tcPr>
            <w:tcW w:w="709" w:type="dxa"/>
          </w:tcPr>
          <w:p w14:paraId="1A9EBF11" w14:textId="694AAC6D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93.09</w:t>
            </w:r>
          </w:p>
        </w:tc>
        <w:tc>
          <w:tcPr>
            <w:tcW w:w="1134" w:type="dxa"/>
          </w:tcPr>
          <w:p w14:paraId="5714B130" w14:textId="70C5BDDE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58,956,206</w:t>
            </w:r>
          </w:p>
        </w:tc>
        <w:tc>
          <w:tcPr>
            <w:tcW w:w="567" w:type="dxa"/>
          </w:tcPr>
          <w:p w14:paraId="4FDE5940" w14:textId="6D11D98B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6.91</w:t>
            </w:r>
          </w:p>
        </w:tc>
        <w:tc>
          <w:tcPr>
            <w:tcW w:w="1417" w:type="dxa"/>
          </w:tcPr>
          <w:p w14:paraId="00B97C40" w14:textId="60D398EA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853,112,947</w:t>
            </w:r>
          </w:p>
        </w:tc>
        <w:tc>
          <w:tcPr>
            <w:tcW w:w="709" w:type="dxa"/>
          </w:tcPr>
          <w:p w14:paraId="07332EAA" w14:textId="309E26BF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63.83%</w:t>
            </w:r>
          </w:p>
        </w:tc>
        <w:tc>
          <w:tcPr>
            <w:tcW w:w="1134" w:type="dxa"/>
          </w:tcPr>
          <w:p w14:paraId="2012CBC9" w14:textId="3E4129C8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724,638</w:t>
            </w:r>
          </w:p>
        </w:tc>
      </w:tr>
      <w:tr w:rsidR="00F711A6" w:rsidRPr="005414F2" w14:paraId="0DD532B5" w14:textId="57F4C6E0" w:rsidTr="000B0224">
        <w:tc>
          <w:tcPr>
            <w:tcW w:w="2830" w:type="dxa"/>
          </w:tcPr>
          <w:p w14:paraId="4D014AFC" w14:textId="4304C2EB" w:rsidR="00F711A6" w:rsidRPr="005414F2" w:rsidRDefault="00F711A6" w:rsidP="00F711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authorise</w:t>
            </w:r>
            <w:proofErr w:type="spellEnd"/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irectors  to</w:t>
            </w:r>
            <w:proofErr w:type="gramEnd"/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allot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 shares</w:t>
            </w:r>
          </w:p>
          <w:p w14:paraId="71D2AAAD" w14:textId="591D2C89" w:rsidR="00F711A6" w:rsidRPr="005414F2" w:rsidRDefault="00F711A6" w:rsidP="00F711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EAA589" w14:textId="64ECA091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lastRenderedPageBreak/>
              <w:t>798,215,585</w:t>
            </w:r>
          </w:p>
        </w:tc>
        <w:tc>
          <w:tcPr>
            <w:tcW w:w="709" w:type="dxa"/>
          </w:tcPr>
          <w:p w14:paraId="79DD47D1" w14:textId="64D8BC61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94.71</w:t>
            </w:r>
          </w:p>
        </w:tc>
        <w:tc>
          <w:tcPr>
            <w:tcW w:w="1134" w:type="dxa"/>
          </w:tcPr>
          <w:p w14:paraId="39190EF8" w14:textId="69BFD00B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44,585,189</w:t>
            </w:r>
          </w:p>
        </w:tc>
        <w:tc>
          <w:tcPr>
            <w:tcW w:w="567" w:type="dxa"/>
          </w:tcPr>
          <w:p w14:paraId="11600541" w14:textId="7E9D2B08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5.29</w:t>
            </w:r>
          </w:p>
        </w:tc>
        <w:tc>
          <w:tcPr>
            <w:tcW w:w="1417" w:type="dxa"/>
          </w:tcPr>
          <w:p w14:paraId="2D39CFE1" w14:textId="6E88C777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842,800,774</w:t>
            </w:r>
          </w:p>
        </w:tc>
        <w:tc>
          <w:tcPr>
            <w:tcW w:w="709" w:type="dxa"/>
          </w:tcPr>
          <w:p w14:paraId="50FDD7F9" w14:textId="10592049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63.06%</w:t>
            </w:r>
          </w:p>
        </w:tc>
        <w:tc>
          <w:tcPr>
            <w:tcW w:w="1134" w:type="dxa"/>
          </w:tcPr>
          <w:p w14:paraId="2BB65B31" w14:textId="46385454" w:rsidR="00F711A6" w:rsidRPr="000D6FAA" w:rsidRDefault="00F711A6" w:rsidP="00F711A6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11,036,801</w:t>
            </w:r>
          </w:p>
        </w:tc>
      </w:tr>
      <w:tr w:rsidR="00944854" w:rsidRPr="005414F2" w14:paraId="77DCF294" w14:textId="77777777" w:rsidTr="007C5D03">
        <w:tc>
          <w:tcPr>
            <w:tcW w:w="2830" w:type="dxa"/>
          </w:tcPr>
          <w:p w14:paraId="22012D27" w14:textId="2E01830F" w:rsidR="00944854" w:rsidRPr="005414F2" w:rsidRDefault="00944854" w:rsidP="009448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proofErr w:type="spellStart"/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authorise</w:t>
            </w:r>
            <w:proofErr w:type="spellEnd"/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irectors to disapply pre-emption rights *</w:t>
            </w:r>
          </w:p>
          <w:p w14:paraId="79DC94FF" w14:textId="45A69078" w:rsidR="00944854" w:rsidRPr="005414F2" w:rsidRDefault="00944854" w:rsidP="00944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4CF436" w14:textId="0D563CBC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822,068,034</w:t>
            </w:r>
          </w:p>
        </w:tc>
        <w:tc>
          <w:tcPr>
            <w:tcW w:w="709" w:type="dxa"/>
          </w:tcPr>
          <w:p w14:paraId="09417757" w14:textId="40649E96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96.37</w:t>
            </w:r>
          </w:p>
        </w:tc>
        <w:tc>
          <w:tcPr>
            <w:tcW w:w="1134" w:type="dxa"/>
          </w:tcPr>
          <w:p w14:paraId="2F8BEF2B" w14:textId="6F24B35C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30,938,926</w:t>
            </w:r>
          </w:p>
        </w:tc>
        <w:tc>
          <w:tcPr>
            <w:tcW w:w="567" w:type="dxa"/>
          </w:tcPr>
          <w:p w14:paraId="2662FEB1" w14:textId="6E01CC93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3.63</w:t>
            </w:r>
          </w:p>
        </w:tc>
        <w:tc>
          <w:tcPr>
            <w:tcW w:w="1417" w:type="dxa"/>
          </w:tcPr>
          <w:p w14:paraId="3ED19D60" w14:textId="561222DB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853,006,960</w:t>
            </w:r>
          </w:p>
        </w:tc>
        <w:tc>
          <w:tcPr>
            <w:tcW w:w="709" w:type="dxa"/>
          </w:tcPr>
          <w:p w14:paraId="0A8F33E2" w14:textId="10D0045A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63.82%</w:t>
            </w:r>
          </w:p>
        </w:tc>
        <w:tc>
          <w:tcPr>
            <w:tcW w:w="1134" w:type="dxa"/>
          </w:tcPr>
          <w:p w14:paraId="32C62DEF" w14:textId="1743AD8A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827,615</w:t>
            </w:r>
          </w:p>
        </w:tc>
      </w:tr>
      <w:tr w:rsidR="00944854" w:rsidRPr="005414F2" w14:paraId="71309895" w14:textId="77777777" w:rsidTr="007C5D03">
        <w:tc>
          <w:tcPr>
            <w:tcW w:w="2830" w:type="dxa"/>
          </w:tcPr>
          <w:p w14:paraId="01649509" w14:textId="7183B9DC" w:rsidR="00944854" w:rsidRPr="005027E1" w:rsidRDefault="00944854" w:rsidP="00944854">
            <w:pPr>
              <w:rPr>
                <w:rFonts w:ascii="Arial" w:hAnsi="Arial" w:cs="Arial"/>
                <w:sz w:val="18"/>
                <w:szCs w:val="18"/>
              </w:rPr>
            </w:pPr>
            <w:r w:rsidRPr="005027E1">
              <w:rPr>
                <w:rFonts w:ascii="Arial" w:hAnsi="Arial" w:cs="Arial"/>
                <w:sz w:val="18"/>
                <w:szCs w:val="18"/>
              </w:rPr>
              <w:t>17. To disapply pre-emption rights in connection with an acquisition or specified capital investment*</w:t>
            </w:r>
          </w:p>
        </w:tc>
        <w:tc>
          <w:tcPr>
            <w:tcW w:w="1276" w:type="dxa"/>
          </w:tcPr>
          <w:p w14:paraId="0AB6183F" w14:textId="1A654D7E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803,232,357</w:t>
            </w:r>
          </w:p>
        </w:tc>
        <w:tc>
          <w:tcPr>
            <w:tcW w:w="709" w:type="dxa"/>
          </w:tcPr>
          <w:p w14:paraId="06CCCF2E" w14:textId="3B5AA3C1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94.16</w:t>
            </w:r>
          </w:p>
        </w:tc>
        <w:tc>
          <w:tcPr>
            <w:tcW w:w="1134" w:type="dxa"/>
          </w:tcPr>
          <w:p w14:paraId="7A34CFB7" w14:textId="1F48F9CF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49,777,603</w:t>
            </w:r>
          </w:p>
        </w:tc>
        <w:tc>
          <w:tcPr>
            <w:tcW w:w="567" w:type="dxa"/>
          </w:tcPr>
          <w:p w14:paraId="5711AA49" w14:textId="4DA433BE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5.84</w:t>
            </w:r>
          </w:p>
        </w:tc>
        <w:tc>
          <w:tcPr>
            <w:tcW w:w="1417" w:type="dxa"/>
          </w:tcPr>
          <w:p w14:paraId="5BBE8C0F" w14:textId="2F61ED0C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853,009,960</w:t>
            </w:r>
          </w:p>
        </w:tc>
        <w:tc>
          <w:tcPr>
            <w:tcW w:w="709" w:type="dxa"/>
          </w:tcPr>
          <w:p w14:paraId="380FF79D" w14:textId="5ACFA3D9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63.82%</w:t>
            </w:r>
          </w:p>
        </w:tc>
        <w:tc>
          <w:tcPr>
            <w:tcW w:w="1134" w:type="dxa"/>
          </w:tcPr>
          <w:p w14:paraId="579B058B" w14:textId="6ACDA867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827,615</w:t>
            </w:r>
          </w:p>
        </w:tc>
      </w:tr>
      <w:tr w:rsidR="00944854" w:rsidRPr="005414F2" w14:paraId="41D5EB98" w14:textId="77777777" w:rsidTr="007C5D03">
        <w:tc>
          <w:tcPr>
            <w:tcW w:w="2830" w:type="dxa"/>
          </w:tcPr>
          <w:p w14:paraId="58837EC3" w14:textId="05B017ED" w:rsidR="00944854" w:rsidRPr="005027E1" w:rsidRDefault="00944854" w:rsidP="009448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27E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027E1">
              <w:rPr>
                <w:rFonts w:ascii="Arial" w:hAnsi="Arial" w:cs="Arial"/>
                <w:sz w:val="18"/>
                <w:szCs w:val="18"/>
              </w:rPr>
              <w:t>. T</w:t>
            </w:r>
            <w:r w:rsidRPr="005027E1">
              <w:rPr>
                <w:rFonts w:ascii="Arial" w:hAnsi="Arial" w:cs="Arial"/>
                <w:color w:val="000000"/>
                <w:sz w:val="18"/>
                <w:szCs w:val="18"/>
              </w:rPr>
              <w:t>o hold general meetings on 14 days’ notice*</w:t>
            </w:r>
          </w:p>
          <w:p w14:paraId="58162AF5" w14:textId="77777777" w:rsidR="00944854" w:rsidRPr="005027E1" w:rsidRDefault="00944854" w:rsidP="00944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7AE4E6" w14:textId="6EC258D2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793,814,641</w:t>
            </w:r>
          </w:p>
        </w:tc>
        <w:tc>
          <w:tcPr>
            <w:tcW w:w="709" w:type="dxa"/>
          </w:tcPr>
          <w:p w14:paraId="36AC3AF9" w14:textId="30D67596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93.04</w:t>
            </w:r>
          </w:p>
        </w:tc>
        <w:tc>
          <w:tcPr>
            <w:tcW w:w="1134" w:type="dxa"/>
          </w:tcPr>
          <w:p w14:paraId="085F401F" w14:textId="2E69DABA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59,413,996</w:t>
            </w:r>
          </w:p>
        </w:tc>
        <w:tc>
          <w:tcPr>
            <w:tcW w:w="567" w:type="dxa"/>
          </w:tcPr>
          <w:p w14:paraId="492B9AAF" w14:textId="2DF8E63E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6.96</w:t>
            </w:r>
          </w:p>
        </w:tc>
        <w:tc>
          <w:tcPr>
            <w:tcW w:w="1417" w:type="dxa"/>
          </w:tcPr>
          <w:p w14:paraId="28DA18F9" w14:textId="40A595BD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853,228,637</w:t>
            </w:r>
          </w:p>
        </w:tc>
        <w:tc>
          <w:tcPr>
            <w:tcW w:w="709" w:type="dxa"/>
          </w:tcPr>
          <w:p w14:paraId="51FCC36D" w14:textId="2B6E5CDC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63.84%</w:t>
            </w:r>
          </w:p>
        </w:tc>
        <w:tc>
          <w:tcPr>
            <w:tcW w:w="1134" w:type="dxa"/>
          </w:tcPr>
          <w:p w14:paraId="68E20490" w14:textId="43ED3EA9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608,938</w:t>
            </w:r>
          </w:p>
        </w:tc>
      </w:tr>
      <w:tr w:rsidR="00944854" w:rsidRPr="005414F2" w14:paraId="0A9D0FA6" w14:textId="77777777" w:rsidTr="007C5D03">
        <w:tc>
          <w:tcPr>
            <w:tcW w:w="2830" w:type="dxa"/>
          </w:tcPr>
          <w:p w14:paraId="5F5BA714" w14:textId="46895201" w:rsidR="00944854" w:rsidRPr="005027E1" w:rsidRDefault="00944854" w:rsidP="00944854">
            <w:pPr>
              <w:rPr>
                <w:rFonts w:ascii="Arial" w:hAnsi="Arial" w:cs="Arial"/>
                <w:sz w:val="18"/>
                <w:szCs w:val="18"/>
              </w:rPr>
            </w:pPr>
            <w:r w:rsidRPr="005027E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5027E1">
              <w:rPr>
                <w:rFonts w:ascii="Arial" w:hAnsi="Arial" w:cs="Arial"/>
                <w:sz w:val="18"/>
                <w:szCs w:val="18"/>
              </w:rPr>
              <w:t>. To purchase own shares*</w:t>
            </w:r>
          </w:p>
        </w:tc>
        <w:tc>
          <w:tcPr>
            <w:tcW w:w="1276" w:type="dxa"/>
          </w:tcPr>
          <w:p w14:paraId="5A259D81" w14:textId="7F89B1F5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853,272,846</w:t>
            </w:r>
          </w:p>
        </w:tc>
        <w:tc>
          <w:tcPr>
            <w:tcW w:w="709" w:type="dxa"/>
          </w:tcPr>
          <w:p w14:paraId="701845A3" w14:textId="607CF8AA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99.96</w:t>
            </w:r>
          </w:p>
        </w:tc>
        <w:tc>
          <w:tcPr>
            <w:tcW w:w="1134" w:type="dxa"/>
          </w:tcPr>
          <w:p w14:paraId="6E346E01" w14:textId="355C8AEB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330,553</w:t>
            </w:r>
          </w:p>
        </w:tc>
        <w:tc>
          <w:tcPr>
            <w:tcW w:w="567" w:type="dxa"/>
          </w:tcPr>
          <w:p w14:paraId="6C6D1CDD" w14:textId="3A4A2832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0.04</w:t>
            </w:r>
          </w:p>
        </w:tc>
        <w:tc>
          <w:tcPr>
            <w:tcW w:w="1417" w:type="dxa"/>
          </w:tcPr>
          <w:p w14:paraId="30F937E8" w14:textId="49F4E34D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853,603,399</w:t>
            </w:r>
          </w:p>
        </w:tc>
        <w:tc>
          <w:tcPr>
            <w:tcW w:w="709" w:type="dxa"/>
          </w:tcPr>
          <w:p w14:paraId="63E28F3A" w14:textId="52C0D258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63.87%</w:t>
            </w:r>
          </w:p>
        </w:tc>
        <w:tc>
          <w:tcPr>
            <w:tcW w:w="1134" w:type="dxa"/>
          </w:tcPr>
          <w:p w14:paraId="059D9D02" w14:textId="4A525DD9" w:rsidR="00944854" w:rsidRPr="000D6FAA" w:rsidRDefault="00944854" w:rsidP="00944854">
            <w:pPr>
              <w:rPr>
                <w:rFonts w:ascii="Arial" w:hAnsi="Arial" w:cs="Arial"/>
                <w:sz w:val="14"/>
                <w:szCs w:val="14"/>
              </w:rPr>
            </w:pPr>
            <w:r w:rsidRPr="000D6FAA">
              <w:rPr>
                <w:sz w:val="14"/>
                <w:szCs w:val="14"/>
              </w:rPr>
              <w:t>234,176</w:t>
            </w:r>
          </w:p>
        </w:tc>
      </w:tr>
    </w:tbl>
    <w:p w14:paraId="79494161" w14:textId="35143FD9" w:rsidR="009279D6" w:rsidRDefault="009279D6" w:rsidP="007610EC">
      <w:pPr>
        <w:spacing w:after="0"/>
        <w:rPr>
          <w:rFonts w:ascii="Arial" w:hAnsi="Arial" w:cs="Arial"/>
          <w:sz w:val="20"/>
          <w:szCs w:val="20"/>
        </w:rPr>
      </w:pPr>
    </w:p>
    <w:p w14:paraId="0B59EDEE" w14:textId="77777777" w:rsidR="00FC14EA" w:rsidRDefault="00FC14EA" w:rsidP="007610EC">
      <w:pPr>
        <w:spacing w:after="0"/>
        <w:rPr>
          <w:rFonts w:ascii="Arial" w:hAnsi="Arial" w:cs="Arial"/>
          <w:sz w:val="20"/>
          <w:szCs w:val="20"/>
        </w:rPr>
      </w:pPr>
    </w:p>
    <w:p w14:paraId="50A15C04" w14:textId="6EB3B264" w:rsidR="00383C14" w:rsidRPr="003056EC" w:rsidRDefault="00383C14" w:rsidP="00383C14">
      <w:pPr>
        <w:spacing w:after="0"/>
        <w:rPr>
          <w:rFonts w:ascii="Arial" w:hAnsi="Arial" w:cs="Arial"/>
          <w:sz w:val="18"/>
          <w:szCs w:val="18"/>
        </w:rPr>
      </w:pPr>
      <w:r w:rsidRPr="003056EC">
        <w:rPr>
          <w:rFonts w:ascii="Arial" w:hAnsi="Arial" w:cs="Arial"/>
          <w:sz w:val="18"/>
          <w:szCs w:val="18"/>
        </w:rPr>
        <w:t xml:space="preserve">1 A vote withheld is not a vote in law and is not counted in the calculation of the proportion of votes for or against a </w:t>
      </w:r>
      <w:proofErr w:type="gramStart"/>
      <w:r w:rsidRPr="003056EC">
        <w:rPr>
          <w:rFonts w:ascii="Arial" w:hAnsi="Arial" w:cs="Arial"/>
          <w:sz w:val="18"/>
          <w:szCs w:val="18"/>
        </w:rPr>
        <w:t>resolution</w:t>
      </w:r>
      <w:proofErr w:type="gramEnd"/>
    </w:p>
    <w:p w14:paraId="26E5574B" w14:textId="4752ABB7" w:rsidR="00383C14" w:rsidRPr="003056EC" w:rsidRDefault="00383C14" w:rsidP="00383C14">
      <w:pPr>
        <w:spacing w:after="0"/>
        <w:rPr>
          <w:rFonts w:ascii="Arial" w:hAnsi="Arial" w:cs="Arial"/>
          <w:sz w:val="18"/>
          <w:szCs w:val="18"/>
        </w:rPr>
      </w:pPr>
    </w:p>
    <w:p w14:paraId="499272A8" w14:textId="7E0977F3" w:rsidR="00383C14" w:rsidRPr="003056EC" w:rsidRDefault="00383C14" w:rsidP="00383C14">
      <w:pPr>
        <w:spacing w:after="0"/>
        <w:rPr>
          <w:rFonts w:ascii="Arial" w:hAnsi="Arial" w:cs="Arial"/>
          <w:sz w:val="18"/>
          <w:szCs w:val="18"/>
        </w:rPr>
      </w:pPr>
      <w:r w:rsidRPr="003056EC">
        <w:rPr>
          <w:rFonts w:ascii="Arial" w:hAnsi="Arial" w:cs="Arial"/>
          <w:sz w:val="18"/>
          <w:szCs w:val="18"/>
        </w:rPr>
        <w:t xml:space="preserve">* </w:t>
      </w:r>
      <w:proofErr w:type="gramStart"/>
      <w:r w:rsidRPr="003056EC">
        <w:rPr>
          <w:rFonts w:ascii="Arial" w:hAnsi="Arial" w:cs="Arial"/>
          <w:sz w:val="18"/>
          <w:szCs w:val="18"/>
        </w:rPr>
        <w:t>indicates</w:t>
      </w:r>
      <w:proofErr w:type="gramEnd"/>
      <w:r w:rsidRPr="003056EC">
        <w:rPr>
          <w:rFonts w:ascii="Arial" w:hAnsi="Arial" w:cs="Arial"/>
          <w:sz w:val="18"/>
          <w:szCs w:val="18"/>
        </w:rPr>
        <w:t xml:space="preserve"> a special resolution</w:t>
      </w:r>
    </w:p>
    <w:p w14:paraId="045ED2C1" w14:textId="77777777" w:rsidR="00383C14" w:rsidRDefault="00383C14" w:rsidP="007610EC">
      <w:pPr>
        <w:spacing w:after="0"/>
        <w:rPr>
          <w:rFonts w:ascii="Arial" w:hAnsi="Arial" w:cs="Arial"/>
          <w:sz w:val="20"/>
          <w:szCs w:val="20"/>
        </w:rPr>
      </w:pPr>
    </w:p>
    <w:p w14:paraId="0A5E2013" w14:textId="5065B00A" w:rsidR="002D6D8A" w:rsidRDefault="009915CD" w:rsidP="007610E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CD1F49" w:rsidRPr="00CD1F49">
        <w:rPr>
          <w:rFonts w:ascii="Arial" w:hAnsi="Arial" w:cs="Arial"/>
          <w:sz w:val="20"/>
          <w:szCs w:val="20"/>
        </w:rPr>
        <w:t xml:space="preserve"> total issued share capital of PHP </w:t>
      </w:r>
      <w:r w:rsidR="007610EC">
        <w:rPr>
          <w:rFonts w:ascii="Arial" w:hAnsi="Arial" w:cs="Arial"/>
          <w:sz w:val="20"/>
          <w:szCs w:val="20"/>
        </w:rPr>
        <w:t>is</w:t>
      </w:r>
      <w:r w:rsidR="00383C14" w:rsidRPr="00383C14">
        <w:rPr>
          <w:rFonts w:ascii="Arial" w:hAnsi="Arial" w:cs="Arial"/>
          <w:sz w:val="20"/>
          <w:szCs w:val="20"/>
        </w:rPr>
        <w:t xml:space="preserve"> </w:t>
      </w:r>
      <w:r w:rsidR="001C7BA9" w:rsidRPr="001C7BA9">
        <w:rPr>
          <w:rFonts w:ascii="Arial" w:hAnsi="Arial" w:cs="Arial"/>
          <w:sz w:val="20"/>
          <w:szCs w:val="20"/>
        </w:rPr>
        <w:t xml:space="preserve">1,336,493,786 </w:t>
      </w:r>
      <w:r w:rsidR="00617015">
        <w:rPr>
          <w:rFonts w:ascii="Arial" w:hAnsi="Arial" w:cs="Arial"/>
          <w:sz w:val="20"/>
          <w:szCs w:val="20"/>
        </w:rPr>
        <w:t>Ordinary Shares</w:t>
      </w:r>
      <w:r w:rsidR="00CD1F49" w:rsidRPr="00CD1F49">
        <w:rPr>
          <w:rFonts w:ascii="Arial" w:hAnsi="Arial" w:cs="Arial"/>
          <w:sz w:val="20"/>
          <w:szCs w:val="20"/>
        </w:rPr>
        <w:t>. This figure may be used by Shareholders as the denominator for the calculations by which they will determine if they are required to notify their interest in, or a change in their interest in, the share capital of the Company under the FCA's Disclosure Guidance and Transparency Rules</w:t>
      </w:r>
      <w:r w:rsidR="00617015">
        <w:rPr>
          <w:rFonts w:ascii="Arial" w:hAnsi="Arial" w:cs="Arial"/>
          <w:sz w:val="20"/>
          <w:szCs w:val="20"/>
        </w:rPr>
        <w:t>.</w:t>
      </w:r>
    </w:p>
    <w:p w14:paraId="287F03A8" w14:textId="523308B6" w:rsidR="00144B96" w:rsidRDefault="00144B96" w:rsidP="00144B96">
      <w:pPr>
        <w:rPr>
          <w:rFonts w:ascii="Arial" w:hAnsi="Arial" w:cs="Arial"/>
          <w:sz w:val="20"/>
          <w:szCs w:val="20"/>
        </w:rPr>
      </w:pPr>
      <w:r w:rsidRPr="00144B96">
        <w:rPr>
          <w:rFonts w:ascii="Arial" w:hAnsi="Arial" w:cs="Arial"/>
          <w:sz w:val="20"/>
          <w:szCs w:val="20"/>
        </w:rPr>
        <w:t>A copy of the resolutions passed as special business at today’s AGM will, in accordance with Listing Rule 9.6.2., be submitted to the</w:t>
      </w:r>
      <w:r>
        <w:rPr>
          <w:rFonts w:ascii="Arial" w:hAnsi="Arial" w:cs="Arial"/>
          <w:sz w:val="20"/>
          <w:szCs w:val="20"/>
        </w:rPr>
        <w:t xml:space="preserve"> </w:t>
      </w:r>
      <w:r w:rsidRPr="00144B96">
        <w:rPr>
          <w:rFonts w:ascii="Arial" w:hAnsi="Arial" w:cs="Arial"/>
          <w:sz w:val="20"/>
          <w:szCs w:val="20"/>
        </w:rPr>
        <w:t xml:space="preserve">National Storage Mechanism and will be available at </w:t>
      </w:r>
      <w:proofErr w:type="gramStart"/>
      <w:r w:rsidRPr="00144B96">
        <w:rPr>
          <w:rFonts w:ascii="Arial" w:hAnsi="Arial" w:cs="Arial"/>
          <w:sz w:val="20"/>
          <w:szCs w:val="20"/>
          <w:u w:val="single"/>
        </w:rPr>
        <w:t>https://data.fca.org.uk/#/nsm/nationalstoragemechanism</w:t>
      </w:r>
      <w:proofErr w:type="gramEnd"/>
    </w:p>
    <w:p w14:paraId="4C7CC974" w14:textId="77777777" w:rsidR="00CD1F49" w:rsidRPr="00C26A78" w:rsidRDefault="00CD1F49" w:rsidP="007610E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215BFA2" w14:textId="77777777" w:rsidR="00417ADB" w:rsidRPr="00C26A78" w:rsidRDefault="00417ADB" w:rsidP="00417ADB">
      <w:pPr>
        <w:jc w:val="both"/>
        <w:rPr>
          <w:rFonts w:ascii="Arial" w:hAnsi="Arial" w:cs="Arial"/>
          <w:sz w:val="20"/>
          <w:szCs w:val="20"/>
        </w:rPr>
      </w:pPr>
      <w:r w:rsidRPr="00C26A78">
        <w:rPr>
          <w:rFonts w:ascii="Arial" w:hAnsi="Arial" w:cs="Arial"/>
          <w:sz w:val="20"/>
          <w:szCs w:val="20"/>
        </w:rPr>
        <w:t>For further information contact: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476"/>
      </w:tblGrid>
      <w:tr w:rsidR="00417ADB" w:rsidRPr="00C26A78" w14:paraId="6019FE18" w14:textId="77777777" w:rsidTr="00033419">
        <w:tc>
          <w:tcPr>
            <w:tcW w:w="4550" w:type="dxa"/>
          </w:tcPr>
          <w:p w14:paraId="5765765A" w14:textId="77777777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  <w:r w:rsidRPr="00C26A78">
              <w:rPr>
                <w:rFonts w:ascii="Arial" w:hAnsi="Arial" w:cs="Arial"/>
              </w:rPr>
              <w:t>Harry Hyman</w:t>
            </w:r>
          </w:p>
          <w:p w14:paraId="6A7A45FE" w14:textId="325E2153" w:rsidR="00417ADB" w:rsidRPr="00C26A78" w:rsidRDefault="00144B96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Executive Officer</w:t>
            </w:r>
          </w:p>
          <w:p w14:paraId="6FDBFF4E" w14:textId="783ADA7C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  <w:r w:rsidRPr="00C26A78">
              <w:rPr>
                <w:rFonts w:ascii="Arial" w:hAnsi="Arial" w:cs="Arial"/>
              </w:rPr>
              <w:t xml:space="preserve">Tel: +44 (0) </w:t>
            </w:r>
            <w:r w:rsidR="001C7BA9" w:rsidRPr="001C7BA9">
              <w:rPr>
                <w:rFonts w:ascii="Arial" w:hAnsi="Arial" w:cs="Arial"/>
              </w:rPr>
              <w:t>7973 344768</w:t>
            </w:r>
          </w:p>
        </w:tc>
        <w:tc>
          <w:tcPr>
            <w:tcW w:w="4476" w:type="dxa"/>
          </w:tcPr>
          <w:p w14:paraId="65DE51F6" w14:textId="77777777" w:rsidR="00417ADB" w:rsidRPr="00C26A78" w:rsidRDefault="006B57BD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Howell</w:t>
            </w:r>
          </w:p>
          <w:p w14:paraId="1CFB49AC" w14:textId="42267962" w:rsidR="00417ADB" w:rsidRPr="00C26A78" w:rsidRDefault="00144B96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</w:t>
            </w:r>
            <w:r w:rsidR="00417ADB" w:rsidRPr="00C26A78">
              <w:rPr>
                <w:rFonts w:ascii="Arial" w:hAnsi="Arial" w:cs="Arial"/>
              </w:rPr>
              <w:t>Financ</w:t>
            </w:r>
            <w:r>
              <w:rPr>
                <w:rFonts w:ascii="Arial" w:hAnsi="Arial" w:cs="Arial"/>
              </w:rPr>
              <w:t>ial Officer</w:t>
            </w:r>
          </w:p>
          <w:p w14:paraId="6F461643" w14:textId="178BB94B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  <w:r w:rsidRPr="00C26A78">
              <w:rPr>
                <w:rFonts w:ascii="Arial" w:hAnsi="Arial" w:cs="Arial"/>
              </w:rPr>
              <w:t xml:space="preserve">Tel: +44 (0) </w:t>
            </w:r>
            <w:r w:rsidR="00F32240" w:rsidRPr="00F32240">
              <w:rPr>
                <w:rFonts w:ascii="Arial" w:hAnsi="Arial" w:cs="Arial"/>
              </w:rPr>
              <w:t>7766 072272</w:t>
            </w:r>
          </w:p>
          <w:p w14:paraId="6ED0ECD1" w14:textId="77777777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</w:p>
        </w:tc>
      </w:tr>
      <w:tr w:rsidR="00417ADB" w:rsidRPr="00C26A78" w14:paraId="746E2F18" w14:textId="77777777" w:rsidTr="00033419">
        <w:tc>
          <w:tcPr>
            <w:tcW w:w="4550" w:type="dxa"/>
          </w:tcPr>
          <w:p w14:paraId="6035B569" w14:textId="500039F0" w:rsidR="00417ADB" w:rsidRPr="00C26A78" w:rsidRDefault="00DF3048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Toby Newman</w:t>
            </w:r>
          </w:p>
          <w:p w14:paraId="077D5D0E" w14:textId="15BD8CD9" w:rsidR="00417ADB" w:rsidRPr="00C26A78" w:rsidRDefault="001D3AC8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S</w:t>
            </w:r>
            <w:r w:rsidR="00417ADB" w:rsidRPr="00C26A78">
              <w:rPr>
                <w:rFonts w:ascii="Arial" w:hAnsi="Arial" w:cs="Arial"/>
              </w:rPr>
              <w:t>ecretary</w:t>
            </w:r>
            <w:r w:rsidR="003056EC">
              <w:rPr>
                <w:rFonts w:ascii="Arial" w:hAnsi="Arial" w:cs="Arial"/>
              </w:rPr>
              <w:t xml:space="preserve"> &amp; Chief Legal Officer</w:t>
            </w:r>
          </w:p>
          <w:p w14:paraId="6F67A8BE" w14:textId="6650220C" w:rsidR="00417ADB" w:rsidRPr="00C26A78" w:rsidRDefault="00417ADB" w:rsidP="00617015">
            <w:pPr>
              <w:jc w:val="both"/>
              <w:rPr>
                <w:rFonts w:ascii="Arial" w:hAnsi="Arial" w:cs="Arial"/>
              </w:rPr>
            </w:pPr>
            <w:r w:rsidRPr="00C26A78">
              <w:rPr>
                <w:rFonts w:ascii="Arial" w:hAnsi="Arial" w:cs="Arial"/>
              </w:rPr>
              <w:t xml:space="preserve">Tel: +44 (0) </w:t>
            </w:r>
            <w:r w:rsidR="005027E1" w:rsidRPr="005027E1">
              <w:rPr>
                <w:rFonts w:ascii="Arial" w:hAnsi="Arial" w:cs="Arial"/>
              </w:rPr>
              <w:t>7729 047959</w:t>
            </w:r>
          </w:p>
        </w:tc>
        <w:tc>
          <w:tcPr>
            <w:tcW w:w="4476" w:type="dxa"/>
          </w:tcPr>
          <w:p w14:paraId="76C165E0" w14:textId="77777777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119B23" w14:textId="77777777" w:rsidR="00417ADB" w:rsidRPr="00C26A78" w:rsidRDefault="00417ADB">
      <w:pPr>
        <w:rPr>
          <w:rFonts w:ascii="Arial" w:hAnsi="Arial" w:cs="Arial"/>
          <w:sz w:val="20"/>
          <w:szCs w:val="20"/>
        </w:rPr>
      </w:pPr>
    </w:p>
    <w:sectPr w:rsidR="00417ADB" w:rsidRPr="00C26A78" w:rsidSect="00731F3D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A33F" w14:textId="77777777" w:rsidR="005541EB" w:rsidRDefault="005541EB" w:rsidP="009279D6">
      <w:pPr>
        <w:spacing w:after="0" w:line="240" w:lineRule="auto"/>
      </w:pPr>
      <w:r>
        <w:separator/>
      </w:r>
    </w:p>
  </w:endnote>
  <w:endnote w:type="continuationSeparator" w:id="0">
    <w:p w14:paraId="7714F40B" w14:textId="77777777" w:rsidR="005541EB" w:rsidRDefault="005541EB" w:rsidP="0092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8A3A" w14:textId="77777777" w:rsidR="005541EB" w:rsidRDefault="005541EB" w:rsidP="009279D6">
      <w:pPr>
        <w:spacing w:after="0" w:line="240" w:lineRule="auto"/>
      </w:pPr>
      <w:r>
        <w:separator/>
      </w:r>
    </w:p>
  </w:footnote>
  <w:footnote w:type="continuationSeparator" w:id="0">
    <w:p w14:paraId="1AFD4BEC" w14:textId="77777777" w:rsidR="005541EB" w:rsidRDefault="005541EB" w:rsidP="0092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A4B"/>
    <w:multiLevelType w:val="hybridMultilevel"/>
    <w:tmpl w:val="B246A25C"/>
    <w:lvl w:ilvl="0" w:tplc="130611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61FA"/>
    <w:multiLevelType w:val="hybridMultilevel"/>
    <w:tmpl w:val="6BB8E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577C5"/>
    <w:multiLevelType w:val="hybridMultilevel"/>
    <w:tmpl w:val="A51E1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81226">
    <w:abstractNumId w:val="2"/>
  </w:num>
  <w:num w:numId="2" w16cid:durableId="966737348">
    <w:abstractNumId w:val="0"/>
  </w:num>
  <w:num w:numId="3" w16cid:durableId="211740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F5"/>
    <w:rsid w:val="0005488C"/>
    <w:rsid w:val="00096148"/>
    <w:rsid w:val="000A5A2A"/>
    <w:rsid w:val="000C2855"/>
    <w:rsid w:val="000D6FAA"/>
    <w:rsid w:val="000F4669"/>
    <w:rsid w:val="00144B96"/>
    <w:rsid w:val="00155454"/>
    <w:rsid w:val="00166BF5"/>
    <w:rsid w:val="001A1BE0"/>
    <w:rsid w:val="001B4C93"/>
    <w:rsid w:val="001C7BA9"/>
    <w:rsid w:val="001D3AC8"/>
    <w:rsid w:val="00237AEC"/>
    <w:rsid w:val="002D6D8A"/>
    <w:rsid w:val="003056EC"/>
    <w:rsid w:val="00325C43"/>
    <w:rsid w:val="00383C14"/>
    <w:rsid w:val="00417ADB"/>
    <w:rsid w:val="00450A90"/>
    <w:rsid w:val="00483674"/>
    <w:rsid w:val="004B5A29"/>
    <w:rsid w:val="004E2F18"/>
    <w:rsid w:val="004F08A6"/>
    <w:rsid w:val="005027E1"/>
    <w:rsid w:val="005414F2"/>
    <w:rsid w:val="005541EB"/>
    <w:rsid w:val="0055678D"/>
    <w:rsid w:val="005B6E50"/>
    <w:rsid w:val="005D54A0"/>
    <w:rsid w:val="005E51A3"/>
    <w:rsid w:val="005F65CD"/>
    <w:rsid w:val="00617015"/>
    <w:rsid w:val="00670651"/>
    <w:rsid w:val="006B57BD"/>
    <w:rsid w:val="006C069A"/>
    <w:rsid w:val="006D4FA7"/>
    <w:rsid w:val="00731F3D"/>
    <w:rsid w:val="007610EC"/>
    <w:rsid w:val="00780D4B"/>
    <w:rsid w:val="00837044"/>
    <w:rsid w:val="00862E3A"/>
    <w:rsid w:val="008B0C23"/>
    <w:rsid w:val="008B72E7"/>
    <w:rsid w:val="009279D6"/>
    <w:rsid w:val="009369B3"/>
    <w:rsid w:val="00944854"/>
    <w:rsid w:val="0096797A"/>
    <w:rsid w:val="009915CD"/>
    <w:rsid w:val="009C4618"/>
    <w:rsid w:val="009E287A"/>
    <w:rsid w:val="00A00417"/>
    <w:rsid w:val="00B45A03"/>
    <w:rsid w:val="00B73F07"/>
    <w:rsid w:val="00B80E4C"/>
    <w:rsid w:val="00BB7158"/>
    <w:rsid w:val="00C25C3E"/>
    <w:rsid w:val="00C26A78"/>
    <w:rsid w:val="00C73270"/>
    <w:rsid w:val="00CC67E2"/>
    <w:rsid w:val="00CD1F49"/>
    <w:rsid w:val="00CF0383"/>
    <w:rsid w:val="00D96CFD"/>
    <w:rsid w:val="00DF3048"/>
    <w:rsid w:val="00E91AF5"/>
    <w:rsid w:val="00EC1E52"/>
    <w:rsid w:val="00F32240"/>
    <w:rsid w:val="00F711A6"/>
    <w:rsid w:val="00FA4E6F"/>
    <w:rsid w:val="00FC14EA"/>
    <w:rsid w:val="00F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0CF4"/>
  <w15:chartTrackingRefBased/>
  <w15:docId w15:val="{33D7A8C8-009B-48AC-B116-F07EAC54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9D6"/>
  </w:style>
  <w:style w:type="paragraph" w:styleId="Footer">
    <w:name w:val="footer"/>
    <w:basedOn w:val="Normal"/>
    <w:link w:val="FooterChar"/>
    <w:uiPriority w:val="99"/>
    <w:unhideWhenUsed/>
    <w:rsid w:val="00927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9D6"/>
  </w:style>
  <w:style w:type="table" w:styleId="TableGrid">
    <w:name w:val="Table Grid"/>
    <w:basedOn w:val="TableNormal"/>
    <w:uiPriority w:val="59"/>
    <w:rsid w:val="0041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57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5F2E-D7CD-4AA7-BB4E-FF06D648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Brown</dc:creator>
  <cp:keywords/>
  <dc:description/>
  <cp:lastModifiedBy>Wilson, Helen</cp:lastModifiedBy>
  <cp:revision>8</cp:revision>
  <cp:lastPrinted>2022-04-27T15:22:00Z</cp:lastPrinted>
  <dcterms:created xsi:type="dcterms:W3CDTF">2023-04-19T14:12:00Z</dcterms:created>
  <dcterms:modified xsi:type="dcterms:W3CDTF">2024-04-24T10:18:00Z</dcterms:modified>
</cp:coreProperties>
</file>