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1419" w14:textId="1F810B54" w:rsidR="00C26A78" w:rsidRDefault="00157465" w:rsidP="00617015">
      <w:pPr>
        <w:autoSpaceDE w:val="0"/>
        <w:autoSpaceDN w:val="0"/>
        <w:adjustRightInd w:val="0"/>
        <w:spacing w:after="120" w:line="240" w:lineRule="auto"/>
        <w:rPr>
          <w:rFonts w:ascii="Arial" w:hAnsi="Arial" w:cs="Arial"/>
          <w:sz w:val="20"/>
          <w:szCs w:val="20"/>
        </w:rPr>
      </w:pPr>
      <w:r>
        <w:rPr>
          <w:rFonts w:ascii="Arial" w:hAnsi="Arial" w:cs="Arial"/>
          <w:sz w:val="20"/>
          <w:szCs w:val="20"/>
        </w:rPr>
        <w:t>1 July</w:t>
      </w:r>
      <w:r w:rsidR="00FE10D2">
        <w:rPr>
          <w:rFonts w:ascii="Arial" w:hAnsi="Arial" w:cs="Arial"/>
          <w:sz w:val="20"/>
          <w:szCs w:val="20"/>
        </w:rPr>
        <w:t xml:space="preserve"> 202</w:t>
      </w:r>
      <w:r w:rsidR="00EA5CF0">
        <w:rPr>
          <w:rFonts w:ascii="Arial" w:hAnsi="Arial" w:cs="Arial"/>
          <w:sz w:val="20"/>
          <w:szCs w:val="20"/>
        </w:rPr>
        <w:t>5</w:t>
      </w:r>
    </w:p>
    <w:p w14:paraId="77C494F9" w14:textId="58D23E7C" w:rsidR="009A1697" w:rsidRPr="004928F2" w:rsidRDefault="009A1697" w:rsidP="00617015">
      <w:pPr>
        <w:autoSpaceDE w:val="0"/>
        <w:autoSpaceDN w:val="0"/>
        <w:adjustRightInd w:val="0"/>
        <w:spacing w:after="120" w:line="240" w:lineRule="auto"/>
        <w:rPr>
          <w:rFonts w:ascii="Arial" w:hAnsi="Arial" w:cs="Arial"/>
          <w:b/>
          <w:bCs/>
          <w:sz w:val="20"/>
          <w:szCs w:val="20"/>
        </w:rPr>
      </w:pPr>
      <w:r w:rsidRPr="004928F2">
        <w:rPr>
          <w:rFonts w:ascii="Arial" w:hAnsi="Arial" w:cs="Arial"/>
          <w:b/>
          <w:bCs/>
          <w:sz w:val="20"/>
          <w:szCs w:val="20"/>
        </w:rPr>
        <w:t>For immediate release</w:t>
      </w:r>
    </w:p>
    <w:p w14:paraId="62E61996" w14:textId="77777777" w:rsidR="00223DB9" w:rsidRPr="003E7DE2" w:rsidRDefault="00223DB9" w:rsidP="00223DB9">
      <w:pPr>
        <w:pStyle w:val="CMSANBodyText"/>
        <w:spacing w:after="240" w:line="240" w:lineRule="auto"/>
        <w:jc w:val="center"/>
        <w:rPr>
          <w:rFonts w:ascii="Arial" w:hAnsi="Arial" w:cs="Arial"/>
          <w:b/>
          <w:bCs/>
          <w:sz w:val="20"/>
          <w:szCs w:val="20"/>
        </w:rPr>
      </w:pPr>
      <w:r>
        <w:rPr>
          <w:rFonts w:ascii="Arial" w:hAnsi="Arial" w:cs="Arial"/>
          <w:b/>
          <w:bCs/>
          <w:sz w:val="20"/>
          <w:szCs w:val="20"/>
        </w:rPr>
        <w:t>Recommended Combination of</w:t>
      </w:r>
    </w:p>
    <w:p w14:paraId="30706D74" w14:textId="77777777" w:rsidR="00223DB9" w:rsidRPr="003E7DE2" w:rsidRDefault="00223DB9" w:rsidP="00223DB9">
      <w:pPr>
        <w:pStyle w:val="CMSANBodyText"/>
        <w:spacing w:after="240" w:line="240" w:lineRule="auto"/>
        <w:jc w:val="center"/>
        <w:rPr>
          <w:rFonts w:ascii="Arial" w:hAnsi="Arial" w:cs="Arial"/>
          <w:b/>
          <w:bCs/>
          <w:sz w:val="20"/>
          <w:szCs w:val="20"/>
        </w:rPr>
      </w:pPr>
      <w:r>
        <w:rPr>
          <w:rFonts w:ascii="Arial" w:hAnsi="Arial" w:cs="Arial"/>
          <w:b/>
          <w:bCs/>
          <w:sz w:val="20"/>
          <w:szCs w:val="20"/>
        </w:rPr>
        <w:t>Assura Plc (“Assura”)</w:t>
      </w:r>
    </w:p>
    <w:p w14:paraId="6423CC70" w14:textId="77777777" w:rsidR="00223DB9" w:rsidRPr="003E7DE2" w:rsidRDefault="00223DB9" w:rsidP="00223DB9">
      <w:pPr>
        <w:pStyle w:val="CMSANBodyText"/>
        <w:spacing w:after="240" w:line="240" w:lineRule="auto"/>
        <w:jc w:val="center"/>
        <w:rPr>
          <w:rFonts w:ascii="Arial" w:hAnsi="Arial" w:cs="Arial"/>
          <w:b/>
          <w:bCs/>
          <w:sz w:val="20"/>
          <w:szCs w:val="20"/>
        </w:rPr>
      </w:pPr>
      <w:r>
        <w:rPr>
          <w:rFonts w:ascii="Arial" w:hAnsi="Arial" w:cs="Arial"/>
          <w:b/>
          <w:bCs/>
          <w:sz w:val="20"/>
          <w:szCs w:val="20"/>
        </w:rPr>
        <w:t>and</w:t>
      </w:r>
    </w:p>
    <w:p w14:paraId="4C66C199" w14:textId="77777777" w:rsidR="00223DB9" w:rsidRPr="003E7DE2" w:rsidRDefault="00223DB9" w:rsidP="00223DB9">
      <w:pPr>
        <w:pStyle w:val="CMSANBodyText"/>
        <w:spacing w:after="240" w:line="240" w:lineRule="auto"/>
        <w:jc w:val="center"/>
        <w:rPr>
          <w:rFonts w:ascii="Arial" w:hAnsi="Arial" w:cs="Arial"/>
          <w:b/>
          <w:bCs/>
          <w:sz w:val="20"/>
          <w:szCs w:val="20"/>
        </w:rPr>
      </w:pPr>
      <w:r>
        <w:rPr>
          <w:rFonts w:ascii="Arial" w:hAnsi="Arial" w:cs="Arial"/>
          <w:b/>
          <w:bCs/>
          <w:sz w:val="20"/>
          <w:szCs w:val="20"/>
        </w:rPr>
        <w:t>Primary Health Properties</w:t>
      </w:r>
      <w:r w:rsidRPr="003E7DE2">
        <w:rPr>
          <w:rFonts w:ascii="Arial" w:hAnsi="Arial" w:cs="Arial"/>
          <w:b/>
          <w:bCs/>
          <w:sz w:val="20"/>
          <w:szCs w:val="20"/>
        </w:rPr>
        <w:t xml:space="preserve"> </w:t>
      </w:r>
      <w:r>
        <w:rPr>
          <w:rFonts w:ascii="Arial" w:hAnsi="Arial" w:cs="Arial"/>
          <w:b/>
          <w:bCs/>
          <w:sz w:val="20"/>
          <w:szCs w:val="20"/>
        </w:rPr>
        <w:t>PLC (“PHP”)</w:t>
      </w:r>
    </w:p>
    <w:p w14:paraId="1D1DED6A" w14:textId="77777777" w:rsidR="00223DB9" w:rsidRPr="003E7DE2" w:rsidRDefault="00223DB9" w:rsidP="00223DB9">
      <w:pPr>
        <w:pStyle w:val="CMSANBodyText"/>
        <w:spacing w:after="240" w:line="240" w:lineRule="auto"/>
        <w:jc w:val="center"/>
        <w:rPr>
          <w:rFonts w:ascii="Arial" w:hAnsi="Arial" w:cs="Arial"/>
          <w:b/>
          <w:bCs/>
          <w:sz w:val="20"/>
          <w:szCs w:val="20"/>
        </w:rPr>
      </w:pPr>
      <w:r w:rsidRPr="003E7DE2">
        <w:rPr>
          <w:rFonts w:ascii="Arial" w:hAnsi="Arial" w:cs="Arial"/>
          <w:b/>
          <w:bCs/>
          <w:sz w:val="20"/>
          <w:szCs w:val="20"/>
        </w:rPr>
        <w:t>to be implemented by means of a takeover offer</w:t>
      </w:r>
    </w:p>
    <w:p w14:paraId="2029C564" w14:textId="77777777" w:rsidR="00223DB9" w:rsidRDefault="00223DB9" w:rsidP="00223DB9">
      <w:pPr>
        <w:pStyle w:val="CMSANBodyText"/>
        <w:spacing w:after="240" w:line="240" w:lineRule="auto"/>
        <w:jc w:val="center"/>
        <w:rPr>
          <w:rFonts w:ascii="Arial" w:hAnsi="Arial" w:cs="Arial"/>
          <w:b/>
          <w:bCs/>
          <w:sz w:val="20"/>
          <w:szCs w:val="20"/>
        </w:rPr>
      </w:pPr>
      <w:r w:rsidRPr="003E7DE2">
        <w:rPr>
          <w:rFonts w:ascii="Arial" w:hAnsi="Arial" w:cs="Arial"/>
          <w:b/>
          <w:bCs/>
          <w:sz w:val="20"/>
          <w:szCs w:val="20"/>
        </w:rPr>
        <w:t>under Part 28 of the Companies Act 2006</w:t>
      </w:r>
    </w:p>
    <w:p w14:paraId="6B2995FE" w14:textId="77777777" w:rsidR="002D6D8A" w:rsidRDefault="002D6D8A" w:rsidP="00617015">
      <w:pPr>
        <w:autoSpaceDE w:val="0"/>
        <w:autoSpaceDN w:val="0"/>
        <w:adjustRightInd w:val="0"/>
        <w:spacing w:after="120" w:line="240" w:lineRule="auto"/>
        <w:jc w:val="center"/>
        <w:rPr>
          <w:rFonts w:ascii="Arial" w:hAnsi="Arial" w:cs="Arial"/>
          <w:b/>
        </w:rPr>
      </w:pPr>
    </w:p>
    <w:p w14:paraId="100B7EE7" w14:textId="45EE3C49" w:rsidR="00C26A78" w:rsidRDefault="00C26A78" w:rsidP="00617015">
      <w:pPr>
        <w:autoSpaceDE w:val="0"/>
        <w:autoSpaceDN w:val="0"/>
        <w:adjustRightInd w:val="0"/>
        <w:spacing w:after="120" w:line="240" w:lineRule="auto"/>
        <w:jc w:val="center"/>
        <w:rPr>
          <w:rFonts w:ascii="Arial" w:hAnsi="Arial" w:cs="Arial"/>
          <w:b/>
        </w:rPr>
      </w:pPr>
      <w:r>
        <w:rPr>
          <w:rFonts w:ascii="Arial" w:hAnsi="Arial" w:cs="Arial"/>
          <w:b/>
        </w:rPr>
        <w:t xml:space="preserve">Results of </w:t>
      </w:r>
      <w:r w:rsidR="00223DB9">
        <w:rPr>
          <w:rFonts w:ascii="Arial" w:hAnsi="Arial" w:cs="Arial"/>
          <w:b/>
        </w:rPr>
        <w:t>PHP General Meeting</w:t>
      </w:r>
    </w:p>
    <w:p w14:paraId="122BCD13" w14:textId="77777777" w:rsidR="002D6D8A" w:rsidRPr="002F5C59" w:rsidRDefault="002D6D8A" w:rsidP="00617015">
      <w:pPr>
        <w:autoSpaceDE w:val="0"/>
        <w:autoSpaceDN w:val="0"/>
        <w:adjustRightInd w:val="0"/>
        <w:spacing w:after="120" w:line="240" w:lineRule="auto"/>
        <w:jc w:val="center"/>
        <w:rPr>
          <w:rFonts w:ascii="Arial" w:hAnsi="Arial" w:cs="Arial"/>
          <w:b/>
        </w:rPr>
      </w:pPr>
    </w:p>
    <w:p w14:paraId="6DE09CC5" w14:textId="2867F05A" w:rsidR="009A1697" w:rsidRDefault="00C26A78" w:rsidP="001A1BE0">
      <w:pPr>
        <w:spacing w:after="120"/>
        <w:jc w:val="both"/>
        <w:rPr>
          <w:rFonts w:ascii="Arial" w:hAnsi="Arial" w:cs="Arial"/>
          <w:sz w:val="20"/>
          <w:szCs w:val="20"/>
        </w:rPr>
      </w:pPr>
      <w:r>
        <w:rPr>
          <w:rFonts w:ascii="Arial" w:hAnsi="Arial" w:cs="Arial"/>
          <w:sz w:val="20"/>
          <w:szCs w:val="20"/>
        </w:rPr>
        <w:t>Primary Health Properties PLC (the</w:t>
      </w:r>
      <w:r w:rsidR="009279D6" w:rsidRPr="00C26A78">
        <w:rPr>
          <w:rFonts w:ascii="Arial" w:hAnsi="Arial" w:cs="Arial"/>
          <w:sz w:val="20"/>
          <w:szCs w:val="20"/>
        </w:rPr>
        <w:t xml:space="preserve"> </w:t>
      </w:r>
      <w:r>
        <w:rPr>
          <w:rFonts w:ascii="Arial" w:hAnsi="Arial" w:cs="Arial"/>
          <w:sz w:val="20"/>
          <w:szCs w:val="20"/>
        </w:rPr>
        <w:t>“</w:t>
      </w:r>
      <w:r w:rsidR="009279D6" w:rsidRPr="00C26A78">
        <w:rPr>
          <w:rFonts w:ascii="Arial" w:hAnsi="Arial" w:cs="Arial"/>
          <w:sz w:val="20"/>
          <w:szCs w:val="20"/>
        </w:rPr>
        <w:t>Company</w:t>
      </w:r>
      <w:r>
        <w:rPr>
          <w:rFonts w:ascii="Arial" w:hAnsi="Arial" w:cs="Arial"/>
          <w:sz w:val="20"/>
          <w:szCs w:val="20"/>
        </w:rPr>
        <w:t>”</w:t>
      </w:r>
      <w:r w:rsidR="00CD1F49">
        <w:rPr>
          <w:rFonts w:ascii="Arial" w:hAnsi="Arial" w:cs="Arial"/>
          <w:sz w:val="20"/>
          <w:szCs w:val="20"/>
        </w:rPr>
        <w:t xml:space="preserve"> or “PHP”)</w:t>
      </w:r>
      <w:r w:rsidR="009279D6" w:rsidRPr="00C26A78">
        <w:rPr>
          <w:rFonts w:ascii="Arial" w:hAnsi="Arial" w:cs="Arial"/>
          <w:sz w:val="20"/>
          <w:szCs w:val="20"/>
        </w:rPr>
        <w:t xml:space="preserve"> announces that at the General Meeting of the Company held today </w:t>
      </w:r>
      <w:r w:rsidR="00157465">
        <w:rPr>
          <w:rFonts w:ascii="Arial" w:hAnsi="Arial" w:cs="Arial"/>
          <w:sz w:val="20"/>
          <w:szCs w:val="20"/>
        </w:rPr>
        <w:t>1 July</w:t>
      </w:r>
      <w:r w:rsidR="009369B3">
        <w:rPr>
          <w:rFonts w:ascii="Arial" w:hAnsi="Arial" w:cs="Arial"/>
          <w:sz w:val="20"/>
          <w:szCs w:val="20"/>
        </w:rPr>
        <w:t xml:space="preserve"> 202</w:t>
      </w:r>
      <w:r w:rsidR="00EA5CF0">
        <w:rPr>
          <w:rFonts w:ascii="Arial" w:hAnsi="Arial" w:cs="Arial"/>
          <w:sz w:val="20"/>
          <w:szCs w:val="20"/>
        </w:rPr>
        <w:t>5</w:t>
      </w:r>
      <w:r w:rsidR="009279D6" w:rsidRPr="00C26A78">
        <w:rPr>
          <w:rFonts w:ascii="Arial" w:hAnsi="Arial" w:cs="Arial"/>
          <w:sz w:val="20"/>
          <w:szCs w:val="20"/>
        </w:rPr>
        <w:t>, all of the resolutions</w:t>
      </w:r>
      <w:r w:rsidR="009A1697">
        <w:rPr>
          <w:rFonts w:ascii="Arial" w:hAnsi="Arial" w:cs="Arial"/>
          <w:sz w:val="20"/>
          <w:szCs w:val="20"/>
        </w:rPr>
        <w:t xml:space="preserve"> </w:t>
      </w:r>
      <w:r w:rsidR="009279D6" w:rsidRPr="00C26A78">
        <w:rPr>
          <w:rFonts w:ascii="Arial" w:hAnsi="Arial" w:cs="Arial"/>
          <w:sz w:val="20"/>
          <w:szCs w:val="20"/>
        </w:rPr>
        <w:t>were duly passed</w:t>
      </w:r>
      <w:r>
        <w:rPr>
          <w:rFonts w:ascii="Arial" w:hAnsi="Arial" w:cs="Arial"/>
          <w:sz w:val="20"/>
          <w:szCs w:val="20"/>
        </w:rPr>
        <w:t xml:space="preserve"> on a poll by the requisite majority.  </w:t>
      </w:r>
    </w:p>
    <w:p w14:paraId="7453F202" w14:textId="763341E0" w:rsidR="00223DB9" w:rsidRDefault="00223DB9" w:rsidP="001A1BE0">
      <w:pPr>
        <w:spacing w:after="120"/>
        <w:jc w:val="both"/>
        <w:rPr>
          <w:rFonts w:ascii="Arial" w:hAnsi="Arial" w:cs="Arial"/>
          <w:sz w:val="20"/>
          <w:szCs w:val="20"/>
        </w:rPr>
      </w:pPr>
      <w:r>
        <w:rPr>
          <w:rFonts w:ascii="Arial" w:hAnsi="Arial" w:cs="Arial"/>
          <w:sz w:val="20"/>
          <w:szCs w:val="20"/>
        </w:rPr>
        <w:t>Accordingly, the condition to the Revised Offer relating to the approval of the Combination by PHP Shareholders (and set out in Condition 2.1 in Section A (</w:t>
      </w:r>
      <w:r>
        <w:rPr>
          <w:rFonts w:ascii="Arial" w:hAnsi="Arial" w:cs="Arial"/>
          <w:i/>
          <w:iCs/>
          <w:sz w:val="20"/>
          <w:szCs w:val="20"/>
        </w:rPr>
        <w:t>Conditions to the Offer</w:t>
      </w:r>
      <w:r>
        <w:rPr>
          <w:rFonts w:ascii="Arial" w:hAnsi="Arial" w:cs="Arial"/>
          <w:sz w:val="20"/>
          <w:szCs w:val="20"/>
        </w:rPr>
        <w:t>) of Part 2 (</w:t>
      </w:r>
      <w:r>
        <w:rPr>
          <w:rFonts w:ascii="Arial" w:hAnsi="Arial" w:cs="Arial"/>
          <w:i/>
          <w:iCs/>
          <w:sz w:val="20"/>
          <w:szCs w:val="20"/>
        </w:rPr>
        <w:t>Conditions to and further terms of the Offer</w:t>
      </w:r>
      <w:r>
        <w:rPr>
          <w:rFonts w:ascii="Arial" w:hAnsi="Arial" w:cs="Arial"/>
          <w:sz w:val="20"/>
          <w:szCs w:val="20"/>
        </w:rPr>
        <w:t>) of the Original Offer Document has been satisfied.</w:t>
      </w:r>
    </w:p>
    <w:p w14:paraId="0AA049AC" w14:textId="65FA2CF5" w:rsidR="007848FC" w:rsidRDefault="007848FC" w:rsidP="001A1BE0">
      <w:pPr>
        <w:spacing w:after="120"/>
        <w:jc w:val="both"/>
        <w:rPr>
          <w:rFonts w:ascii="Arial" w:hAnsi="Arial" w:cs="Arial"/>
          <w:sz w:val="20"/>
          <w:szCs w:val="20"/>
        </w:rPr>
      </w:pPr>
      <w:r>
        <w:rPr>
          <w:rFonts w:ascii="Arial" w:hAnsi="Arial" w:cs="Arial"/>
          <w:sz w:val="20"/>
          <w:szCs w:val="20"/>
        </w:rPr>
        <w:t>Commenting on the results of the General Meeting, Harry Hyman, Non-Executive Chair of PHP said:</w:t>
      </w:r>
    </w:p>
    <w:p w14:paraId="70C75D02" w14:textId="6C55799F" w:rsidR="007848FC" w:rsidRPr="00223DB9" w:rsidRDefault="007848FC" w:rsidP="007848FC">
      <w:pPr>
        <w:spacing w:after="120"/>
        <w:ind w:left="720"/>
        <w:jc w:val="both"/>
        <w:rPr>
          <w:rFonts w:ascii="Arial" w:hAnsi="Arial" w:cs="Arial"/>
          <w:sz w:val="20"/>
          <w:szCs w:val="20"/>
        </w:rPr>
      </w:pPr>
      <w:r>
        <w:rPr>
          <w:rFonts w:ascii="Arial" w:hAnsi="Arial" w:cs="Arial"/>
          <w:sz w:val="20"/>
          <w:szCs w:val="20"/>
          <w:lang w:val="en-US"/>
        </w:rPr>
        <w:t>“</w:t>
      </w:r>
      <w:r w:rsidRPr="007848FC">
        <w:rPr>
          <w:rFonts w:ascii="Arial" w:hAnsi="Arial" w:cs="Arial"/>
          <w:i/>
          <w:iCs/>
          <w:sz w:val="20"/>
          <w:szCs w:val="20"/>
          <w:lang w:val="en-US"/>
        </w:rPr>
        <w:t xml:space="preserve">We are pleased to announce the passing of all resolutions at our </w:t>
      </w:r>
      <w:r w:rsidR="00685ABB">
        <w:rPr>
          <w:rFonts w:ascii="Arial" w:hAnsi="Arial" w:cs="Arial"/>
          <w:i/>
          <w:iCs/>
          <w:sz w:val="20"/>
          <w:szCs w:val="20"/>
          <w:lang w:val="en-US"/>
        </w:rPr>
        <w:t xml:space="preserve">general meeting </w:t>
      </w:r>
      <w:r w:rsidRPr="007848FC">
        <w:rPr>
          <w:rFonts w:ascii="Arial" w:hAnsi="Arial" w:cs="Arial"/>
          <w:i/>
          <w:iCs/>
          <w:sz w:val="20"/>
          <w:szCs w:val="20"/>
          <w:lang w:val="en-US"/>
        </w:rPr>
        <w:t xml:space="preserve">this morning. The fact that over 99% of our shareholders voting have approved the proposed combination with Assura is a strong endorsement of the Company’s ability to deliver an </w:t>
      </w:r>
      <w:r w:rsidR="00B24425">
        <w:rPr>
          <w:rFonts w:ascii="Arial" w:hAnsi="Arial" w:cs="Arial"/>
          <w:i/>
          <w:iCs/>
          <w:sz w:val="20"/>
          <w:szCs w:val="20"/>
          <w:lang w:val="en-US"/>
        </w:rPr>
        <w:t xml:space="preserve">earnings </w:t>
      </w:r>
      <w:r w:rsidRPr="007848FC">
        <w:rPr>
          <w:rFonts w:ascii="Arial" w:hAnsi="Arial" w:cs="Arial"/>
          <w:i/>
          <w:iCs/>
          <w:sz w:val="20"/>
          <w:szCs w:val="20"/>
          <w:lang w:val="en-US"/>
        </w:rPr>
        <w:t xml:space="preserve">accretive </w:t>
      </w:r>
      <w:r w:rsidR="00C1402B">
        <w:rPr>
          <w:rFonts w:ascii="Arial" w:hAnsi="Arial" w:cs="Arial"/>
          <w:i/>
          <w:iCs/>
          <w:sz w:val="20"/>
          <w:szCs w:val="20"/>
          <w:lang w:val="en-US"/>
        </w:rPr>
        <w:t>transaction</w:t>
      </w:r>
      <w:r w:rsidRPr="007848FC">
        <w:rPr>
          <w:rFonts w:ascii="Arial" w:hAnsi="Arial" w:cs="Arial"/>
          <w:i/>
          <w:iCs/>
          <w:sz w:val="20"/>
          <w:szCs w:val="20"/>
          <w:lang w:val="en-US"/>
        </w:rPr>
        <w:t xml:space="preserve"> </w:t>
      </w:r>
      <w:r w:rsidR="002A339E">
        <w:rPr>
          <w:rFonts w:ascii="Arial" w:hAnsi="Arial" w:cs="Arial"/>
          <w:i/>
          <w:iCs/>
          <w:sz w:val="20"/>
          <w:szCs w:val="20"/>
          <w:lang w:val="en-US"/>
        </w:rPr>
        <w:t>that is strategically valuable</w:t>
      </w:r>
      <w:r w:rsidR="00C63AB3">
        <w:rPr>
          <w:rFonts w:ascii="Arial" w:hAnsi="Arial" w:cs="Arial"/>
          <w:i/>
          <w:iCs/>
          <w:sz w:val="20"/>
          <w:szCs w:val="20"/>
          <w:lang w:val="en-US"/>
        </w:rPr>
        <w:t>,</w:t>
      </w:r>
      <w:r w:rsidR="002A339E">
        <w:rPr>
          <w:rFonts w:ascii="Arial" w:hAnsi="Arial" w:cs="Arial"/>
          <w:i/>
          <w:iCs/>
          <w:sz w:val="20"/>
          <w:szCs w:val="20"/>
          <w:lang w:val="en-US"/>
        </w:rPr>
        <w:t xml:space="preserve"> at an inflection point in the cycle, </w:t>
      </w:r>
      <w:r w:rsidR="00B24425">
        <w:rPr>
          <w:rFonts w:ascii="Arial" w:hAnsi="Arial" w:cs="Arial"/>
          <w:i/>
          <w:iCs/>
          <w:sz w:val="20"/>
          <w:szCs w:val="20"/>
          <w:lang w:val="en-US"/>
        </w:rPr>
        <w:t>supported by an expected strong investment grade credit rating,</w:t>
      </w:r>
      <w:r w:rsidR="002A339E">
        <w:rPr>
          <w:rFonts w:ascii="Arial" w:hAnsi="Arial" w:cs="Arial"/>
          <w:i/>
          <w:iCs/>
          <w:sz w:val="20"/>
          <w:szCs w:val="20"/>
          <w:lang w:val="en-US"/>
        </w:rPr>
        <w:t xml:space="preserve"> and</w:t>
      </w:r>
      <w:r w:rsidR="00B24425">
        <w:rPr>
          <w:rFonts w:ascii="Arial" w:hAnsi="Arial" w:cs="Arial"/>
          <w:i/>
          <w:iCs/>
          <w:sz w:val="20"/>
          <w:szCs w:val="20"/>
          <w:lang w:val="en-US"/>
        </w:rPr>
        <w:t xml:space="preserve"> </w:t>
      </w:r>
      <w:r w:rsidRPr="007848FC">
        <w:rPr>
          <w:rFonts w:ascii="Arial" w:hAnsi="Arial" w:cs="Arial"/>
          <w:i/>
          <w:iCs/>
          <w:sz w:val="20"/>
          <w:szCs w:val="20"/>
          <w:lang w:val="en-US"/>
        </w:rPr>
        <w:t xml:space="preserve">that will deliver future value to shareholders </w:t>
      </w:r>
      <w:r w:rsidR="00B24425">
        <w:rPr>
          <w:rFonts w:ascii="Arial" w:hAnsi="Arial" w:cs="Arial"/>
          <w:i/>
          <w:iCs/>
          <w:sz w:val="20"/>
          <w:szCs w:val="20"/>
          <w:lang w:val="en-US"/>
        </w:rPr>
        <w:t xml:space="preserve">and </w:t>
      </w:r>
      <w:r w:rsidR="00C1402B">
        <w:rPr>
          <w:rFonts w:ascii="Arial" w:hAnsi="Arial" w:cs="Arial"/>
          <w:i/>
          <w:iCs/>
          <w:sz w:val="20"/>
          <w:szCs w:val="20"/>
          <w:lang w:val="en-US"/>
        </w:rPr>
        <w:t>underpin the Group’s progressive dividend policy</w:t>
      </w:r>
      <w:r w:rsidRPr="007848FC">
        <w:rPr>
          <w:rFonts w:ascii="Arial" w:hAnsi="Arial" w:cs="Arial"/>
          <w:i/>
          <w:iCs/>
          <w:sz w:val="20"/>
          <w:szCs w:val="20"/>
          <w:lang w:val="en-US"/>
        </w:rPr>
        <w:t>.</w:t>
      </w:r>
      <w:r>
        <w:rPr>
          <w:rFonts w:ascii="Arial" w:hAnsi="Arial" w:cs="Arial"/>
          <w:sz w:val="20"/>
          <w:szCs w:val="20"/>
          <w:lang w:val="en-US"/>
        </w:rPr>
        <w:t>”</w:t>
      </w:r>
    </w:p>
    <w:p w14:paraId="32D0203E" w14:textId="79E21EA8" w:rsidR="00223DB9" w:rsidRPr="004928F2" w:rsidRDefault="00223DB9" w:rsidP="004928F2">
      <w:pPr>
        <w:spacing w:after="120"/>
        <w:jc w:val="both"/>
        <w:rPr>
          <w:rFonts w:ascii="Arial" w:hAnsi="Arial" w:cs="Arial"/>
          <w:sz w:val="20"/>
          <w:szCs w:val="20"/>
        </w:rPr>
      </w:pPr>
      <w:r w:rsidRPr="004928F2">
        <w:rPr>
          <w:rFonts w:ascii="Arial" w:hAnsi="Arial" w:cs="Arial"/>
          <w:sz w:val="20"/>
          <w:szCs w:val="20"/>
        </w:rPr>
        <w:t>Capitalised terms used in this announcement, unless otherwise defined, have the same meanings as set out in the offer document published by PHP on 13 June 2025 (the “</w:t>
      </w:r>
      <w:r w:rsidRPr="004928F2">
        <w:rPr>
          <w:rFonts w:ascii="Arial" w:hAnsi="Arial" w:cs="Arial"/>
          <w:b/>
          <w:bCs/>
          <w:sz w:val="20"/>
          <w:szCs w:val="20"/>
        </w:rPr>
        <w:t>Original Offer Document</w:t>
      </w:r>
      <w:r w:rsidRPr="004928F2">
        <w:rPr>
          <w:rFonts w:ascii="Arial" w:hAnsi="Arial" w:cs="Arial"/>
          <w:sz w:val="20"/>
          <w:szCs w:val="20"/>
        </w:rPr>
        <w:t>”)</w:t>
      </w:r>
      <w:r>
        <w:rPr>
          <w:rFonts w:ascii="Arial" w:hAnsi="Arial" w:cs="Arial"/>
          <w:sz w:val="20"/>
          <w:szCs w:val="20"/>
        </w:rPr>
        <w:t xml:space="preserve">, as supplemented and updated by the </w:t>
      </w:r>
      <w:r w:rsidR="00855D63">
        <w:rPr>
          <w:rFonts w:ascii="Arial" w:hAnsi="Arial" w:cs="Arial"/>
          <w:sz w:val="20"/>
          <w:szCs w:val="20"/>
        </w:rPr>
        <w:t>r</w:t>
      </w:r>
      <w:r w:rsidRPr="004928F2">
        <w:rPr>
          <w:rFonts w:ascii="Arial" w:hAnsi="Arial" w:cs="Arial"/>
          <w:sz w:val="20"/>
          <w:szCs w:val="20"/>
        </w:rPr>
        <w:t xml:space="preserve">evised </w:t>
      </w:r>
      <w:r w:rsidR="00855D63">
        <w:rPr>
          <w:rFonts w:ascii="Arial" w:hAnsi="Arial" w:cs="Arial"/>
          <w:sz w:val="20"/>
          <w:szCs w:val="20"/>
        </w:rPr>
        <w:t>o</w:t>
      </w:r>
      <w:r w:rsidRPr="004928F2">
        <w:rPr>
          <w:rFonts w:ascii="Arial" w:hAnsi="Arial" w:cs="Arial"/>
          <w:sz w:val="20"/>
          <w:szCs w:val="20"/>
        </w:rPr>
        <w:t xml:space="preserve">ffer </w:t>
      </w:r>
      <w:r w:rsidR="00855D63">
        <w:rPr>
          <w:rFonts w:ascii="Arial" w:hAnsi="Arial" w:cs="Arial"/>
          <w:sz w:val="20"/>
          <w:szCs w:val="20"/>
        </w:rPr>
        <w:t>d</w:t>
      </w:r>
      <w:r w:rsidRPr="004928F2">
        <w:rPr>
          <w:rFonts w:ascii="Arial" w:hAnsi="Arial" w:cs="Arial"/>
          <w:sz w:val="20"/>
          <w:szCs w:val="20"/>
        </w:rPr>
        <w:t xml:space="preserve">ocument published by PHP on </w:t>
      </w:r>
      <w:r w:rsidR="00BF73B3">
        <w:rPr>
          <w:rFonts w:ascii="Arial" w:hAnsi="Arial" w:cs="Arial"/>
          <w:sz w:val="20"/>
          <w:szCs w:val="20"/>
        </w:rPr>
        <w:t>27</w:t>
      </w:r>
      <w:r w:rsidRPr="004928F2">
        <w:rPr>
          <w:rFonts w:ascii="Arial" w:hAnsi="Arial" w:cs="Arial"/>
          <w:sz w:val="20"/>
          <w:szCs w:val="20"/>
        </w:rPr>
        <w:t xml:space="preserve"> June 2025 (the “</w:t>
      </w:r>
      <w:r w:rsidRPr="004928F2">
        <w:rPr>
          <w:rFonts w:ascii="Arial" w:hAnsi="Arial" w:cs="Arial"/>
          <w:b/>
          <w:bCs/>
          <w:sz w:val="20"/>
          <w:szCs w:val="20"/>
        </w:rPr>
        <w:t>Revised Offer Document</w:t>
      </w:r>
      <w:r w:rsidRPr="004928F2">
        <w:rPr>
          <w:rFonts w:ascii="Arial" w:hAnsi="Arial" w:cs="Arial"/>
          <w:sz w:val="20"/>
          <w:szCs w:val="20"/>
        </w:rPr>
        <w:t xml:space="preserve">”). </w:t>
      </w:r>
    </w:p>
    <w:p w14:paraId="24101320" w14:textId="47FBE2B3" w:rsidR="00C26A78" w:rsidRDefault="009A1697" w:rsidP="001A1BE0">
      <w:pPr>
        <w:spacing w:after="120"/>
        <w:jc w:val="both"/>
        <w:rPr>
          <w:rFonts w:ascii="Arial" w:hAnsi="Arial" w:cs="Arial"/>
          <w:sz w:val="20"/>
          <w:szCs w:val="20"/>
        </w:rPr>
      </w:pPr>
      <w:r>
        <w:rPr>
          <w:rFonts w:ascii="Arial" w:hAnsi="Arial" w:cs="Arial"/>
          <w:sz w:val="20"/>
          <w:szCs w:val="20"/>
        </w:rPr>
        <w:t xml:space="preserve">Prior to proposing the resolutions to the meeting, a resolution was passed unanimously on a show of hands </w:t>
      </w:r>
      <w:r w:rsidR="000F0522">
        <w:rPr>
          <w:rFonts w:ascii="Arial" w:hAnsi="Arial" w:cs="Arial"/>
          <w:sz w:val="20"/>
          <w:szCs w:val="20"/>
        </w:rPr>
        <w:t xml:space="preserve">to amend </w:t>
      </w:r>
      <w:r>
        <w:rPr>
          <w:rFonts w:ascii="Arial" w:hAnsi="Arial" w:cs="Arial"/>
          <w:sz w:val="20"/>
          <w:szCs w:val="20"/>
        </w:rPr>
        <w:t xml:space="preserve">the ordinary resolution numbered 1 set out in the notice of the meeting to increase the authority to be given by paragraph 1(B) of that resolution from ordinary shares with a nominal value of £153,144,311.20 to ordinary shares with a nominal value of </w:t>
      </w:r>
      <w:r w:rsidR="009717F3" w:rsidRPr="009717F3">
        <w:rPr>
          <w:rFonts w:ascii="Arial" w:hAnsi="Arial" w:cs="Arial"/>
          <w:sz w:val="20"/>
          <w:szCs w:val="20"/>
        </w:rPr>
        <w:t>£157,292,970.00</w:t>
      </w:r>
      <w:r>
        <w:rPr>
          <w:rFonts w:ascii="Arial" w:hAnsi="Arial" w:cs="Arial"/>
          <w:sz w:val="20"/>
          <w:szCs w:val="20"/>
        </w:rPr>
        <w:t xml:space="preserve"> </w:t>
      </w:r>
      <w:r w:rsidR="000F0522">
        <w:rPr>
          <w:rFonts w:ascii="Arial" w:hAnsi="Arial" w:cs="Arial"/>
          <w:sz w:val="20"/>
          <w:szCs w:val="20"/>
        </w:rPr>
        <w:t xml:space="preserve">(being the aggregate maximum nominal value of New PHP Shares which would be issued under the Revised Offer) </w:t>
      </w:r>
      <w:r>
        <w:rPr>
          <w:rFonts w:ascii="Arial" w:hAnsi="Arial" w:cs="Arial"/>
          <w:sz w:val="20"/>
          <w:szCs w:val="20"/>
        </w:rPr>
        <w:t xml:space="preserve">and to </w:t>
      </w:r>
      <w:r w:rsidR="000F0522">
        <w:rPr>
          <w:rFonts w:ascii="Arial" w:hAnsi="Arial" w:cs="Arial"/>
          <w:sz w:val="20"/>
          <w:szCs w:val="20"/>
        </w:rPr>
        <w:t xml:space="preserve">delete </w:t>
      </w:r>
      <w:r>
        <w:rPr>
          <w:rFonts w:ascii="Arial" w:hAnsi="Arial" w:cs="Arial"/>
          <w:sz w:val="20"/>
          <w:szCs w:val="20"/>
        </w:rPr>
        <w:t xml:space="preserve">paragraph 1(C) of that resolution </w:t>
      </w:r>
      <w:r w:rsidR="000F0522">
        <w:rPr>
          <w:rFonts w:ascii="Arial" w:hAnsi="Arial" w:cs="Arial"/>
          <w:sz w:val="20"/>
          <w:szCs w:val="20"/>
        </w:rPr>
        <w:t>(as the authority is reflected in the amended paragraph 1(B))</w:t>
      </w:r>
      <w:r>
        <w:rPr>
          <w:rFonts w:ascii="Arial" w:hAnsi="Arial" w:cs="Arial"/>
          <w:sz w:val="20"/>
          <w:szCs w:val="20"/>
        </w:rPr>
        <w:t xml:space="preserve">.  Both of these changes were made to reflect PHP’s recommended </w:t>
      </w:r>
      <w:r w:rsidR="000F0522">
        <w:rPr>
          <w:rFonts w:ascii="Arial" w:hAnsi="Arial" w:cs="Arial"/>
          <w:sz w:val="20"/>
          <w:szCs w:val="20"/>
        </w:rPr>
        <w:t>Revised O</w:t>
      </w:r>
      <w:r>
        <w:rPr>
          <w:rFonts w:ascii="Arial" w:hAnsi="Arial" w:cs="Arial"/>
          <w:sz w:val="20"/>
          <w:szCs w:val="20"/>
        </w:rPr>
        <w:t xml:space="preserve">ffer.  Save for these amendments, the resolutions were proposed and passed as set out in full in the notice of the meeting.  </w:t>
      </w:r>
    </w:p>
    <w:p w14:paraId="17BA76BD" w14:textId="35442B8F" w:rsidR="009279D6" w:rsidRPr="00C26A78" w:rsidRDefault="00C26A78" w:rsidP="001A1BE0">
      <w:pPr>
        <w:spacing w:after="120"/>
        <w:rPr>
          <w:rFonts w:ascii="Arial" w:hAnsi="Arial" w:cs="Arial"/>
          <w:sz w:val="20"/>
          <w:szCs w:val="20"/>
        </w:rPr>
      </w:pPr>
      <w:r>
        <w:rPr>
          <w:rFonts w:ascii="Arial" w:hAnsi="Arial" w:cs="Arial"/>
          <w:sz w:val="20"/>
          <w:szCs w:val="20"/>
        </w:rPr>
        <w:t>Any proxy votes which were at the discretion of the Chair have been included in the “For” total</w:t>
      </w:r>
      <w:r w:rsidR="009279D6" w:rsidRPr="00C26A78">
        <w:rPr>
          <w:rFonts w:ascii="Arial" w:hAnsi="Arial" w:cs="Arial"/>
          <w:sz w:val="20"/>
          <w:szCs w:val="20"/>
        </w:rPr>
        <w:t>.</w:t>
      </w:r>
    </w:p>
    <w:p w14:paraId="6769E868" w14:textId="77777777" w:rsidR="009279D6" w:rsidRPr="00C26A78" w:rsidRDefault="00C26A78" w:rsidP="001A1BE0">
      <w:pPr>
        <w:spacing w:after="120"/>
        <w:rPr>
          <w:rFonts w:ascii="Arial" w:hAnsi="Arial" w:cs="Arial"/>
          <w:sz w:val="20"/>
          <w:szCs w:val="20"/>
        </w:rPr>
      </w:pPr>
      <w:r>
        <w:rPr>
          <w:rFonts w:ascii="Arial" w:hAnsi="Arial" w:cs="Arial"/>
          <w:sz w:val="20"/>
          <w:szCs w:val="20"/>
        </w:rPr>
        <w:t>For information the votes cast were as follows</w:t>
      </w:r>
      <w:r w:rsidR="009279D6" w:rsidRPr="00C26A78">
        <w:rPr>
          <w:rFonts w:ascii="Arial" w:hAnsi="Arial" w:cs="Arial"/>
          <w:sz w:val="20"/>
          <w:szCs w:val="20"/>
        </w:rPr>
        <w:t>:</w:t>
      </w:r>
    </w:p>
    <w:tbl>
      <w:tblPr>
        <w:tblStyle w:val="TableGrid"/>
        <w:tblW w:w="9634" w:type="dxa"/>
        <w:tblLayout w:type="fixed"/>
        <w:tblLook w:val="04A0" w:firstRow="1" w:lastRow="0" w:firstColumn="1" w:lastColumn="0" w:noHBand="0" w:noVBand="1"/>
      </w:tblPr>
      <w:tblGrid>
        <w:gridCol w:w="2830"/>
        <w:gridCol w:w="1134"/>
        <w:gridCol w:w="709"/>
        <w:gridCol w:w="1134"/>
        <w:gridCol w:w="709"/>
        <w:gridCol w:w="1134"/>
        <w:gridCol w:w="850"/>
        <w:gridCol w:w="1134"/>
      </w:tblGrid>
      <w:tr w:rsidR="00FC14EA" w:rsidRPr="005414F2" w14:paraId="4E85B8AD" w14:textId="721A0346" w:rsidTr="00FA666D">
        <w:trPr>
          <w:trHeight w:val="397"/>
        </w:trPr>
        <w:tc>
          <w:tcPr>
            <w:tcW w:w="2830" w:type="dxa"/>
            <w:vMerge w:val="restart"/>
          </w:tcPr>
          <w:p w14:paraId="48D865AB" w14:textId="7BB27952" w:rsidR="00FC14EA" w:rsidRPr="005414F2" w:rsidRDefault="00FC14EA" w:rsidP="007610EC">
            <w:pPr>
              <w:rPr>
                <w:rFonts w:ascii="Arial" w:hAnsi="Arial" w:cs="Arial"/>
                <w:sz w:val="18"/>
                <w:szCs w:val="18"/>
              </w:rPr>
            </w:pPr>
            <w:r w:rsidRPr="005414F2">
              <w:rPr>
                <w:rFonts w:ascii="Arial" w:hAnsi="Arial" w:cs="Arial"/>
                <w:sz w:val="18"/>
                <w:szCs w:val="18"/>
              </w:rPr>
              <w:t>Resolution</w:t>
            </w:r>
          </w:p>
        </w:tc>
        <w:tc>
          <w:tcPr>
            <w:tcW w:w="1843" w:type="dxa"/>
            <w:gridSpan w:val="2"/>
          </w:tcPr>
          <w:p w14:paraId="7BAB8748" w14:textId="40B08C53" w:rsidR="00FC14EA" w:rsidRPr="005414F2" w:rsidRDefault="00FC14EA" w:rsidP="005D54A0">
            <w:pPr>
              <w:jc w:val="center"/>
              <w:rPr>
                <w:rFonts w:ascii="Arial" w:hAnsi="Arial" w:cs="Arial"/>
                <w:sz w:val="18"/>
                <w:szCs w:val="18"/>
              </w:rPr>
            </w:pPr>
            <w:r w:rsidRPr="005414F2">
              <w:rPr>
                <w:rFonts w:ascii="Arial" w:hAnsi="Arial" w:cs="Arial"/>
                <w:sz w:val="18"/>
                <w:szCs w:val="18"/>
              </w:rPr>
              <w:t>For (including discretionary)</w:t>
            </w:r>
          </w:p>
        </w:tc>
        <w:tc>
          <w:tcPr>
            <w:tcW w:w="1843" w:type="dxa"/>
            <w:gridSpan w:val="2"/>
          </w:tcPr>
          <w:p w14:paraId="6CFF5F9A" w14:textId="0C163F5A" w:rsidR="00FC14EA" w:rsidRPr="005414F2" w:rsidRDefault="00FC14EA" w:rsidP="007610EC">
            <w:pPr>
              <w:rPr>
                <w:rFonts w:ascii="Arial" w:hAnsi="Arial" w:cs="Arial"/>
                <w:sz w:val="18"/>
                <w:szCs w:val="18"/>
              </w:rPr>
            </w:pPr>
            <w:r w:rsidRPr="005414F2">
              <w:rPr>
                <w:rFonts w:ascii="Arial" w:hAnsi="Arial" w:cs="Arial"/>
                <w:sz w:val="18"/>
                <w:szCs w:val="18"/>
              </w:rPr>
              <w:t>Against</w:t>
            </w:r>
          </w:p>
        </w:tc>
        <w:tc>
          <w:tcPr>
            <w:tcW w:w="1134" w:type="dxa"/>
          </w:tcPr>
          <w:p w14:paraId="0FB4DEF2" w14:textId="4CC4FABF" w:rsidR="00FC14EA" w:rsidRPr="005414F2" w:rsidRDefault="00FC14EA" w:rsidP="007610EC">
            <w:pPr>
              <w:rPr>
                <w:rFonts w:ascii="Arial" w:hAnsi="Arial" w:cs="Arial"/>
                <w:sz w:val="18"/>
                <w:szCs w:val="18"/>
              </w:rPr>
            </w:pPr>
            <w:r>
              <w:rPr>
                <w:rFonts w:ascii="Arial" w:hAnsi="Arial" w:cs="Arial"/>
                <w:sz w:val="18"/>
                <w:szCs w:val="18"/>
              </w:rPr>
              <w:t>Votes Total</w:t>
            </w:r>
          </w:p>
        </w:tc>
        <w:tc>
          <w:tcPr>
            <w:tcW w:w="850" w:type="dxa"/>
          </w:tcPr>
          <w:p w14:paraId="2E333ED1" w14:textId="4D44112A" w:rsidR="00FC14EA" w:rsidRPr="005414F2" w:rsidRDefault="00FC14EA" w:rsidP="007610EC">
            <w:pPr>
              <w:rPr>
                <w:rFonts w:ascii="Arial" w:hAnsi="Arial" w:cs="Arial"/>
                <w:sz w:val="18"/>
                <w:szCs w:val="18"/>
              </w:rPr>
            </w:pPr>
            <w:r>
              <w:rPr>
                <w:rFonts w:ascii="Arial" w:hAnsi="Arial" w:cs="Arial"/>
                <w:sz w:val="18"/>
                <w:szCs w:val="18"/>
              </w:rPr>
              <w:t>% of ISC Voted</w:t>
            </w:r>
          </w:p>
        </w:tc>
        <w:tc>
          <w:tcPr>
            <w:tcW w:w="1134" w:type="dxa"/>
          </w:tcPr>
          <w:p w14:paraId="1C038804" w14:textId="0B97E80D" w:rsidR="00FC14EA" w:rsidRPr="005414F2" w:rsidRDefault="00FC14EA" w:rsidP="007610EC">
            <w:pPr>
              <w:rPr>
                <w:rFonts w:ascii="Arial" w:hAnsi="Arial" w:cs="Arial"/>
                <w:sz w:val="18"/>
                <w:szCs w:val="18"/>
                <w:vertAlign w:val="superscript"/>
              </w:rPr>
            </w:pPr>
            <w:r w:rsidRPr="005414F2">
              <w:rPr>
                <w:rFonts w:ascii="Arial" w:hAnsi="Arial" w:cs="Arial"/>
                <w:sz w:val="18"/>
                <w:szCs w:val="18"/>
              </w:rPr>
              <w:t>Withheld</w:t>
            </w:r>
            <w:r w:rsidRPr="005414F2">
              <w:rPr>
                <w:rFonts w:ascii="Arial" w:hAnsi="Arial" w:cs="Arial"/>
                <w:sz w:val="18"/>
                <w:szCs w:val="18"/>
                <w:vertAlign w:val="superscript"/>
              </w:rPr>
              <w:t>1</w:t>
            </w:r>
          </w:p>
        </w:tc>
      </w:tr>
      <w:tr w:rsidR="00FC14EA" w:rsidRPr="005414F2" w14:paraId="526E1474" w14:textId="77FE4FAA" w:rsidTr="00FA666D">
        <w:tc>
          <w:tcPr>
            <w:tcW w:w="2830" w:type="dxa"/>
            <w:vMerge/>
          </w:tcPr>
          <w:p w14:paraId="7B0A99AA" w14:textId="77777777" w:rsidR="00FC14EA" w:rsidRPr="005414F2" w:rsidRDefault="00FC14EA" w:rsidP="005D54A0">
            <w:pPr>
              <w:rPr>
                <w:rFonts w:ascii="Arial" w:hAnsi="Arial" w:cs="Arial"/>
                <w:sz w:val="18"/>
                <w:szCs w:val="18"/>
              </w:rPr>
            </w:pPr>
          </w:p>
        </w:tc>
        <w:tc>
          <w:tcPr>
            <w:tcW w:w="1134" w:type="dxa"/>
          </w:tcPr>
          <w:p w14:paraId="60B60046" w14:textId="5ABEA9AB" w:rsidR="00FC14EA" w:rsidRPr="005414F2" w:rsidRDefault="00FC14EA" w:rsidP="005D54A0">
            <w:pPr>
              <w:rPr>
                <w:rFonts w:ascii="Arial" w:hAnsi="Arial" w:cs="Arial"/>
                <w:sz w:val="18"/>
                <w:szCs w:val="18"/>
              </w:rPr>
            </w:pPr>
            <w:r w:rsidRPr="005414F2">
              <w:rPr>
                <w:rFonts w:ascii="Arial" w:hAnsi="Arial" w:cs="Arial"/>
                <w:sz w:val="18"/>
                <w:szCs w:val="18"/>
              </w:rPr>
              <w:t>Votes</w:t>
            </w:r>
          </w:p>
        </w:tc>
        <w:tc>
          <w:tcPr>
            <w:tcW w:w="709" w:type="dxa"/>
          </w:tcPr>
          <w:p w14:paraId="41355E76" w14:textId="1735A634" w:rsidR="00FC14EA" w:rsidRPr="005414F2" w:rsidRDefault="00FC14EA" w:rsidP="005D54A0">
            <w:pPr>
              <w:rPr>
                <w:rFonts w:ascii="Arial" w:hAnsi="Arial" w:cs="Arial"/>
                <w:sz w:val="18"/>
                <w:szCs w:val="18"/>
              </w:rPr>
            </w:pPr>
            <w:r w:rsidRPr="005414F2">
              <w:rPr>
                <w:rFonts w:ascii="Arial" w:hAnsi="Arial" w:cs="Arial"/>
                <w:sz w:val="18"/>
                <w:szCs w:val="18"/>
              </w:rPr>
              <w:t>%</w:t>
            </w:r>
          </w:p>
        </w:tc>
        <w:tc>
          <w:tcPr>
            <w:tcW w:w="1134" w:type="dxa"/>
          </w:tcPr>
          <w:p w14:paraId="3775B753" w14:textId="4564A3A8" w:rsidR="00FC14EA" w:rsidRPr="005414F2" w:rsidRDefault="00FC14EA" w:rsidP="005D54A0">
            <w:pPr>
              <w:rPr>
                <w:rFonts w:ascii="Arial" w:hAnsi="Arial" w:cs="Arial"/>
                <w:sz w:val="18"/>
                <w:szCs w:val="18"/>
              </w:rPr>
            </w:pPr>
            <w:r w:rsidRPr="005414F2">
              <w:rPr>
                <w:rFonts w:ascii="Arial" w:hAnsi="Arial" w:cs="Arial"/>
                <w:sz w:val="18"/>
                <w:szCs w:val="18"/>
              </w:rPr>
              <w:t>Votes</w:t>
            </w:r>
          </w:p>
        </w:tc>
        <w:tc>
          <w:tcPr>
            <w:tcW w:w="709" w:type="dxa"/>
          </w:tcPr>
          <w:p w14:paraId="3A06B88E" w14:textId="40E74297" w:rsidR="00FC14EA" w:rsidRPr="005414F2" w:rsidRDefault="00FC14EA" w:rsidP="005D54A0">
            <w:pPr>
              <w:rPr>
                <w:rFonts w:ascii="Arial" w:hAnsi="Arial" w:cs="Arial"/>
                <w:sz w:val="18"/>
                <w:szCs w:val="18"/>
              </w:rPr>
            </w:pPr>
            <w:r w:rsidRPr="005414F2">
              <w:rPr>
                <w:rFonts w:ascii="Arial" w:hAnsi="Arial" w:cs="Arial"/>
                <w:sz w:val="18"/>
                <w:szCs w:val="18"/>
              </w:rPr>
              <w:t>%</w:t>
            </w:r>
          </w:p>
        </w:tc>
        <w:tc>
          <w:tcPr>
            <w:tcW w:w="1134" w:type="dxa"/>
          </w:tcPr>
          <w:p w14:paraId="42CAB0B8" w14:textId="77777777" w:rsidR="00FC14EA" w:rsidRPr="005414F2" w:rsidRDefault="00FC14EA" w:rsidP="005D54A0">
            <w:pPr>
              <w:rPr>
                <w:rFonts w:ascii="Arial" w:hAnsi="Arial" w:cs="Arial"/>
                <w:sz w:val="18"/>
                <w:szCs w:val="18"/>
              </w:rPr>
            </w:pPr>
          </w:p>
        </w:tc>
        <w:tc>
          <w:tcPr>
            <w:tcW w:w="850" w:type="dxa"/>
          </w:tcPr>
          <w:p w14:paraId="61273116" w14:textId="77777777" w:rsidR="00FC14EA" w:rsidRPr="005414F2" w:rsidRDefault="00FC14EA" w:rsidP="005D54A0">
            <w:pPr>
              <w:rPr>
                <w:rFonts w:ascii="Arial" w:hAnsi="Arial" w:cs="Arial"/>
                <w:sz w:val="18"/>
                <w:szCs w:val="18"/>
              </w:rPr>
            </w:pPr>
          </w:p>
        </w:tc>
        <w:tc>
          <w:tcPr>
            <w:tcW w:w="1134" w:type="dxa"/>
          </w:tcPr>
          <w:p w14:paraId="2EE2EB6A" w14:textId="738F7818" w:rsidR="00FC14EA" w:rsidRPr="005414F2" w:rsidRDefault="00FC14EA" w:rsidP="005D54A0">
            <w:pPr>
              <w:rPr>
                <w:rFonts w:ascii="Arial" w:hAnsi="Arial" w:cs="Arial"/>
                <w:sz w:val="18"/>
                <w:szCs w:val="18"/>
              </w:rPr>
            </w:pPr>
          </w:p>
        </w:tc>
      </w:tr>
      <w:tr w:rsidR="0076256A" w:rsidRPr="005414F2" w14:paraId="798D27AB" w14:textId="12D950E1" w:rsidTr="00FA666D">
        <w:tc>
          <w:tcPr>
            <w:tcW w:w="2830" w:type="dxa"/>
          </w:tcPr>
          <w:p w14:paraId="641382E6" w14:textId="344B6C7A" w:rsidR="0076256A" w:rsidRPr="005414F2" w:rsidRDefault="0076256A" w:rsidP="0076256A">
            <w:pPr>
              <w:rPr>
                <w:rFonts w:ascii="Arial" w:hAnsi="Arial" w:cs="Arial"/>
                <w:sz w:val="18"/>
                <w:szCs w:val="18"/>
              </w:rPr>
            </w:pPr>
            <w:r w:rsidRPr="005414F2">
              <w:rPr>
                <w:rFonts w:ascii="Arial" w:hAnsi="Arial" w:cs="Arial"/>
                <w:color w:val="000000"/>
                <w:sz w:val="18"/>
                <w:szCs w:val="18"/>
              </w:rPr>
              <w:t xml:space="preserve">1. </w:t>
            </w:r>
            <w:r>
              <w:rPr>
                <w:rFonts w:ascii="Arial" w:hAnsi="Arial" w:cs="Arial"/>
                <w:color w:val="000000"/>
                <w:sz w:val="18"/>
                <w:szCs w:val="18"/>
              </w:rPr>
              <w:t>T</w:t>
            </w:r>
            <w:r w:rsidRPr="005414F2">
              <w:rPr>
                <w:rFonts w:ascii="Arial" w:hAnsi="Arial" w:cs="Arial"/>
                <w:color w:val="000000"/>
                <w:sz w:val="18"/>
                <w:szCs w:val="18"/>
              </w:rPr>
              <w:t>o</w:t>
            </w:r>
            <w:r>
              <w:rPr>
                <w:rFonts w:ascii="Arial" w:hAnsi="Arial" w:cs="Arial"/>
                <w:color w:val="000000"/>
                <w:sz w:val="18"/>
                <w:szCs w:val="18"/>
              </w:rPr>
              <w:t>: (A) approve the proposed acquisition of all or any part of the issued and to be issued share capital of Assura plc (“Assura”) (the “Combination”)</w:t>
            </w:r>
            <w:r w:rsidR="00423B9E">
              <w:rPr>
                <w:rFonts w:ascii="Arial" w:hAnsi="Arial" w:cs="Arial"/>
                <w:color w:val="000000"/>
                <w:sz w:val="18"/>
                <w:szCs w:val="18"/>
              </w:rPr>
              <w:t xml:space="preserve"> </w:t>
            </w:r>
            <w:r>
              <w:rPr>
                <w:rFonts w:ascii="Arial" w:hAnsi="Arial" w:cs="Arial"/>
                <w:color w:val="000000"/>
                <w:sz w:val="18"/>
                <w:szCs w:val="18"/>
              </w:rPr>
              <w:lastRenderedPageBreak/>
              <w:t xml:space="preserve">and (B) </w:t>
            </w:r>
            <w:proofErr w:type="spellStart"/>
            <w:r>
              <w:rPr>
                <w:rFonts w:ascii="Arial" w:hAnsi="Arial" w:cs="Arial"/>
                <w:color w:val="000000"/>
                <w:sz w:val="18"/>
                <w:szCs w:val="18"/>
              </w:rPr>
              <w:t>authorise</w:t>
            </w:r>
            <w:proofErr w:type="spellEnd"/>
            <w:r>
              <w:rPr>
                <w:rFonts w:ascii="Arial" w:hAnsi="Arial" w:cs="Arial"/>
                <w:color w:val="000000"/>
                <w:sz w:val="18"/>
                <w:szCs w:val="18"/>
              </w:rPr>
              <w:t xml:space="preserve"> the Directors to allot shares in connection with the Combination</w:t>
            </w:r>
          </w:p>
        </w:tc>
        <w:tc>
          <w:tcPr>
            <w:tcW w:w="1134" w:type="dxa"/>
            <w:vAlign w:val="bottom"/>
          </w:tcPr>
          <w:p w14:paraId="5B91ACCF" w14:textId="2EDFB59A" w:rsidR="0076256A" w:rsidRPr="0076256A" w:rsidRDefault="0076256A" w:rsidP="0076256A">
            <w:pPr>
              <w:rPr>
                <w:rFonts w:ascii="Arial" w:hAnsi="Arial" w:cs="Arial"/>
                <w:color w:val="000000"/>
                <w:sz w:val="16"/>
                <w:szCs w:val="16"/>
              </w:rPr>
            </w:pPr>
            <w:r w:rsidRPr="00685ABB">
              <w:rPr>
                <w:rFonts w:ascii="Arial" w:hAnsi="Arial" w:cs="Arial"/>
                <w:sz w:val="16"/>
                <w:szCs w:val="16"/>
              </w:rPr>
              <w:lastRenderedPageBreak/>
              <w:t>773,703,879</w:t>
            </w:r>
          </w:p>
        </w:tc>
        <w:tc>
          <w:tcPr>
            <w:tcW w:w="709" w:type="dxa"/>
            <w:vAlign w:val="bottom"/>
          </w:tcPr>
          <w:p w14:paraId="7E9F79AE" w14:textId="5746A8A4" w:rsidR="0076256A" w:rsidRPr="0076256A" w:rsidRDefault="0076256A" w:rsidP="0076256A">
            <w:pPr>
              <w:rPr>
                <w:rFonts w:ascii="Arial" w:hAnsi="Arial" w:cs="Arial"/>
                <w:color w:val="000000"/>
                <w:sz w:val="16"/>
                <w:szCs w:val="16"/>
              </w:rPr>
            </w:pPr>
            <w:r w:rsidRPr="00685ABB">
              <w:rPr>
                <w:rFonts w:ascii="Arial" w:hAnsi="Arial" w:cs="Arial"/>
                <w:sz w:val="16"/>
                <w:szCs w:val="16"/>
              </w:rPr>
              <w:t>99.28</w:t>
            </w:r>
          </w:p>
        </w:tc>
        <w:tc>
          <w:tcPr>
            <w:tcW w:w="1134" w:type="dxa"/>
            <w:vAlign w:val="bottom"/>
          </w:tcPr>
          <w:p w14:paraId="470C0B69" w14:textId="4CC0714C" w:rsidR="0076256A" w:rsidRPr="0076256A" w:rsidRDefault="0076256A" w:rsidP="0076256A">
            <w:pPr>
              <w:rPr>
                <w:rFonts w:ascii="Arial" w:hAnsi="Arial" w:cs="Arial"/>
                <w:color w:val="000000"/>
                <w:sz w:val="16"/>
                <w:szCs w:val="16"/>
              </w:rPr>
            </w:pPr>
            <w:r w:rsidRPr="00685ABB">
              <w:rPr>
                <w:rFonts w:ascii="Arial" w:hAnsi="Arial" w:cs="Arial"/>
                <w:sz w:val="16"/>
                <w:szCs w:val="16"/>
              </w:rPr>
              <w:t>5,575,083</w:t>
            </w:r>
          </w:p>
        </w:tc>
        <w:tc>
          <w:tcPr>
            <w:tcW w:w="709" w:type="dxa"/>
            <w:vAlign w:val="bottom"/>
          </w:tcPr>
          <w:p w14:paraId="341E9715" w14:textId="0DC742A9" w:rsidR="0076256A" w:rsidRPr="0076256A" w:rsidRDefault="0076256A" w:rsidP="0076256A">
            <w:pPr>
              <w:rPr>
                <w:rFonts w:ascii="Arial" w:hAnsi="Arial" w:cs="Arial"/>
                <w:color w:val="000000"/>
                <w:sz w:val="16"/>
                <w:szCs w:val="16"/>
              </w:rPr>
            </w:pPr>
            <w:r w:rsidRPr="00685ABB">
              <w:rPr>
                <w:rFonts w:ascii="Arial" w:hAnsi="Arial" w:cs="Arial"/>
                <w:sz w:val="16"/>
                <w:szCs w:val="16"/>
              </w:rPr>
              <w:t>0.72</w:t>
            </w:r>
          </w:p>
        </w:tc>
        <w:tc>
          <w:tcPr>
            <w:tcW w:w="1134" w:type="dxa"/>
            <w:vAlign w:val="bottom"/>
          </w:tcPr>
          <w:p w14:paraId="5F0C2A92" w14:textId="3054FCE6" w:rsidR="0076256A" w:rsidRPr="0076256A" w:rsidRDefault="0076256A" w:rsidP="0076256A">
            <w:pPr>
              <w:rPr>
                <w:rFonts w:ascii="Arial" w:hAnsi="Arial" w:cs="Arial"/>
                <w:color w:val="000000"/>
                <w:sz w:val="16"/>
                <w:szCs w:val="16"/>
              </w:rPr>
            </w:pPr>
            <w:r w:rsidRPr="00685ABB">
              <w:rPr>
                <w:rFonts w:ascii="Arial" w:hAnsi="Arial" w:cs="Arial"/>
                <w:sz w:val="16"/>
                <w:szCs w:val="16"/>
              </w:rPr>
              <w:t>779,278,962</w:t>
            </w:r>
          </w:p>
        </w:tc>
        <w:tc>
          <w:tcPr>
            <w:tcW w:w="850" w:type="dxa"/>
            <w:vAlign w:val="bottom"/>
          </w:tcPr>
          <w:p w14:paraId="1E8883E0" w14:textId="4776E38A" w:rsidR="0076256A" w:rsidRPr="0076256A" w:rsidRDefault="0076256A" w:rsidP="0076256A">
            <w:pPr>
              <w:rPr>
                <w:rFonts w:ascii="Arial" w:hAnsi="Arial" w:cs="Arial"/>
                <w:color w:val="000000"/>
                <w:sz w:val="16"/>
                <w:szCs w:val="16"/>
              </w:rPr>
            </w:pPr>
            <w:r w:rsidRPr="00685ABB">
              <w:rPr>
                <w:rFonts w:ascii="Arial" w:hAnsi="Arial" w:cs="Arial"/>
                <w:sz w:val="16"/>
                <w:szCs w:val="16"/>
              </w:rPr>
              <w:t>58.31%</w:t>
            </w:r>
          </w:p>
        </w:tc>
        <w:tc>
          <w:tcPr>
            <w:tcW w:w="1134" w:type="dxa"/>
            <w:vAlign w:val="bottom"/>
          </w:tcPr>
          <w:p w14:paraId="1496D59A" w14:textId="3703F2C2" w:rsidR="0076256A" w:rsidRPr="0076256A" w:rsidRDefault="0076256A" w:rsidP="0076256A">
            <w:pPr>
              <w:rPr>
                <w:rFonts w:ascii="Arial" w:hAnsi="Arial" w:cs="Arial"/>
                <w:color w:val="000000"/>
                <w:sz w:val="16"/>
                <w:szCs w:val="16"/>
              </w:rPr>
            </w:pPr>
            <w:r w:rsidRPr="00685ABB">
              <w:rPr>
                <w:rFonts w:ascii="Arial" w:hAnsi="Arial" w:cs="Arial"/>
                <w:sz w:val="16"/>
                <w:szCs w:val="16"/>
              </w:rPr>
              <w:t>1,083,224</w:t>
            </w:r>
          </w:p>
        </w:tc>
      </w:tr>
      <w:tr w:rsidR="0076256A" w:rsidRPr="005414F2" w14:paraId="7BF9B170" w14:textId="4E9D1AF5" w:rsidTr="00FA666D">
        <w:tc>
          <w:tcPr>
            <w:tcW w:w="2830" w:type="dxa"/>
          </w:tcPr>
          <w:p w14:paraId="3737CA33" w14:textId="00039070" w:rsidR="0076256A" w:rsidRPr="005414F2" w:rsidRDefault="0076256A" w:rsidP="0076256A">
            <w:pPr>
              <w:rPr>
                <w:rFonts w:ascii="Arial" w:hAnsi="Arial" w:cs="Arial"/>
                <w:sz w:val="18"/>
                <w:szCs w:val="18"/>
              </w:rPr>
            </w:pPr>
            <w:r>
              <w:rPr>
                <w:rFonts w:ascii="Arial" w:hAnsi="Arial" w:cs="Arial"/>
                <w:sz w:val="18"/>
                <w:szCs w:val="18"/>
              </w:rPr>
              <w:t>2</w:t>
            </w:r>
            <w:r w:rsidRPr="005414F2">
              <w:rPr>
                <w:rFonts w:ascii="Arial" w:hAnsi="Arial" w:cs="Arial"/>
                <w:sz w:val="18"/>
                <w:szCs w:val="18"/>
              </w:rPr>
              <w:t xml:space="preserve">. </w:t>
            </w:r>
            <w:r>
              <w:rPr>
                <w:rFonts w:ascii="Arial" w:hAnsi="Arial" w:cs="Arial"/>
                <w:sz w:val="18"/>
                <w:szCs w:val="18"/>
              </w:rPr>
              <w:t>T</w:t>
            </w:r>
            <w:r w:rsidRPr="005414F2">
              <w:rPr>
                <w:rFonts w:ascii="Arial" w:eastAsia="Arial" w:hAnsi="Arial" w:cs="Arial"/>
                <w:sz w:val="18"/>
                <w:szCs w:val="18"/>
                <w:lang w:val="en-GB"/>
              </w:rPr>
              <w:t xml:space="preserve">o </w:t>
            </w:r>
            <w:r>
              <w:rPr>
                <w:rFonts w:ascii="Arial" w:eastAsia="Arial" w:hAnsi="Arial" w:cs="Arial"/>
                <w:sz w:val="18"/>
                <w:szCs w:val="18"/>
                <w:lang w:val="en-GB"/>
              </w:rPr>
              <w:t xml:space="preserve">authorise the Directors to allot shares </w:t>
            </w:r>
          </w:p>
        </w:tc>
        <w:tc>
          <w:tcPr>
            <w:tcW w:w="1134" w:type="dxa"/>
            <w:vAlign w:val="bottom"/>
          </w:tcPr>
          <w:p w14:paraId="7254E2C3" w14:textId="2D84DD36" w:rsidR="0076256A" w:rsidRPr="0076256A" w:rsidRDefault="0076256A" w:rsidP="0076256A">
            <w:pPr>
              <w:rPr>
                <w:rFonts w:ascii="Arial" w:hAnsi="Arial" w:cs="Arial"/>
                <w:sz w:val="16"/>
                <w:szCs w:val="16"/>
              </w:rPr>
            </w:pPr>
            <w:r w:rsidRPr="00685ABB">
              <w:rPr>
                <w:rFonts w:ascii="Arial" w:hAnsi="Arial" w:cs="Arial"/>
                <w:sz w:val="16"/>
                <w:szCs w:val="16"/>
              </w:rPr>
              <w:t>761,239,053</w:t>
            </w:r>
          </w:p>
        </w:tc>
        <w:tc>
          <w:tcPr>
            <w:tcW w:w="709" w:type="dxa"/>
            <w:vAlign w:val="bottom"/>
          </w:tcPr>
          <w:p w14:paraId="3D8C43AF" w14:textId="5D272733" w:rsidR="0076256A" w:rsidRPr="0076256A" w:rsidRDefault="0076256A" w:rsidP="0076256A">
            <w:pPr>
              <w:rPr>
                <w:rFonts w:ascii="Arial" w:hAnsi="Arial" w:cs="Arial"/>
                <w:sz w:val="16"/>
                <w:szCs w:val="16"/>
              </w:rPr>
            </w:pPr>
            <w:r w:rsidRPr="00685ABB">
              <w:rPr>
                <w:rFonts w:ascii="Arial" w:hAnsi="Arial" w:cs="Arial"/>
                <w:sz w:val="16"/>
                <w:szCs w:val="16"/>
              </w:rPr>
              <w:t>97.69</w:t>
            </w:r>
          </w:p>
        </w:tc>
        <w:tc>
          <w:tcPr>
            <w:tcW w:w="1134" w:type="dxa"/>
            <w:vAlign w:val="bottom"/>
          </w:tcPr>
          <w:p w14:paraId="490D5954" w14:textId="4217AD6A" w:rsidR="0076256A" w:rsidRPr="0076256A" w:rsidRDefault="0076256A" w:rsidP="0076256A">
            <w:pPr>
              <w:rPr>
                <w:rFonts w:ascii="Arial" w:hAnsi="Arial" w:cs="Arial"/>
                <w:sz w:val="16"/>
                <w:szCs w:val="16"/>
              </w:rPr>
            </w:pPr>
            <w:r w:rsidRPr="00685ABB">
              <w:rPr>
                <w:rFonts w:ascii="Arial" w:hAnsi="Arial" w:cs="Arial"/>
                <w:sz w:val="16"/>
                <w:szCs w:val="16"/>
              </w:rPr>
              <w:t>18,035,163</w:t>
            </w:r>
          </w:p>
        </w:tc>
        <w:tc>
          <w:tcPr>
            <w:tcW w:w="709" w:type="dxa"/>
            <w:vAlign w:val="bottom"/>
          </w:tcPr>
          <w:p w14:paraId="2028D3AB" w14:textId="216485D7" w:rsidR="0076256A" w:rsidRPr="0076256A" w:rsidRDefault="0076256A" w:rsidP="0076256A">
            <w:pPr>
              <w:rPr>
                <w:rFonts w:ascii="Arial" w:hAnsi="Arial" w:cs="Arial"/>
                <w:sz w:val="16"/>
                <w:szCs w:val="16"/>
              </w:rPr>
            </w:pPr>
            <w:r w:rsidRPr="00685ABB">
              <w:rPr>
                <w:rFonts w:ascii="Arial" w:hAnsi="Arial" w:cs="Arial"/>
                <w:sz w:val="16"/>
                <w:szCs w:val="16"/>
              </w:rPr>
              <w:t>2.31</w:t>
            </w:r>
          </w:p>
        </w:tc>
        <w:tc>
          <w:tcPr>
            <w:tcW w:w="1134" w:type="dxa"/>
            <w:vAlign w:val="bottom"/>
          </w:tcPr>
          <w:p w14:paraId="129D76E4" w14:textId="286F43C7" w:rsidR="0076256A" w:rsidRPr="0076256A" w:rsidRDefault="0076256A" w:rsidP="0076256A">
            <w:pPr>
              <w:rPr>
                <w:rFonts w:ascii="Arial" w:hAnsi="Arial" w:cs="Arial"/>
                <w:sz w:val="16"/>
                <w:szCs w:val="16"/>
              </w:rPr>
            </w:pPr>
            <w:r w:rsidRPr="00685ABB">
              <w:rPr>
                <w:rFonts w:ascii="Arial" w:hAnsi="Arial" w:cs="Arial"/>
                <w:sz w:val="16"/>
                <w:szCs w:val="16"/>
              </w:rPr>
              <w:t>779,274,216</w:t>
            </w:r>
          </w:p>
        </w:tc>
        <w:tc>
          <w:tcPr>
            <w:tcW w:w="850" w:type="dxa"/>
            <w:vAlign w:val="bottom"/>
          </w:tcPr>
          <w:p w14:paraId="5C6698E9" w14:textId="4F87E563" w:rsidR="0076256A" w:rsidRPr="0076256A" w:rsidRDefault="0076256A" w:rsidP="0076256A">
            <w:pPr>
              <w:rPr>
                <w:rFonts w:ascii="Arial" w:hAnsi="Arial" w:cs="Arial"/>
                <w:sz w:val="16"/>
                <w:szCs w:val="16"/>
              </w:rPr>
            </w:pPr>
            <w:r w:rsidRPr="00685ABB">
              <w:rPr>
                <w:rFonts w:ascii="Arial" w:hAnsi="Arial" w:cs="Arial"/>
                <w:sz w:val="16"/>
                <w:szCs w:val="16"/>
              </w:rPr>
              <w:t>58.31%</w:t>
            </w:r>
          </w:p>
        </w:tc>
        <w:tc>
          <w:tcPr>
            <w:tcW w:w="1134" w:type="dxa"/>
            <w:vAlign w:val="bottom"/>
          </w:tcPr>
          <w:p w14:paraId="594D0D07" w14:textId="2B77D45E" w:rsidR="0076256A" w:rsidRPr="0076256A" w:rsidRDefault="0076256A" w:rsidP="0076256A">
            <w:pPr>
              <w:rPr>
                <w:rFonts w:ascii="Arial" w:hAnsi="Arial" w:cs="Arial"/>
                <w:sz w:val="16"/>
                <w:szCs w:val="16"/>
              </w:rPr>
            </w:pPr>
            <w:r w:rsidRPr="00685ABB">
              <w:rPr>
                <w:rFonts w:ascii="Arial" w:hAnsi="Arial" w:cs="Arial"/>
                <w:sz w:val="16"/>
                <w:szCs w:val="16"/>
              </w:rPr>
              <w:t>1,087,970</w:t>
            </w:r>
          </w:p>
        </w:tc>
      </w:tr>
      <w:tr w:rsidR="0076256A" w:rsidRPr="005414F2" w14:paraId="757AC317" w14:textId="750E13A3" w:rsidTr="00FA666D">
        <w:tc>
          <w:tcPr>
            <w:tcW w:w="2830" w:type="dxa"/>
          </w:tcPr>
          <w:p w14:paraId="6ADAA7AE" w14:textId="2BC29CFE" w:rsidR="0076256A" w:rsidRPr="005414F2" w:rsidRDefault="0076256A" w:rsidP="0076256A">
            <w:pPr>
              <w:rPr>
                <w:rFonts w:ascii="Arial" w:eastAsia="Arial" w:hAnsi="Arial" w:cs="Arial"/>
                <w:sz w:val="18"/>
                <w:szCs w:val="18"/>
                <w:lang w:val="en-GB"/>
              </w:rPr>
            </w:pPr>
            <w:r>
              <w:rPr>
                <w:rFonts w:ascii="Arial" w:hAnsi="Arial" w:cs="Arial"/>
                <w:sz w:val="18"/>
                <w:szCs w:val="18"/>
              </w:rPr>
              <w:t>3</w:t>
            </w:r>
            <w:r w:rsidRPr="005414F2">
              <w:rPr>
                <w:rFonts w:ascii="Arial" w:hAnsi="Arial" w:cs="Arial"/>
                <w:sz w:val="18"/>
                <w:szCs w:val="18"/>
              </w:rPr>
              <w:t xml:space="preserve">. </w:t>
            </w:r>
            <w:r>
              <w:rPr>
                <w:rFonts w:ascii="Arial" w:eastAsia="Arial" w:hAnsi="Arial" w:cs="Arial"/>
                <w:sz w:val="18"/>
                <w:szCs w:val="18"/>
                <w:lang w:val="en-GB"/>
              </w:rPr>
              <w:t>T</w:t>
            </w:r>
            <w:r w:rsidRPr="005414F2">
              <w:rPr>
                <w:rFonts w:ascii="Arial" w:eastAsia="Arial" w:hAnsi="Arial" w:cs="Arial"/>
                <w:sz w:val="18"/>
                <w:szCs w:val="18"/>
                <w:lang w:val="en-GB"/>
              </w:rPr>
              <w:t xml:space="preserve">o </w:t>
            </w:r>
            <w:r>
              <w:rPr>
                <w:rFonts w:ascii="Arial" w:eastAsia="Arial" w:hAnsi="Arial" w:cs="Arial"/>
                <w:sz w:val="18"/>
                <w:szCs w:val="18"/>
                <w:lang w:val="en-GB"/>
              </w:rPr>
              <w:t>authorise the Directors to disapply pre-emption rights</w:t>
            </w:r>
            <w:r w:rsidRPr="00157465">
              <w:rPr>
                <w:rFonts w:ascii="Arial" w:eastAsia="Arial" w:hAnsi="Arial" w:cs="Arial"/>
                <w:sz w:val="18"/>
                <w:szCs w:val="18"/>
                <w:lang w:val="en-GB"/>
              </w:rPr>
              <w:t>*</w:t>
            </w:r>
          </w:p>
          <w:p w14:paraId="4F1C96BE" w14:textId="36014C58" w:rsidR="0076256A" w:rsidRPr="005414F2" w:rsidRDefault="0076256A" w:rsidP="0076256A">
            <w:pPr>
              <w:rPr>
                <w:rFonts w:ascii="Arial" w:hAnsi="Arial" w:cs="Arial"/>
                <w:sz w:val="18"/>
                <w:szCs w:val="18"/>
              </w:rPr>
            </w:pPr>
          </w:p>
        </w:tc>
        <w:tc>
          <w:tcPr>
            <w:tcW w:w="1134" w:type="dxa"/>
            <w:vAlign w:val="bottom"/>
          </w:tcPr>
          <w:p w14:paraId="16CFDA15" w14:textId="2F1AE5FA" w:rsidR="0076256A" w:rsidRPr="0076256A" w:rsidRDefault="0076256A" w:rsidP="0076256A">
            <w:pPr>
              <w:rPr>
                <w:rFonts w:ascii="Arial" w:hAnsi="Arial" w:cs="Arial"/>
                <w:sz w:val="16"/>
                <w:szCs w:val="16"/>
              </w:rPr>
            </w:pPr>
            <w:r w:rsidRPr="00685ABB">
              <w:rPr>
                <w:rFonts w:ascii="Arial" w:hAnsi="Arial" w:cs="Arial"/>
                <w:sz w:val="16"/>
                <w:szCs w:val="16"/>
              </w:rPr>
              <w:t>763,169,227</w:t>
            </w:r>
          </w:p>
        </w:tc>
        <w:tc>
          <w:tcPr>
            <w:tcW w:w="709" w:type="dxa"/>
            <w:vAlign w:val="bottom"/>
          </w:tcPr>
          <w:p w14:paraId="3EEE100D" w14:textId="35F57AC4" w:rsidR="0076256A" w:rsidRPr="0076256A" w:rsidRDefault="0076256A" w:rsidP="0076256A">
            <w:pPr>
              <w:rPr>
                <w:rFonts w:ascii="Arial" w:hAnsi="Arial" w:cs="Arial"/>
                <w:sz w:val="16"/>
                <w:szCs w:val="16"/>
              </w:rPr>
            </w:pPr>
            <w:r w:rsidRPr="00685ABB">
              <w:rPr>
                <w:rFonts w:ascii="Arial" w:hAnsi="Arial" w:cs="Arial"/>
                <w:sz w:val="16"/>
                <w:szCs w:val="16"/>
              </w:rPr>
              <w:t>97.94</w:t>
            </w:r>
          </w:p>
        </w:tc>
        <w:tc>
          <w:tcPr>
            <w:tcW w:w="1134" w:type="dxa"/>
            <w:vAlign w:val="bottom"/>
          </w:tcPr>
          <w:p w14:paraId="4DEA93F2" w14:textId="25738DF7" w:rsidR="0076256A" w:rsidRPr="0076256A" w:rsidRDefault="0076256A" w:rsidP="0076256A">
            <w:pPr>
              <w:rPr>
                <w:rFonts w:ascii="Arial" w:hAnsi="Arial" w:cs="Arial"/>
                <w:sz w:val="16"/>
                <w:szCs w:val="16"/>
              </w:rPr>
            </w:pPr>
            <w:r w:rsidRPr="00685ABB">
              <w:rPr>
                <w:rFonts w:ascii="Arial" w:hAnsi="Arial" w:cs="Arial"/>
                <w:sz w:val="16"/>
                <w:szCs w:val="16"/>
              </w:rPr>
              <w:t>16,022,582</w:t>
            </w:r>
          </w:p>
        </w:tc>
        <w:tc>
          <w:tcPr>
            <w:tcW w:w="709" w:type="dxa"/>
            <w:vAlign w:val="bottom"/>
          </w:tcPr>
          <w:p w14:paraId="3B3A80DC" w14:textId="5D1A119F" w:rsidR="0076256A" w:rsidRPr="0076256A" w:rsidRDefault="0076256A" w:rsidP="0076256A">
            <w:pPr>
              <w:rPr>
                <w:rFonts w:ascii="Arial" w:hAnsi="Arial" w:cs="Arial"/>
                <w:sz w:val="16"/>
                <w:szCs w:val="16"/>
              </w:rPr>
            </w:pPr>
            <w:r w:rsidRPr="00685ABB">
              <w:rPr>
                <w:rFonts w:ascii="Arial" w:hAnsi="Arial" w:cs="Arial"/>
                <w:sz w:val="16"/>
                <w:szCs w:val="16"/>
              </w:rPr>
              <w:t>2.06</w:t>
            </w:r>
          </w:p>
        </w:tc>
        <w:tc>
          <w:tcPr>
            <w:tcW w:w="1134" w:type="dxa"/>
            <w:vAlign w:val="bottom"/>
          </w:tcPr>
          <w:p w14:paraId="5B81A396" w14:textId="4C22F93F" w:rsidR="0076256A" w:rsidRPr="0076256A" w:rsidRDefault="0076256A" w:rsidP="0076256A">
            <w:pPr>
              <w:rPr>
                <w:rFonts w:ascii="Arial" w:hAnsi="Arial" w:cs="Arial"/>
                <w:sz w:val="16"/>
                <w:szCs w:val="16"/>
              </w:rPr>
            </w:pPr>
            <w:r w:rsidRPr="00685ABB">
              <w:rPr>
                <w:rFonts w:ascii="Arial" w:hAnsi="Arial" w:cs="Arial"/>
                <w:sz w:val="16"/>
                <w:szCs w:val="16"/>
              </w:rPr>
              <w:t>779,191,809</w:t>
            </w:r>
          </w:p>
        </w:tc>
        <w:tc>
          <w:tcPr>
            <w:tcW w:w="850" w:type="dxa"/>
            <w:vAlign w:val="bottom"/>
          </w:tcPr>
          <w:p w14:paraId="492846BF" w14:textId="74C0C2B8" w:rsidR="0076256A" w:rsidRPr="0076256A" w:rsidRDefault="0076256A" w:rsidP="0076256A">
            <w:pPr>
              <w:rPr>
                <w:rFonts w:ascii="Arial" w:hAnsi="Arial" w:cs="Arial"/>
                <w:sz w:val="16"/>
                <w:szCs w:val="16"/>
              </w:rPr>
            </w:pPr>
            <w:r w:rsidRPr="00685ABB">
              <w:rPr>
                <w:rFonts w:ascii="Arial" w:hAnsi="Arial" w:cs="Arial"/>
                <w:sz w:val="16"/>
                <w:szCs w:val="16"/>
              </w:rPr>
              <w:t>58.30%</w:t>
            </w:r>
          </w:p>
        </w:tc>
        <w:tc>
          <w:tcPr>
            <w:tcW w:w="1134" w:type="dxa"/>
            <w:vAlign w:val="bottom"/>
          </w:tcPr>
          <w:p w14:paraId="4E6E3882" w14:textId="21FB0F12" w:rsidR="0076256A" w:rsidRPr="0076256A" w:rsidRDefault="0076256A" w:rsidP="0076256A">
            <w:pPr>
              <w:rPr>
                <w:rFonts w:ascii="Arial" w:hAnsi="Arial" w:cs="Arial"/>
                <w:sz w:val="16"/>
                <w:szCs w:val="16"/>
              </w:rPr>
            </w:pPr>
            <w:r w:rsidRPr="00685ABB">
              <w:rPr>
                <w:rFonts w:ascii="Arial" w:hAnsi="Arial" w:cs="Arial"/>
                <w:sz w:val="16"/>
                <w:szCs w:val="16"/>
              </w:rPr>
              <w:t>1,170,377</w:t>
            </w:r>
          </w:p>
        </w:tc>
      </w:tr>
      <w:tr w:rsidR="0076256A" w:rsidRPr="005414F2" w14:paraId="1ADFC697" w14:textId="7AEC8D2C" w:rsidTr="00FA666D">
        <w:tc>
          <w:tcPr>
            <w:tcW w:w="2830" w:type="dxa"/>
          </w:tcPr>
          <w:p w14:paraId="67C1031D" w14:textId="36CBB898" w:rsidR="0076256A" w:rsidRPr="005414F2" w:rsidRDefault="0076256A" w:rsidP="0076256A">
            <w:pPr>
              <w:rPr>
                <w:rFonts w:ascii="Arial" w:eastAsia="Arial" w:hAnsi="Arial" w:cs="Arial"/>
                <w:sz w:val="18"/>
                <w:szCs w:val="18"/>
                <w:lang w:val="en-GB"/>
              </w:rPr>
            </w:pPr>
            <w:r>
              <w:rPr>
                <w:rFonts w:ascii="Arial" w:hAnsi="Arial" w:cs="Arial"/>
                <w:sz w:val="18"/>
                <w:szCs w:val="18"/>
              </w:rPr>
              <w:t>4</w:t>
            </w:r>
            <w:r w:rsidRPr="005414F2">
              <w:rPr>
                <w:rFonts w:ascii="Arial" w:hAnsi="Arial" w:cs="Arial"/>
                <w:sz w:val="18"/>
                <w:szCs w:val="18"/>
              </w:rPr>
              <w:t xml:space="preserve">. </w:t>
            </w:r>
            <w:r>
              <w:rPr>
                <w:rFonts w:ascii="Arial" w:eastAsia="Arial" w:hAnsi="Arial" w:cs="Arial"/>
                <w:sz w:val="18"/>
                <w:szCs w:val="18"/>
                <w:lang w:val="en-GB"/>
              </w:rPr>
              <w:t>T</w:t>
            </w:r>
            <w:r w:rsidRPr="005414F2">
              <w:rPr>
                <w:rFonts w:ascii="Arial" w:eastAsia="Arial" w:hAnsi="Arial" w:cs="Arial"/>
                <w:sz w:val="18"/>
                <w:szCs w:val="18"/>
                <w:lang w:val="en-GB"/>
              </w:rPr>
              <w:t xml:space="preserve">o </w:t>
            </w:r>
            <w:r>
              <w:rPr>
                <w:rFonts w:ascii="Arial" w:eastAsia="Arial" w:hAnsi="Arial" w:cs="Arial"/>
                <w:sz w:val="18"/>
                <w:szCs w:val="18"/>
                <w:lang w:val="en-GB"/>
              </w:rPr>
              <w:t>disapply pre-emption rights in connection with an acquisition or specified capital investment</w:t>
            </w:r>
            <w:r w:rsidRPr="00157465">
              <w:rPr>
                <w:rFonts w:ascii="Arial" w:eastAsia="Arial" w:hAnsi="Arial" w:cs="Arial"/>
                <w:sz w:val="18"/>
                <w:szCs w:val="18"/>
                <w:lang w:val="en-GB"/>
              </w:rPr>
              <w:t>*</w:t>
            </w:r>
          </w:p>
          <w:p w14:paraId="30C21822" w14:textId="6F59EC09" w:rsidR="0076256A" w:rsidRPr="005414F2" w:rsidRDefault="0076256A" w:rsidP="0076256A">
            <w:pPr>
              <w:rPr>
                <w:rFonts w:ascii="Arial" w:hAnsi="Arial" w:cs="Arial"/>
                <w:sz w:val="18"/>
                <w:szCs w:val="18"/>
              </w:rPr>
            </w:pPr>
          </w:p>
        </w:tc>
        <w:tc>
          <w:tcPr>
            <w:tcW w:w="1134" w:type="dxa"/>
            <w:vAlign w:val="bottom"/>
          </w:tcPr>
          <w:p w14:paraId="21249ECE" w14:textId="377DF3B1" w:rsidR="0076256A" w:rsidRPr="0076256A" w:rsidRDefault="0076256A" w:rsidP="0076256A">
            <w:pPr>
              <w:rPr>
                <w:rFonts w:ascii="Arial" w:hAnsi="Arial" w:cs="Arial"/>
                <w:sz w:val="16"/>
                <w:szCs w:val="16"/>
              </w:rPr>
            </w:pPr>
            <w:r w:rsidRPr="00685ABB">
              <w:rPr>
                <w:rFonts w:ascii="Arial" w:hAnsi="Arial" w:cs="Arial"/>
                <w:sz w:val="16"/>
                <w:szCs w:val="16"/>
              </w:rPr>
              <w:t>763,194,532</w:t>
            </w:r>
          </w:p>
        </w:tc>
        <w:tc>
          <w:tcPr>
            <w:tcW w:w="709" w:type="dxa"/>
            <w:vAlign w:val="bottom"/>
          </w:tcPr>
          <w:p w14:paraId="14ECFF22" w14:textId="75FA9215" w:rsidR="0076256A" w:rsidRPr="0076256A" w:rsidRDefault="0076256A" w:rsidP="0076256A">
            <w:pPr>
              <w:rPr>
                <w:rFonts w:ascii="Arial" w:hAnsi="Arial" w:cs="Arial"/>
                <w:sz w:val="16"/>
                <w:szCs w:val="16"/>
              </w:rPr>
            </w:pPr>
            <w:r w:rsidRPr="00685ABB">
              <w:rPr>
                <w:rFonts w:ascii="Arial" w:hAnsi="Arial" w:cs="Arial"/>
                <w:sz w:val="16"/>
                <w:szCs w:val="16"/>
              </w:rPr>
              <w:t>97.95</w:t>
            </w:r>
          </w:p>
        </w:tc>
        <w:tc>
          <w:tcPr>
            <w:tcW w:w="1134" w:type="dxa"/>
            <w:vAlign w:val="bottom"/>
          </w:tcPr>
          <w:p w14:paraId="63047AF7" w14:textId="28C32618" w:rsidR="0076256A" w:rsidRPr="0076256A" w:rsidRDefault="0076256A" w:rsidP="0076256A">
            <w:pPr>
              <w:rPr>
                <w:rFonts w:ascii="Arial" w:hAnsi="Arial" w:cs="Arial"/>
                <w:sz w:val="16"/>
                <w:szCs w:val="16"/>
              </w:rPr>
            </w:pPr>
            <w:r w:rsidRPr="00685ABB">
              <w:rPr>
                <w:rFonts w:ascii="Arial" w:hAnsi="Arial" w:cs="Arial"/>
                <w:sz w:val="16"/>
                <w:szCs w:val="16"/>
              </w:rPr>
              <w:t>16,003,302</w:t>
            </w:r>
          </w:p>
        </w:tc>
        <w:tc>
          <w:tcPr>
            <w:tcW w:w="709" w:type="dxa"/>
            <w:vAlign w:val="bottom"/>
          </w:tcPr>
          <w:p w14:paraId="3DEE37BD" w14:textId="619920F0" w:rsidR="0076256A" w:rsidRPr="0076256A" w:rsidRDefault="0076256A" w:rsidP="0076256A">
            <w:pPr>
              <w:rPr>
                <w:rFonts w:ascii="Arial" w:hAnsi="Arial" w:cs="Arial"/>
                <w:sz w:val="16"/>
                <w:szCs w:val="16"/>
              </w:rPr>
            </w:pPr>
            <w:r w:rsidRPr="00685ABB">
              <w:rPr>
                <w:rFonts w:ascii="Arial" w:hAnsi="Arial" w:cs="Arial"/>
                <w:sz w:val="16"/>
                <w:szCs w:val="16"/>
              </w:rPr>
              <w:t>2.05</w:t>
            </w:r>
          </w:p>
        </w:tc>
        <w:tc>
          <w:tcPr>
            <w:tcW w:w="1134" w:type="dxa"/>
            <w:vAlign w:val="bottom"/>
          </w:tcPr>
          <w:p w14:paraId="64DC9BA1" w14:textId="4A917632" w:rsidR="0076256A" w:rsidRPr="0076256A" w:rsidRDefault="0076256A" w:rsidP="0076256A">
            <w:pPr>
              <w:rPr>
                <w:rFonts w:ascii="Arial" w:hAnsi="Arial" w:cs="Arial"/>
                <w:sz w:val="16"/>
                <w:szCs w:val="16"/>
              </w:rPr>
            </w:pPr>
            <w:r w:rsidRPr="00685ABB">
              <w:rPr>
                <w:rFonts w:ascii="Arial" w:hAnsi="Arial" w:cs="Arial"/>
                <w:sz w:val="16"/>
                <w:szCs w:val="16"/>
              </w:rPr>
              <w:t>779,197,834</w:t>
            </w:r>
          </w:p>
        </w:tc>
        <w:tc>
          <w:tcPr>
            <w:tcW w:w="850" w:type="dxa"/>
            <w:vAlign w:val="bottom"/>
          </w:tcPr>
          <w:p w14:paraId="0A158EF7" w14:textId="4970424B" w:rsidR="0076256A" w:rsidRPr="0076256A" w:rsidRDefault="0076256A" w:rsidP="0076256A">
            <w:pPr>
              <w:rPr>
                <w:rFonts w:ascii="Arial" w:hAnsi="Arial" w:cs="Arial"/>
                <w:sz w:val="16"/>
                <w:szCs w:val="16"/>
              </w:rPr>
            </w:pPr>
            <w:r w:rsidRPr="00685ABB">
              <w:rPr>
                <w:rFonts w:ascii="Arial" w:hAnsi="Arial" w:cs="Arial"/>
                <w:sz w:val="16"/>
                <w:szCs w:val="16"/>
              </w:rPr>
              <w:t>58.30%</w:t>
            </w:r>
          </w:p>
        </w:tc>
        <w:tc>
          <w:tcPr>
            <w:tcW w:w="1134" w:type="dxa"/>
            <w:vAlign w:val="bottom"/>
          </w:tcPr>
          <w:p w14:paraId="76DD179D" w14:textId="72AC00D3" w:rsidR="0076256A" w:rsidRPr="0076256A" w:rsidRDefault="0076256A" w:rsidP="0076256A">
            <w:pPr>
              <w:rPr>
                <w:rFonts w:ascii="Arial" w:hAnsi="Arial" w:cs="Arial"/>
                <w:sz w:val="16"/>
                <w:szCs w:val="16"/>
              </w:rPr>
            </w:pPr>
            <w:r w:rsidRPr="00685ABB">
              <w:rPr>
                <w:rFonts w:ascii="Arial" w:hAnsi="Arial" w:cs="Arial"/>
                <w:sz w:val="16"/>
                <w:szCs w:val="16"/>
              </w:rPr>
              <w:t>1,164,352</w:t>
            </w:r>
          </w:p>
        </w:tc>
      </w:tr>
    </w:tbl>
    <w:p w14:paraId="79494161" w14:textId="35143FD9" w:rsidR="009279D6" w:rsidRDefault="009279D6" w:rsidP="007610EC">
      <w:pPr>
        <w:spacing w:after="0"/>
        <w:rPr>
          <w:rFonts w:ascii="Arial" w:hAnsi="Arial" w:cs="Arial"/>
          <w:sz w:val="20"/>
          <w:szCs w:val="20"/>
        </w:rPr>
      </w:pPr>
    </w:p>
    <w:p w14:paraId="0B59EDEE" w14:textId="77777777" w:rsidR="00FC14EA" w:rsidRDefault="00FC14EA" w:rsidP="007610EC">
      <w:pPr>
        <w:spacing w:after="0"/>
        <w:rPr>
          <w:rFonts w:ascii="Arial" w:hAnsi="Arial" w:cs="Arial"/>
          <w:sz w:val="20"/>
          <w:szCs w:val="20"/>
        </w:rPr>
      </w:pPr>
    </w:p>
    <w:p w14:paraId="50A15C04" w14:textId="477C2564" w:rsidR="00383C14" w:rsidRPr="003056EC" w:rsidRDefault="00226C07" w:rsidP="00383C14">
      <w:pPr>
        <w:spacing w:after="0"/>
        <w:rPr>
          <w:rFonts w:ascii="Arial" w:hAnsi="Arial" w:cs="Arial"/>
          <w:sz w:val="18"/>
          <w:szCs w:val="18"/>
        </w:rPr>
      </w:pPr>
      <w:r w:rsidRPr="005414F2">
        <w:rPr>
          <w:rFonts w:ascii="Arial" w:hAnsi="Arial" w:cs="Arial"/>
          <w:sz w:val="18"/>
          <w:szCs w:val="18"/>
          <w:vertAlign w:val="superscript"/>
        </w:rPr>
        <w:t>1</w:t>
      </w:r>
      <w:r w:rsidR="00383C14" w:rsidRPr="003056EC">
        <w:rPr>
          <w:rFonts w:ascii="Arial" w:hAnsi="Arial" w:cs="Arial"/>
          <w:sz w:val="18"/>
          <w:szCs w:val="18"/>
        </w:rPr>
        <w:t>A vote withheld is not a vote in law and is not counted in the calculation of the proportion of votes for or against a resolution</w:t>
      </w:r>
    </w:p>
    <w:p w14:paraId="26E5574B" w14:textId="4752ABB7" w:rsidR="00383C14" w:rsidRPr="003056EC" w:rsidRDefault="00383C14" w:rsidP="00383C14">
      <w:pPr>
        <w:spacing w:after="0"/>
        <w:rPr>
          <w:rFonts w:ascii="Arial" w:hAnsi="Arial" w:cs="Arial"/>
          <w:sz w:val="18"/>
          <w:szCs w:val="18"/>
        </w:rPr>
      </w:pPr>
    </w:p>
    <w:p w14:paraId="499272A8" w14:textId="7E0977F3" w:rsidR="00383C14" w:rsidRDefault="00383C14" w:rsidP="00383C14">
      <w:pPr>
        <w:spacing w:after="0"/>
        <w:rPr>
          <w:rFonts w:ascii="Arial" w:hAnsi="Arial" w:cs="Arial"/>
          <w:sz w:val="18"/>
          <w:szCs w:val="18"/>
        </w:rPr>
      </w:pPr>
      <w:r w:rsidRPr="003056EC">
        <w:rPr>
          <w:rFonts w:ascii="Arial" w:hAnsi="Arial" w:cs="Arial"/>
          <w:sz w:val="18"/>
          <w:szCs w:val="18"/>
        </w:rPr>
        <w:t>* indicates a special resolution</w:t>
      </w:r>
    </w:p>
    <w:p w14:paraId="79CA0F17" w14:textId="77777777" w:rsidR="00E6544C" w:rsidRDefault="00E6544C" w:rsidP="00383C14">
      <w:pPr>
        <w:spacing w:after="0"/>
        <w:rPr>
          <w:rFonts w:ascii="Arial" w:hAnsi="Arial" w:cs="Arial"/>
          <w:sz w:val="18"/>
          <w:szCs w:val="18"/>
        </w:rPr>
      </w:pPr>
    </w:p>
    <w:p w14:paraId="0A5E2013" w14:textId="5065B00A" w:rsidR="002D6D8A" w:rsidRDefault="009915CD" w:rsidP="007610EC">
      <w:pPr>
        <w:spacing w:after="120"/>
        <w:jc w:val="both"/>
        <w:rPr>
          <w:rFonts w:ascii="Arial" w:hAnsi="Arial" w:cs="Arial"/>
          <w:sz w:val="20"/>
          <w:szCs w:val="20"/>
        </w:rPr>
      </w:pPr>
      <w:r>
        <w:rPr>
          <w:rFonts w:ascii="Arial" w:hAnsi="Arial" w:cs="Arial"/>
          <w:sz w:val="20"/>
          <w:szCs w:val="20"/>
        </w:rPr>
        <w:t>The</w:t>
      </w:r>
      <w:r w:rsidR="00CD1F49" w:rsidRPr="00CD1F49">
        <w:rPr>
          <w:rFonts w:ascii="Arial" w:hAnsi="Arial" w:cs="Arial"/>
          <w:sz w:val="20"/>
          <w:szCs w:val="20"/>
        </w:rPr>
        <w:t xml:space="preserve"> total issued share capital of PHP </w:t>
      </w:r>
      <w:r w:rsidR="007610EC">
        <w:rPr>
          <w:rFonts w:ascii="Arial" w:hAnsi="Arial" w:cs="Arial"/>
          <w:sz w:val="20"/>
          <w:szCs w:val="20"/>
        </w:rPr>
        <w:t>is</w:t>
      </w:r>
      <w:r w:rsidR="00383C14" w:rsidRPr="00383C14">
        <w:rPr>
          <w:rFonts w:ascii="Arial" w:hAnsi="Arial" w:cs="Arial"/>
          <w:sz w:val="20"/>
          <w:szCs w:val="20"/>
        </w:rPr>
        <w:t xml:space="preserve"> </w:t>
      </w:r>
      <w:r w:rsidR="001C7BA9" w:rsidRPr="001C7BA9">
        <w:rPr>
          <w:rFonts w:ascii="Arial" w:hAnsi="Arial" w:cs="Arial"/>
          <w:sz w:val="20"/>
          <w:szCs w:val="20"/>
        </w:rPr>
        <w:t xml:space="preserve">1,336,493,786 </w:t>
      </w:r>
      <w:r w:rsidR="00617015">
        <w:rPr>
          <w:rFonts w:ascii="Arial" w:hAnsi="Arial" w:cs="Arial"/>
          <w:sz w:val="20"/>
          <w:szCs w:val="20"/>
        </w:rPr>
        <w:t>Ordinary Shares</w:t>
      </w:r>
      <w:r w:rsidR="00CD1F49" w:rsidRPr="00CD1F49">
        <w:rPr>
          <w:rFonts w:ascii="Arial" w:hAnsi="Arial" w:cs="Arial"/>
          <w:sz w:val="20"/>
          <w:szCs w:val="20"/>
        </w:rPr>
        <w:t>. This figure may be used by Shareholders as the denominator for the calculations by which they will determine if they are required to notify their interest in, or a change in their interest in, the share capital of the Company under the FCA's Disclosure Guidance and Transparency Rules</w:t>
      </w:r>
      <w:r w:rsidR="00617015">
        <w:rPr>
          <w:rFonts w:ascii="Arial" w:hAnsi="Arial" w:cs="Arial"/>
          <w:sz w:val="20"/>
          <w:szCs w:val="20"/>
        </w:rPr>
        <w:t>.</w:t>
      </w:r>
    </w:p>
    <w:p w14:paraId="287F03A8" w14:textId="7B4F59C2" w:rsidR="00144B96" w:rsidRDefault="00144B96" w:rsidP="00144B96">
      <w:pPr>
        <w:rPr>
          <w:rFonts w:ascii="Arial" w:hAnsi="Arial" w:cs="Arial"/>
          <w:sz w:val="20"/>
          <w:szCs w:val="20"/>
        </w:rPr>
      </w:pPr>
      <w:r w:rsidRPr="00144B96">
        <w:rPr>
          <w:rFonts w:ascii="Arial" w:hAnsi="Arial" w:cs="Arial"/>
          <w:sz w:val="20"/>
          <w:szCs w:val="20"/>
        </w:rPr>
        <w:t xml:space="preserve">A copy of the resolutions passed as special business at today’s </w:t>
      </w:r>
      <w:r w:rsidR="00D82D95">
        <w:rPr>
          <w:rFonts w:ascii="Arial" w:hAnsi="Arial" w:cs="Arial"/>
          <w:sz w:val="20"/>
          <w:szCs w:val="20"/>
        </w:rPr>
        <w:t>general meeting</w:t>
      </w:r>
      <w:r w:rsidRPr="00144B96">
        <w:rPr>
          <w:rFonts w:ascii="Arial" w:hAnsi="Arial" w:cs="Arial"/>
          <w:sz w:val="20"/>
          <w:szCs w:val="20"/>
        </w:rPr>
        <w:t xml:space="preserve"> will, in accordance with Listing Rule </w:t>
      </w:r>
      <w:r w:rsidR="0081779C">
        <w:rPr>
          <w:rFonts w:ascii="Arial" w:hAnsi="Arial" w:cs="Arial"/>
          <w:sz w:val="20"/>
          <w:szCs w:val="20"/>
        </w:rPr>
        <w:t>6</w:t>
      </w:r>
      <w:r w:rsidRPr="00144B96">
        <w:rPr>
          <w:rFonts w:ascii="Arial" w:hAnsi="Arial" w:cs="Arial"/>
          <w:sz w:val="20"/>
          <w:szCs w:val="20"/>
        </w:rPr>
        <w:t>.</w:t>
      </w:r>
      <w:r w:rsidR="0081779C">
        <w:rPr>
          <w:rFonts w:ascii="Arial" w:hAnsi="Arial" w:cs="Arial"/>
          <w:sz w:val="20"/>
          <w:szCs w:val="20"/>
        </w:rPr>
        <w:t>4</w:t>
      </w:r>
      <w:r w:rsidRPr="00144B96">
        <w:rPr>
          <w:rFonts w:ascii="Arial" w:hAnsi="Arial" w:cs="Arial"/>
          <w:sz w:val="20"/>
          <w:szCs w:val="20"/>
        </w:rPr>
        <w:t>.2., be submitted to the</w:t>
      </w:r>
      <w:r>
        <w:rPr>
          <w:rFonts w:ascii="Arial" w:hAnsi="Arial" w:cs="Arial"/>
          <w:sz w:val="20"/>
          <w:szCs w:val="20"/>
        </w:rPr>
        <w:t xml:space="preserve"> </w:t>
      </w:r>
      <w:r w:rsidRPr="00144B96">
        <w:rPr>
          <w:rFonts w:ascii="Arial" w:hAnsi="Arial" w:cs="Arial"/>
          <w:sz w:val="20"/>
          <w:szCs w:val="20"/>
        </w:rPr>
        <w:t xml:space="preserve">National Storage Mechanism and will be available at </w:t>
      </w:r>
      <w:r w:rsidRPr="00144B96">
        <w:rPr>
          <w:rFonts w:ascii="Arial" w:hAnsi="Arial" w:cs="Arial"/>
          <w:sz w:val="20"/>
          <w:szCs w:val="20"/>
          <w:u w:val="single"/>
        </w:rPr>
        <w:t>https://data.fca.org.uk/#/nsm/nationalstoragemechanism</w:t>
      </w:r>
    </w:p>
    <w:p w14:paraId="4215BFA2" w14:textId="77777777" w:rsidR="00417ADB" w:rsidRPr="00C26A78" w:rsidRDefault="00417ADB" w:rsidP="00417ADB">
      <w:pPr>
        <w:jc w:val="both"/>
        <w:rPr>
          <w:rFonts w:ascii="Arial" w:hAnsi="Arial" w:cs="Arial"/>
          <w:sz w:val="20"/>
          <w:szCs w:val="20"/>
        </w:rPr>
      </w:pPr>
      <w:r w:rsidRPr="00C26A78">
        <w:rPr>
          <w:rFonts w:ascii="Arial" w:hAnsi="Arial" w:cs="Arial"/>
          <w:sz w:val="20"/>
          <w:szCs w:val="20"/>
        </w:rPr>
        <w:t>For further information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476"/>
      </w:tblGrid>
      <w:tr w:rsidR="00417ADB" w:rsidRPr="00C26A78" w14:paraId="6019FE18" w14:textId="77777777" w:rsidTr="00033419">
        <w:tc>
          <w:tcPr>
            <w:tcW w:w="4550" w:type="dxa"/>
          </w:tcPr>
          <w:p w14:paraId="4808F502" w14:textId="78BFE4B6" w:rsidR="007946E5" w:rsidRPr="007946E5" w:rsidRDefault="00404BD9" w:rsidP="007946E5">
            <w:pPr>
              <w:rPr>
                <w:rFonts w:ascii="Arial" w:hAnsi="Arial" w:cs="Arial"/>
              </w:rPr>
            </w:pPr>
            <w:r>
              <w:rPr>
                <w:rFonts w:ascii="Arial" w:hAnsi="Arial" w:cs="Arial"/>
              </w:rPr>
              <w:t>Rory Godson</w:t>
            </w:r>
            <w:r w:rsidR="007946E5" w:rsidRPr="007946E5">
              <w:rPr>
                <w:rFonts w:ascii="Arial" w:hAnsi="Arial" w:cs="Arial"/>
              </w:rPr>
              <w:t>/</w:t>
            </w:r>
            <w:r>
              <w:rPr>
                <w:rFonts w:ascii="Arial" w:hAnsi="Arial" w:cs="Arial"/>
              </w:rPr>
              <w:t>Elly Williamson</w:t>
            </w:r>
          </w:p>
          <w:p w14:paraId="1AAC209A" w14:textId="1E506355" w:rsidR="007946E5" w:rsidRPr="007946E5" w:rsidRDefault="00404BD9" w:rsidP="007946E5">
            <w:pPr>
              <w:jc w:val="both"/>
              <w:rPr>
                <w:rFonts w:ascii="Arial" w:hAnsi="Arial" w:cs="Arial"/>
              </w:rPr>
            </w:pPr>
            <w:r>
              <w:rPr>
                <w:rFonts w:ascii="Arial" w:hAnsi="Arial" w:cs="Arial"/>
              </w:rPr>
              <w:t>Sodali &amp; Co.</w:t>
            </w:r>
          </w:p>
          <w:p w14:paraId="586B6360" w14:textId="5E75629D" w:rsidR="007946E5" w:rsidRPr="007946E5" w:rsidRDefault="007946E5" w:rsidP="007946E5">
            <w:pPr>
              <w:jc w:val="both"/>
              <w:rPr>
                <w:rFonts w:ascii="Arial" w:hAnsi="Arial" w:cs="Arial"/>
              </w:rPr>
            </w:pPr>
            <w:r w:rsidRPr="007946E5">
              <w:rPr>
                <w:rFonts w:ascii="Arial" w:hAnsi="Arial" w:cs="Arial"/>
              </w:rPr>
              <w:t xml:space="preserve">T: +44 (0) </w:t>
            </w:r>
            <w:r w:rsidR="00404BD9" w:rsidRPr="00404BD9">
              <w:rPr>
                <w:rFonts w:ascii="Arial" w:hAnsi="Arial" w:cs="Arial"/>
              </w:rPr>
              <w:t>7970 246 725</w:t>
            </w:r>
          </w:p>
          <w:p w14:paraId="6FDBFF4E" w14:textId="0D44E7D1" w:rsidR="0081779C" w:rsidRPr="00C26A78" w:rsidRDefault="0081779C" w:rsidP="007946E5">
            <w:pPr>
              <w:jc w:val="both"/>
              <w:rPr>
                <w:rFonts w:ascii="Arial" w:hAnsi="Arial" w:cs="Arial"/>
              </w:rPr>
            </w:pPr>
          </w:p>
        </w:tc>
        <w:tc>
          <w:tcPr>
            <w:tcW w:w="4476" w:type="dxa"/>
          </w:tcPr>
          <w:p w14:paraId="6ED0ECD1" w14:textId="103D2694" w:rsidR="00417ADB" w:rsidRPr="00C26A78" w:rsidRDefault="00417ADB" w:rsidP="0081779C">
            <w:pPr>
              <w:jc w:val="both"/>
              <w:rPr>
                <w:rFonts w:ascii="Arial" w:hAnsi="Arial" w:cs="Arial"/>
              </w:rPr>
            </w:pPr>
          </w:p>
        </w:tc>
      </w:tr>
      <w:tr w:rsidR="00417ADB" w:rsidRPr="00C26A78" w14:paraId="746E2F18" w14:textId="77777777" w:rsidTr="00033419">
        <w:tc>
          <w:tcPr>
            <w:tcW w:w="4550" w:type="dxa"/>
          </w:tcPr>
          <w:p w14:paraId="6F67A8BE" w14:textId="1D71E617" w:rsidR="0081779C" w:rsidRPr="00C26A78" w:rsidRDefault="0081779C" w:rsidP="007946E5">
            <w:pPr>
              <w:jc w:val="both"/>
              <w:rPr>
                <w:rFonts w:ascii="Arial" w:hAnsi="Arial" w:cs="Arial"/>
              </w:rPr>
            </w:pPr>
          </w:p>
        </w:tc>
        <w:tc>
          <w:tcPr>
            <w:tcW w:w="4476" w:type="dxa"/>
          </w:tcPr>
          <w:p w14:paraId="76C165E0" w14:textId="77777777" w:rsidR="00417ADB" w:rsidRPr="00C26A78" w:rsidRDefault="00417ADB" w:rsidP="00033419">
            <w:pPr>
              <w:jc w:val="both"/>
              <w:rPr>
                <w:rFonts w:ascii="Arial" w:hAnsi="Arial" w:cs="Arial"/>
              </w:rPr>
            </w:pPr>
          </w:p>
        </w:tc>
      </w:tr>
    </w:tbl>
    <w:p w14:paraId="7926D20D" w14:textId="77777777" w:rsidR="00223DB9" w:rsidRPr="003E7DE2" w:rsidRDefault="00223DB9" w:rsidP="00223DB9">
      <w:pPr>
        <w:pStyle w:val="CMSANBodyText"/>
        <w:keepNext/>
        <w:spacing w:after="240" w:line="240" w:lineRule="auto"/>
        <w:rPr>
          <w:rFonts w:ascii="Arial" w:hAnsi="Arial" w:cs="Arial"/>
          <w:b/>
          <w:bCs/>
          <w:sz w:val="20"/>
          <w:szCs w:val="20"/>
        </w:rPr>
      </w:pPr>
      <w:r w:rsidRPr="003E7DE2">
        <w:rPr>
          <w:rFonts w:ascii="Arial" w:hAnsi="Arial" w:cs="Arial"/>
          <w:b/>
          <w:bCs/>
          <w:sz w:val="20"/>
          <w:szCs w:val="20"/>
        </w:rPr>
        <w:t>Publication on a website</w:t>
      </w:r>
    </w:p>
    <w:p w14:paraId="6155471D" w14:textId="6436C683" w:rsidR="00223DB9" w:rsidRPr="003E7DE2" w:rsidRDefault="00223DB9" w:rsidP="00223DB9">
      <w:pPr>
        <w:pStyle w:val="CMSANBodyText"/>
        <w:spacing w:after="240" w:line="240" w:lineRule="auto"/>
        <w:rPr>
          <w:rFonts w:ascii="Arial" w:hAnsi="Arial" w:cs="Arial"/>
          <w:sz w:val="20"/>
          <w:szCs w:val="20"/>
        </w:rPr>
      </w:pPr>
      <w:r>
        <w:rPr>
          <w:rFonts w:ascii="Arial" w:hAnsi="Arial" w:cs="Arial"/>
          <w:sz w:val="20"/>
          <w:szCs w:val="20"/>
        </w:rPr>
        <w:t xml:space="preserve">A copy of this announcement </w:t>
      </w:r>
      <w:r w:rsidRPr="003E7DE2">
        <w:rPr>
          <w:rFonts w:ascii="Arial" w:hAnsi="Arial" w:cs="Arial"/>
          <w:sz w:val="20"/>
          <w:szCs w:val="20"/>
        </w:rPr>
        <w:t xml:space="preserve">will be available at </w:t>
      </w:r>
      <w:r>
        <w:rPr>
          <w:rFonts w:ascii="Arial" w:hAnsi="Arial" w:cs="Arial"/>
          <w:sz w:val="20"/>
          <w:szCs w:val="20"/>
        </w:rPr>
        <w:t xml:space="preserve">PHP’s website at </w:t>
      </w:r>
      <w:r w:rsidRPr="003E7DE2">
        <w:rPr>
          <w:rFonts w:ascii="Arial" w:hAnsi="Arial" w:cs="Arial"/>
          <w:sz w:val="20"/>
          <w:szCs w:val="20"/>
        </w:rPr>
        <w:t>www.p</w:t>
      </w:r>
      <w:r>
        <w:rPr>
          <w:rFonts w:ascii="Arial" w:hAnsi="Arial" w:cs="Arial"/>
          <w:sz w:val="20"/>
          <w:szCs w:val="20"/>
        </w:rPr>
        <w:t>hp</w:t>
      </w:r>
      <w:r w:rsidRPr="003E7DE2">
        <w:rPr>
          <w:rFonts w:ascii="Arial" w:hAnsi="Arial" w:cs="Arial"/>
          <w:sz w:val="20"/>
          <w:szCs w:val="20"/>
        </w:rPr>
        <w:t xml:space="preserve">group.co.uk </w:t>
      </w:r>
      <w:r w:rsidRPr="002A43BA">
        <w:rPr>
          <w:rFonts w:ascii="Arial" w:hAnsi="Arial" w:cs="Arial"/>
          <w:sz w:val="19"/>
          <w:szCs w:val="19"/>
        </w:rPr>
        <w:t xml:space="preserve">and Assura’s website at </w:t>
      </w:r>
      <w:r w:rsidRPr="00DD1116">
        <w:rPr>
          <w:rFonts w:ascii="Arial" w:hAnsi="Arial" w:cs="Arial"/>
          <w:sz w:val="19"/>
          <w:szCs w:val="19"/>
        </w:rPr>
        <w:t>www.assuraplc.com/investor-relations/shareholder-information/offer- from-</w:t>
      </w:r>
      <w:proofErr w:type="spellStart"/>
      <w:r w:rsidRPr="00DD1116">
        <w:rPr>
          <w:rFonts w:ascii="Arial" w:hAnsi="Arial" w:cs="Arial"/>
          <w:sz w:val="19"/>
          <w:szCs w:val="19"/>
        </w:rPr>
        <w:t>php</w:t>
      </w:r>
      <w:proofErr w:type="spellEnd"/>
      <w:r w:rsidRPr="003E7DE2">
        <w:rPr>
          <w:rFonts w:ascii="Arial" w:hAnsi="Arial" w:cs="Arial"/>
          <w:sz w:val="20"/>
          <w:szCs w:val="20"/>
        </w:rPr>
        <w:t xml:space="preserve"> promptly and in any event by no later than 12 noon on the Business Day following this </w:t>
      </w:r>
      <w:r>
        <w:rPr>
          <w:rFonts w:ascii="Arial" w:hAnsi="Arial" w:cs="Arial"/>
          <w:sz w:val="20"/>
          <w:szCs w:val="20"/>
        </w:rPr>
        <w:t>a</w:t>
      </w:r>
      <w:r w:rsidRPr="003E7DE2">
        <w:rPr>
          <w:rFonts w:ascii="Arial" w:hAnsi="Arial" w:cs="Arial"/>
          <w:sz w:val="20"/>
          <w:szCs w:val="20"/>
        </w:rPr>
        <w:t xml:space="preserve">nnouncement. The content of this website is not incorporated into and does not form part of this </w:t>
      </w:r>
      <w:r>
        <w:rPr>
          <w:rFonts w:ascii="Arial" w:hAnsi="Arial" w:cs="Arial"/>
          <w:sz w:val="20"/>
          <w:szCs w:val="20"/>
        </w:rPr>
        <w:t>a</w:t>
      </w:r>
      <w:r w:rsidRPr="003E7DE2">
        <w:rPr>
          <w:rFonts w:ascii="Arial" w:hAnsi="Arial" w:cs="Arial"/>
          <w:sz w:val="20"/>
          <w:szCs w:val="20"/>
        </w:rPr>
        <w:t>nnouncement</w:t>
      </w:r>
    </w:p>
    <w:p w14:paraId="569899B2" w14:textId="77777777" w:rsidR="00223DB9" w:rsidRPr="003E7DE2" w:rsidRDefault="00223DB9" w:rsidP="00223DB9">
      <w:pPr>
        <w:pStyle w:val="CMSANBodyText"/>
        <w:spacing w:after="240" w:line="240" w:lineRule="auto"/>
        <w:rPr>
          <w:rFonts w:ascii="Arial" w:hAnsi="Arial" w:cs="Arial"/>
          <w:b/>
          <w:bCs/>
          <w:sz w:val="20"/>
          <w:szCs w:val="20"/>
        </w:rPr>
      </w:pPr>
      <w:bookmarkStart w:id="0" w:name="_Hlk198211618"/>
      <w:r w:rsidRPr="003E7DE2">
        <w:rPr>
          <w:rFonts w:ascii="Arial" w:hAnsi="Arial" w:cs="Arial"/>
          <w:b/>
          <w:bCs/>
          <w:sz w:val="20"/>
          <w:szCs w:val="20"/>
        </w:rPr>
        <w:t>Requesting hard copy documents</w:t>
      </w:r>
    </w:p>
    <w:p w14:paraId="374D2193" w14:textId="7EBA1C6E" w:rsidR="00223DB9" w:rsidRPr="003E7DE2" w:rsidRDefault="00223DB9" w:rsidP="00223DB9">
      <w:pPr>
        <w:pStyle w:val="CMSANBodyText"/>
        <w:spacing w:after="240" w:line="240" w:lineRule="auto"/>
        <w:rPr>
          <w:rFonts w:ascii="Arial" w:hAnsi="Arial" w:cs="Arial"/>
          <w:sz w:val="20"/>
          <w:szCs w:val="20"/>
        </w:rPr>
      </w:pPr>
      <w:r w:rsidRPr="003E7DE2">
        <w:rPr>
          <w:rFonts w:ascii="Arial" w:hAnsi="Arial" w:cs="Arial"/>
          <w:sz w:val="20"/>
          <w:szCs w:val="20"/>
        </w:rPr>
        <w:t xml:space="preserve">In accordance with Rule 30.3 of the Takeover Code, </w:t>
      </w:r>
      <w:r>
        <w:rPr>
          <w:rFonts w:ascii="Arial" w:hAnsi="Arial" w:cs="Arial"/>
          <w:sz w:val="20"/>
          <w:szCs w:val="20"/>
        </w:rPr>
        <w:t>shareholders in Assura</w:t>
      </w:r>
      <w:r w:rsidRPr="003E7DE2">
        <w:rPr>
          <w:rFonts w:ascii="Arial" w:hAnsi="Arial" w:cs="Arial"/>
          <w:sz w:val="20"/>
          <w:szCs w:val="20"/>
        </w:rPr>
        <w:t xml:space="preserve">, persons with information rights and participants in </w:t>
      </w:r>
      <w:r>
        <w:rPr>
          <w:rFonts w:ascii="Arial" w:hAnsi="Arial" w:cs="Arial"/>
          <w:sz w:val="20"/>
          <w:szCs w:val="20"/>
        </w:rPr>
        <w:t>Assura</w:t>
      </w:r>
      <w:r w:rsidRPr="003E7DE2">
        <w:rPr>
          <w:rFonts w:ascii="Arial" w:hAnsi="Arial" w:cs="Arial"/>
          <w:sz w:val="20"/>
          <w:szCs w:val="20"/>
        </w:rPr>
        <w:t xml:space="preserve"> Share Plans may request a hard copy of this Announcement by contacting </w:t>
      </w:r>
      <w:r>
        <w:rPr>
          <w:rFonts w:ascii="Arial" w:hAnsi="Arial" w:cs="Arial"/>
          <w:sz w:val="20"/>
          <w:szCs w:val="20"/>
        </w:rPr>
        <w:t xml:space="preserve">PHP’s company secretary at </w:t>
      </w:r>
      <w:hyperlink r:id="rId9" w:history="1">
        <w:r w:rsidRPr="00DD3C24">
          <w:rPr>
            <w:rStyle w:val="Hyperlink"/>
            <w:rFonts w:ascii="Arial" w:hAnsi="Arial" w:cs="Arial"/>
            <w:sz w:val="20"/>
            <w:szCs w:val="20"/>
            <w:lang w:val="en-US"/>
          </w:rPr>
          <w:t>cosec@phpgroup.co.uk</w:t>
        </w:r>
      </w:hyperlink>
      <w:r>
        <w:rPr>
          <w:rFonts w:ascii="Arial" w:hAnsi="Arial" w:cs="Arial"/>
          <w:sz w:val="20"/>
          <w:szCs w:val="20"/>
        </w:rPr>
        <w:t>.</w:t>
      </w:r>
      <w:r w:rsidRPr="00DD3C24">
        <w:rPr>
          <w:rFonts w:ascii="Arial" w:hAnsi="Arial" w:cs="Arial"/>
          <w:sz w:val="20"/>
          <w:szCs w:val="20"/>
          <w:lang w:val="en-US"/>
        </w:rPr>
        <w:t xml:space="preserve"> </w:t>
      </w:r>
      <w:r>
        <w:rPr>
          <w:rFonts w:ascii="Arial" w:hAnsi="Arial" w:cs="Arial"/>
          <w:sz w:val="20"/>
          <w:szCs w:val="20"/>
          <w:lang w:val="en-US"/>
        </w:rPr>
        <w:t>F</w:t>
      </w:r>
      <w:r w:rsidRPr="003E7DE2">
        <w:rPr>
          <w:rFonts w:ascii="Arial" w:hAnsi="Arial" w:cs="Arial"/>
          <w:sz w:val="20"/>
          <w:szCs w:val="20"/>
        </w:rPr>
        <w:t>or persons who receive a copy of this Announcement in electronic form or via a website notification, a hard copy of this Announcement will not be sent unless so requested. Such persons may also request that all future documents, announcements and information to be sent to them in relation to the Combination should be in hard copy form.</w:t>
      </w:r>
      <w:r>
        <w:rPr>
          <w:rFonts w:ascii="Arial" w:hAnsi="Arial" w:cs="Arial"/>
          <w:sz w:val="20"/>
          <w:szCs w:val="20"/>
        </w:rPr>
        <w:t xml:space="preserve"> </w:t>
      </w:r>
    </w:p>
    <w:bookmarkEnd w:id="0"/>
    <w:p w14:paraId="250DCB10" w14:textId="77777777" w:rsidR="00223DB9" w:rsidRDefault="00223DB9" w:rsidP="00223DB9">
      <w:pPr>
        <w:pStyle w:val="CMSANBodyText"/>
        <w:spacing w:after="240" w:line="240" w:lineRule="auto"/>
        <w:rPr>
          <w:rFonts w:ascii="Arial" w:hAnsi="Arial" w:cs="Arial"/>
          <w:sz w:val="20"/>
          <w:szCs w:val="20"/>
        </w:rPr>
      </w:pPr>
      <w:r w:rsidRPr="003E7DE2">
        <w:rPr>
          <w:rFonts w:ascii="Arial" w:hAnsi="Arial" w:cs="Arial"/>
          <w:sz w:val="20"/>
          <w:szCs w:val="20"/>
        </w:rPr>
        <w:t>For persons who receive a copy of this Announcement in electronic form or via a website notification, a hard copy of this Announcement will not be sent unless so requested. Such persons may also request that all future documents, announcements and information to be sent to them in relation to the Combination should be in hard copy form.</w:t>
      </w:r>
    </w:p>
    <w:p w14:paraId="355EC6B1" w14:textId="77777777" w:rsidR="00223DB9" w:rsidRPr="003E7DE2" w:rsidRDefault="00223DB9" w:rsidP="00223DB9">
      <w:pPr>
        <w:pStyle w:val="CMSANBodyText"/>
        <w:spacing w:after="240" w:line="240" w:lineRule="auto"/>
        <w:rPr>
          <w:rFonts w:ascii="Arial" w:hAnsi="Arial" w:cs="Arial"/>
          <w:b/>
          <w:bCs/>
          <w:sz w:val="20"/>
          <w:szCs w:val="20"/>
        </w:rPr>
      </w:pPr>
      <w:r w:rsidRPr="003E7DE2">
        <w:rPr>
          <w:rFonts w:ascii="Arial" w:hAnsi="Arial" w:cs="Arial"/>
          <w:b/>
          <w:bCs/>
          <w:sz w:val="20"/>
          <w:szCs w:val="20"/>
        </w:rPr>
        <w:t>Dealing and Opening Position Disclosure Requirements</w:t>
      </w:r>
    </w:p>
    <w:p w14:paraId="0FF9357E" w14:textId="77777777" w:rsidR="00223DB9" w:rsidRPr="003E7DE2" w:rsidRDefault="00223DB9" w:rsidP="00223DB9">
      <w:pPr>
        <w:pStyle w:val="CMSANBodyText"/>
        <w:spacing w:after="240" w:line="240" w:lineRule="auto"/>
        <w:rPr>
          <w:rFonts w:ascii="Arial" w:hAnsi="Arial" w:cs="Arial"/>
          <w:sz w:val="20"/>
          <w:szCs w:val="20"/>
        </w:rPr>
      </w:pPr>
      <w:r w:rsidRPr="003E7DE2">
        <w:rPr>
          <w:rFonts w:ascii="Arial" w:hAnsi="Arial" w:cs="Arial"/>
          <w:sz w:val="20"/>
          <w:szCs w:val="20"/>
        </w:rPr>
        <w:t xml:space="preserve">Under Rule 8.3(a) of the Takeover Code, any person who is interested in 1% or more of any class of relevant securities of an offeree company or of any securities exchange offeror (being any offeror other </w:t>
      </w:r>
      <w:r w:rsidRPr="003E7DE2">
        <w:rPr>
          <w:rFonts w:ascii="Arial" w:hAnsi="Arial" w:cs="Arial"/>
          <w:sz w:val="20"/>
          <w:szCs w:val="20"/>
        </w:rPr>
        <w:lastRenderedPageBreak/>
        <w:t>than an offeror in respect of which it has been announced that its offer is, or is likely to be, solely in cash) must make an Opening Position Disclosure following the commencement of the offer period and, if later, following the announcement in which any securities exchange offeror is first identified. An Opening Position Disclosure must contain details of the person's interests and short positions in, and rights to subscribe for, any relevant securities of each of (</w:t>
      </w:r>
      <w:proofErr w:type="spellStart"/>
      <w:r w:rsidRPr="003E7DE2">
        <w:rPr>
          <w:rFonts w:ascii="Arial" w:hAnsi="Arial" w:cs="Arial"/>
          <w:sz w:val="20"/>
          <w:szCs w:val="20"/>
        </w:rPr>
        <w:t>i</w:t>
      </w:r>
      <w:proofErr w:type="spellEnd"/>
      <w:r w:rsidRPr="003E7DE2">
        <w:rPr>
          <w:rFonts w:ascii="Arial" w:hAnsi="Arial" w:cs="Arial"/>
          <w:sz w:val="20"/>
          <w:szCs w:val="20"/>
        </w:rPr>
        <w:t>) the offeree company and (ii) any securities exchange offeror(s). An Opening Position Disclosure by a person to whom Rule 8.3(a) of the Takeover Code applies must be made by no later than 3.30 pm (London time) on the 10th business day following the commencement of the offer period and, if appropriate, by no later than 3.30 pm (London time) on the 10th business day following the announcement in which any securities exchange offeror is first identified. Relevant persons who deal in the relevant securities of the offeree company or of a securities exchange offeror prior to the deadline for making an Opening Position Disclosure must instead make a Dealing Disclosure.</w:t>
      </w:r>
    </w:p>
    <w:p w14:paraId="6685D74C" w14:textId="77777777" w:rsidR="00223DB9" w:rsidRPr="003E7DE2" w:rsidRDefault="00223DB9" w:rsidP="00223DB9">
      <w:pPr>
        <w:pStyle w:val="CMSANBodyText"/>
        <w:spacing w:after="240" w:line="240" w:lineRule="auto"/>
        <w:rPr>
          <w:rFonts w:ascii="Arial" w:hAnsi="Arial" w:cs="Arial"/>
          <w:sz w:val="20"/>
          <w:szCs w:val="20"/>
        </w:rPr>
      </w:pPr>
      <w:r w:rsidRPr="003E7DE2">
        <w:rPr>
          <w:rFonts w:ascii="Arial" w:hAnsi="Arial" w:cs="Arial"/>
          <w:sz w:val="20"/>
          <w:szCs w:val="20"/>
        </w:rPr>
        <w:t>Under Rule 8.3(b) of the Takeover Code, any person who is, or becomes, interested in 1% or more of any class of relevant securities of the offeree company or of any securities exchange offeror must make a Dealing Disclosure if the person deals in any relevant securities of the offeree company or of any securities exchange offeror. A Dealing Disclosure must contain details of the dealing concerned and of the person's interests and short positions in, and rights to subscribe for, any relevant securities of each of (</w:t>
      </w:r>
      <w:proofErr w:type="spellStart"/>
      <w:r w:rsidRPr="003E7DE2">
        <w:rPr>
          <w:rFonts w:ascii="Arial" w:hAnsi="Arial" w:cs="Arial"/>
          <w:sz w:val="20"/>
          <w:szCs w:val="20"/>
        </w:rPr>
        <w:t>i</w:t>
      </w:r>
      <w:proofErr w:type="spellEnd"/>
      <w:r w:rsidRPr="003E7DE2">
        <w:rPr>
          <w:rFonts w:ascii="Arial" w:hAnsi="Arial" w:cs="Arial"/>
          <w:sz w:val="20"/>
          <w:szCs w:val="20"/>
        </w:rPr>
        <w:t>) the offeree company and (ii) any securities exchange offeror(s), save to the extent that these details have previously been disclosed under Rule 8. A Dealing Disclosure by a person to whom Rule 8.3(b) applies must be made by no later than 3.30 pm (London time) on the business day following the date of the relevant dealing.</w:t>
      </w:r>
    </w:p>
    <w:p w14:paraId="37A1651D" w14:textId="77777777" w:rsidR="00223DB9" w:rsidRPr="003E7DE2" w:rsidRDefault="00223DB9" w:rsidP="00223DB9">
      <w:pPr>
        <w:pStyle w:val="CMSANBodyText"/>
        <w:spacing w:after="240" w:line="240" w:lineRule="auto"/>
        <w:rPr>
          <w:rFonts w:ascii="Arial" w:hAnsi="Arial" w:cs="Arial"/>
          <w:sz w:val="20"/>
          <w:szCs w:val="20"/>
        </w:rPr>
      </w:pPr>
      <w:r w:rsidRPr="003E7DE2">
        <w:rPr>
          <w:rFonts w:ascii="Arial" w:hAnsi="Arial" w:cs="Arial"/>
          <w:sz w:val="20"/>
          <w:szCs w:val="20"/>
        </w:rPr>
        <w:t>If two or more persons act together pursuant to an agreement or understanding, whether formal or informal, to acquire or control an interest in relevant securities of an offeree company or a securities exchange offeror, they will be deemed to be a single person for the purpose of Rule 8.3.</w:t>
      </w:r>
    </w:p>
    <w:p w14:paraId="45B0CF98" w14:textId="77777777" w:rsidR="00223DB9" w:rsidRPr="003E7DE2" w:rsidRDefault="00223DB9" w:rsidP="00223DB9">
      <w:pPr>
        <w:pStyle w:val="CMSANBodyText"/>
        <w:spacing w:after="240" w:line="240" w:lineRule="auto"/>
        <w:rPr>
          <w:rFonts w:ascii="Arial" w:hAnsi="Arial" w:cs="Arial"/>
          <w:sz w:val="20"/>
          <w:szCs w:val="20"/>
        </w:rPr>
      </w:pPr>
      <w:r w:rsidRPr="003E7DE2">
        <w:rPr>
          <w:rFonts w:ascii="Arial" w:hAnsi="Arial" w:cs="Arial"/>
          <w:sz w:val="20"/>
          <w:szCs w:val="20"/>
        </w:rPr>
        <w:t>Opening Position Disclosures must also be made by the offeree company and by any offeror and Dealing Disclosures must also be made by the offeree company, by any offeror and by any persons acting in concert with any of them (see Rules 8.1, 8.2 and 8.4).</w:t>
      </w:r>
    </w:p>
    <w:p w14:paraId="2B18CDB1" w14:textId="77777777" w:rsidR="00223DB9" w:rsidRPr="003E7DE2" w:rsidRDefault="00223DB9" w:rsidP="00223DB9">
      <w:pPr>
        <w:pStyle w:val="CMSANBodyText"/>
        <w:spacing w:after="240" w:line="240" w:lineRule="auto"/>
        <w:rPr>
          <w:rFonts w:ascii="Arial" w:hAnsi="Arial" w:cs="Arial"/>
          <w:sz w:val="20"/>
          <w:szCs w:val="20"/>
        </w:rPr>
      </w:pPr>
      <w:r w:rsidRPr="003E7DE2">
        <w:rPr>
          <w:rFonts w:ascii="Arial" w:hAnsi="Arial" w:cs="Arial"/>
          <w:sz w:val="20"/>
          <w:szCs w:val="20"/>
        </w:rPr>
        <w:t>Details of the offeree and offeror companies in respect of whose relevant securities Opening Position Disclosures and Dealing Disclosures must be made can be found in the Disclosure Table on the Panel's website at www.thetakeoverpanel.org.uk, including details of the number of relevant securities in issue, when the offer period commenced and when any offeror was first identified. You should contact the Panel's Market Surveillance Unit on +44 (0)20 7638 0129 if you are in any doubt as to whether you are required to make an Opening Position Disclosure or a Dealing Disclosure.</w:t>
      </w:r>
    </w:p>
    <w:p w14:paraId="3E0CEF61" w14:textId="77777777" w:rsidR="00223DB9" w:rsidRPr="003E7DE2" w:rsidRDefault="00223DB9" w:rsidP="00223DB9">
      <w:pPr>
        <w:pStyle w:val="CMSANBodyText"/>
        <w:spacing w:after="240" w:line="240" w:lineRule="auto"/>
        <w:rPr>
          <w:rFonts w:ascii="Arial" w:hAnsi="Arial" w:cs="Arial"/>
          <w:sz w:val="20"/>
          <w:szCs w:val="20"/>
        </w:rPr>
      </w:pPr>
    </w:p>
    <w:p w14:paraId="42119B23" w14:textId="77777777" w:rsidR="00417ADB" w:rsidRPr="00C26A78" w:rsidRDefault="00417ADB">
      <w:pPr>
        <w:rPr>
          <w:rFonts w:ascii="Arial" w:hAnsi="Arial" w:cs="Arial"/>
          <w:sz w:val="20"/>
          <w:szCs w:val="20"/>
        </w:rPr>
      </w:pPr>
    </w:p>
    <w:sectPr w:rsidR="00417ADB" w:rsidRPr="00C26A78" w:rsidSect="00731F3D">
      <w:headerReference w:type="even" r:id="rId10"/>
      <w:headerReference w:type="default" r:id="rId11"/>
      <w:footerReference w:type="even" r:id="rId12"/>
      <w:footerReference w:type="default" r:id="rId13"/>
      <w:headerReference w:type="first" r:id="rId14"/>
      <w:footerReference w:type="first" r:id="rId15"/>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D5CA" w14:textId="77777777" w:rsidR="000C7CC7" w:rsidRDefault="000C7CC7" w:rsidP="009279D6">
      <w:pPr>
        <w:spacing w:after="0" w:line="240" w:lineRule="auto"/>
      </w:pPr>
      <w:r>
        <w:separator/>
      </w:r>
    </w:p>
  </w:endnote>
  <w:endnote w:type="continuationSeparator" w:id="0">
    <w:p w14:paraId="401C0AF0" w14:textId="77777777" w:rsidR="000C7CC7" w:rsidRDefault="000C7CC7" w:rsidP="0092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50F2" w14:textId="77777777" w:rsidR="00017402" w:rsidRDefault="00017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EB69" w14:textId="77777777" w:rsidR="00017402" w:rsidRDefault="00017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B49E" w14:textId="77777777" w:rsidR="00017402" w:rsidRDefault="00017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8027" w14:textId="77777777" w:rsidR="000C7CC7" w:rsidRDefault="000C7CC7" w:rsidP="009279D6">
      <w:pPr>
        <w:spacing w:after="0" w:line="240" w:lineRule="auto"/>
      </w:pPr>
      <w:r>
        <w:separator/>
      </w:r>
    </w:p>
  </w:footnote>
  <w:footnote w:type="continuationSeparator" w:id="0">
    <w:p w14:paraId="6306E6EB" w14:textId="77777777" w:rsidR="000C7CC7" w:rsidRDefault="000C7CC7" w:rsidP="00927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BB85" w14:textId="77777777" w:rsidR="00017402" w:rsidRDefault="00017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08D1" w14:textId="77777777" w:rsidR="00017402" w:rsidRDefault="00017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9664" w14:textId="77777777" w:rsidR="00017402" w:rsidRDefault="00017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A4B"/>
    <w:multiLevelType w:val="hybridMultilevel"/>
    <w:tmpl w:val="B246A25C"/>
    <w:lvl w:ilvl="0" w:tplc="130611A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F061FA"/>
    <w:multiLevelType w:val="hybridMultilevel"/>
    <w:tmpl w:val="6BB8E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F577C5"/>
    <w:multiLevelType w:val="hybridMultilevel"/>
    <w:tmpl w:val="A51E1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9081226">
    <w:abstractNumId w:val="2"/>
  </w:num>
  <w:num w:numId="2" w16cid:durableId="966737348">
    <w:abstractNumId w:val="0"/>
  </w:num>
  <w:num w:numId="3" w16cid:durableId="2117403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AF5"/>
    <w:rsid w:val="00017402"/>
    <w:rsid w:val="00050987"/>
    <w:rsid w:val="0005488C"/>
    <w:rsid w:val="00096148"/>
    <w:rsid w:val="000A5A2A"/>
    <w:rsid w:val="000C2855"/>
    <w:rsid w:val="000C7CC7"/>
    <w:rsid w:val="000D6FAA"/>
    <w:rsid w:val="000F0522"/>
    <w:rsid w:val="000F4669"/>
    <w:rsid w:val="00144B96"/>
    <w:rsid w:val="00155454"/>
    <w:rsid w:val="00157465"/>
    <w:rsid w:val="00166BF5"/>
    <w:rsid w:val="00177E1E"/>
    <w:rsid w:val="001A1BE0"/>
    <w:rsid w:val="001B4C93"/>
    <w:rsid w:val="001C7BA9"/>
    <w:rsid w:val="001D3AC8"/>
    <w:rsid w:val="001F5ED4"/>
    <w:rsid w:val="00223DB9"/>
    <w:rsid w:val="00226C07"/>
    <w:rsid w:val="00237AEC"/>
    <w:rsid w:val="00246588"/>
    <w:rsid w:val="002A339E"/>
    <w:rsid w:val="002D6D8A"/>
    <w:rsid w:val="003056EC"/>
    <w:rsid w:val="00325C43"/>
    <w:rsid w:val="0033098C"/>
    <w:rsid w:val="00383C14"/>
    <w:rsid w:val="00384C52"/>
    <w:rsid w:val="003D1F85"/>
    <w:rsid w:val="00404BD9"/>
    <w:rsid w:val="004143D0"/>
    <w:rsid w:val="00417ADB"/>
    <w:rsid w:val="00423B9E"/>
    <w:rsid w:val="00450A90"/>
    <w:rsid w:val="00451401"/>
    <w:rsid w:val="00483674"/>
    <w:rsid w:val="004846AA"/>
    <w:rsid w:val="004928F2"/>
    <w:rsid w:val="004B5A29"/>
    <w:rsid w:val="004E2F18"/>
    <w:rsid w:val="004F08A6"/>
    <w:rsid w:val="005027E1"/>
    <w:rsid w:val="005414F2"/>
    <w:rsid w:val="005541EB"/>
    <w:rsid w:val="0055678D"/>
    <w:rsid w:val="005B6E50"/>
    <w:rsid w:val="005D54A0"/>
    <w:rsid w:val="005E51A3"/>
    <w:rsid w:val="005F65CD"/>
    <w:rsid w:val="00617015"/>
    <w:rsid w:val="0066399D"/>
    <w:rsid w:val="00670651"/>
    <w:rsid w:val="00685ABB"/>
    <w:rsid w:val="006B57BD"/>
    <w:rsid w:val="006C069A"/>
    <w:rsid w:val="006D4FA7"/>
    <w:rsid w:val="0071734E"/>
    <w:rsid w:val="00722B5C"/>
    <w:rsid w:val="00731F3D"/>
    <w:rsid w:val="007610EC"/>
    <w:rsid w:val="0076256A"/>
    <w:rsid w:val="00780D4B"/>
    <w:rsid w:val="0078129F"/>
    <w:rsid w:val="007848FC"/>
    <w:rsid w:val="007946E5"/>
    <w:rsid w:val="0081779C"/>
    <w:rsid w:val="00837044"/>
    <w:rsid w:val="00855D63"/>
    <w:rsid w:val="00862E3A"/>
    <w:rsid w:val="008B0C23"/>
    <w:rsid w:val="008B72E7"/>
    <w:rsid w:val="009279D6"/>
    <w:rsid w:val="009369B3"/>
    <w:rsid w:val="00944854"/>
    <w:rsid w:val="0096797A"/>
    <w:rsid w:val="009717F3"/>
    <w:rsid w:val="00990BD7"/>
    <w:rsid w:val="009915CD"/>
    <w:rsid w:val="009A1697"/>
    <w:rsid w:val="009C4618"/>
    <w:rsid w:val="009E287A"/>
    <w:rsid w:val="00A00417"/>
    <w:rsid w:val="00A503CA"/>
    <w:rsid w:val="00A61EB3"/>
    <w:rsid w:val="00A879AB"/>
    <w:rsid w:val="00B24425"/>
    <w:rsid w:val="00B45A03"/>
    <w:rsid w:val="00B73F07"/>
    <w:rsid w:val="00B80E4C"/>
    <w:rsid w:val="00BB7158"/>
    <w:rsid w:val="00BF73B3"/>
    <w:rsid w:val="00C1402B"/>
    <w:rsid w:val="00C25C3E"/>
    <w:rsid w:val="00C26A78"/>
    <w:rsid w:val="00C627F4"/>
    <w:rsid w:val="00C63AB3"/>
    <w:rsid w:val="00C73270"/>
    <w:rsid w:val="00CB66F8"/>
    <w:rsid w:val="00CC67E2"/>
    <w:rsid w:val="00CD1F49"/>
    <w:rsid w:val="00CD4272"/>
    <w:rsid w:val="00CF0383"/>
    <w:rsid w:val="00D045F6"/>
    <w:rsid w:val="00D17094"/>
    <w:rsid w:val="00D82D95"/>
    <w:rsid w:val="00D85C0E"/>
    <w:rsid w:val="00D96CFD"/>
    <w:rsid w:val="00DD7BB1"/>
    <w:rsid w:val="00DF3048"/>
    <w:rsid w:val="00E6510E"/>
    <w:rsid w:val="00E6544C"/>
    <w:rsid w:val="00E91AF5"/>
    <w:rsid w:val="00EA5CF0"/>
    <w:rsid w:val="00EB2368"/>
    <w:rsid w:val="00EB64F8"/>
    <w:rsid w:val="00EC1E52"/>
    <w:rsid w:val="00F32240"/>
    <w:rsid w:val="00F36AA9"/>
    <w:rsid w:val="00F51EA4"/>
    <w:rsid w:val="00F711A6"/>
    <w:rsid w:val="00FA4E6F"/>
    <w:rsid w:val="00FA666D"/>
    <w:rsid w:val="00FC14EA"/>
    <w:rsid w:val="00FD3521"/>
    <w:rsid w:val="00FE10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C0CF4"/>
  <w15:chartTrackingRefBased/>
  <w15:docId w15:val="{33D7A8C8-009B-48AC-B116-F07EAC54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9D6"/>
  </w:style>
  <w:style w:type="paragraph" w:styleId="Footer">
    <w:name w:val="footer"/>
    <w:basedOn w:val="Normal"/>
    <w:link w:val="FooterChar"/>
    <w:uiPriority w:val="99"/>
    <w:unhideWhenUsed/>
    <w:rsid w:val="00927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9D6"/>
  </w:style>
  <w:style w:type="table" w:styleId="TableGrid">
    <w:name w:val="Table Grid"/>
    <w:basedOn w:val="TableNormal"/>
    <w:uiPriority w:val="59"/>
    <w:rsid w:val="00417AD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D4B"/>
    <w:rPr>
      <w:rFonts w:ascii="Segoe UI" w:hAnsi="Segoe UI" w:cs="Segoe UI"/>
      <w:sz w:val="18"/>
      <w:szCs w:val="18"/>
    </w:rPr>
  </w:style>
  <w:style w:type="character" w:styleId="Hyperlink">
    <w:name w:val="Hyperlink"/>
    <w:basedOn w:val="DefaultParagraphFont"/>
    <w:uiPriority w:val="99"/>
    <w:unhideWhenUsed/>
    <w:rsid w:val="006B57BD"/>
    <w:rPr>
      <w:color w:val="0563C1" w:themeColor="hyperlink"/>
      <w:u w:val="single"/>
    </w:rPr>
  </w:style>
  <w:style w:type="paragraph" w:styleId="ListParagraph">
    <w:name w:val="List Paragraph"/>
    <w:basedOn w:val="Normal"/>
    <w:uiPriority w:val="34"/>
    <w:qFormat/>
    <w:rsid w:val="00D96CFD"/>
    <w:pPr>
      <w:ind w:left="720"/>
      <w:contextualSpacing/>
    </w:pPr>
  </w:style>
  <w:style w:type="paragraph" w:styleId="Revision">
    <w:name w:val="Revision"/>
    <w:hidden/>
    <w:uiPriority w:val="99"/>
    <w:semiHidden/>
    <w:rsid w:val="009A1697"/>
    <w:pPr>
      <w:spacing w:after="0" w:line="240" w:lineRule="auto"/>
    </w:pPr>
  </w:style>
  <w:style w:type="paragraph" w:customStyle="1" w:styleId="CMSANBodyText">
    <w:name w:val="CMS AN Body Text"/>
    <w:uiPriority w:val="9"/>
    <w:qFormat/>
    <w:rsid w:val="00223DB9"/>
    <w:pPr>
      <w:spacing w:before="120" w:after="120" w:line="300" w:lineRule="atLeast"/>
      <w:jc w:val="both"/>
    </w:pPr>
    <w:rPr>
      <w:rFonts w:ascii="Times New Roman" w:hAnsi="Times New Roman" w:cs="Segoe Script"/>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8666">
      <w:bodyDiv w:val="1"/>
      <w:marLeft w:val="0"/>
      <w:marRight w:val="0"/>
      <w:marTop w:val="0"/>
      <w:marBottom w:val="0"/>
      <w:divBdr>
        <w:top w:val="none" w:sz="0" w:space="0" w:color="auto"/>
        <w:left w:val="none" w:sz="0" w:space="0" w:color="auto"/>
        <w:bottom w:val="none" w:sz="0" w:space="0" w:color="auto"/>
        <w:right w:val="none" w:sz="0" w:space="0" w:color="auto"/>
      </w:divBdr>
    </w:div>
    <w:div w:id="632833304">
      <w:bodyDiv w:val="1"/>
      <w:marLeft w:val="0"/>
      <w:marRight w:val="0"/>
      <w:marTop w:val="0"/>
      <w:marBottom w:val="0"/>
      <w:divBdr>
        <w:top w:val="none" w:sz="0" w:space="0" w:color="auto"/>
        <w:left w:val="none" w:sz="0" w:space="0" w:color="auto"/>
        <w:bottom w:val="none" w:sz="0" w:space="0" w:color="auto"/>
        <w:right w:val="none" w:sz="0" w:space="0" w:color="auto"/>
      </w:divBdr>
    </w:div>
    <w:div w:id="1272585318">
      <w:bodyDiv w:val="1"/>
      <w:marLeft w:val="0"/>
      <w:marRight w:val="0"/>
      <w:marTop w:val="0"/>
      <w:marBottom w:val="0"/>
      <w:divBdr>
        <w:top w:val="none" w:sz="0" w:space="0" w:color="auto"/>
        <w:left w:val="none" w:sz="0" w:space="0" w:color="auto"/>
        <w:bottom w:val="none" w:sz="0" w:space="0" w:color="auto"/>
        <w:right w:val="none" w:sz="0" w:space="0" w:color="auto"/>
      </w:divBdr>
    </w:div>
    <w:div w:id="1329021518">
      <w:bodyDiv w:val="1"/>
      <w:marLeft w:val="0"/>
      <w:marRight w:val="0"/>
      <w:marTop w:val="0"/>
      <w:marBottom w:val="0"/>
      <w:divBdr>
        <w:top w:val="none" w:sz="0" w:space="0" w:color="auto"/>
        <w:left w:val="none" w:sz="0" w:space="0" w:color="auto"/>
        <w:bottom w:val="none" w:sz="0" w:space="0" w:color="auto"/>
        <w:right w:val="none" w:sz="0" w:space="0" w:color="auto"/>
      </w:divBdr>
    </w:div>
    <w:div w:id="1430081039">
      <w:bodyDiv w:val="1"/>
      <w:marLeft w:val="0"/>
      <w:marRight w:val="0"/>
      <w:marTop w:val="0"/>
      <w:marBottom w:val="0"/>
      <w:divBdr>
        <w:top w:val="none" w:sz="0" w:space="0" w:color="auto"/>
        <w:left w:val="none" w:sz="0" w:space="0" w:color="auto"/>
        <w:bottom w:val="none" w:sz="0" w:space="0" w:color="auto"/>
        <w:right w:val="none" w:sz="0" w:space="0" w:color="auto"/>
      </w:divBdr>
    </w:div>
    <w:div w:id="1663044777">
      <w:bodyDiv w:val="1"/>
      <w:marLeft w:val="0"/>
      <w:marRight w:val="0"/>
      <w:marTop w:val="0"/>
      <w:marBottom w:val="0"/>
      <w:divBdr>
        <w:top w:val="none" w:sz="0" w:space="0" w:color="auto"/>
        <w:left w:val="none" w:sz="0" w:space="0" w:color="auto"/>
        <w:bottom w:val="none" w:sz="0" w:space="0" w:color="auto"/>
        <w:right w:val="none" w:sz="0" w:space="0" w:color="auto"/>
      </w:divBdr>
    </w:div>
    <w:div w:id="20940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sec@phpgroup.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UK!710568331.1</documentid>
  <senderid>AASR</senderid>
  <senderemail>ALASDAIR.STEELE@CMS-CMNO.COM</senderemail>
  <lastmodified>2025-07-01T11:04:00.0000000+01:00</lastmodified>
  <database>UK</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2E8FC-713A-4D62-B8CC-A8345389F441}">
  <ds:schemaRefs>
    <ds:schemaRef ds:uri="http://www.imanage.com/work/xmlschema"/>
  </ds:schemaRefs>
</ds:datastoreItem>
</file>

<file path=customXml/itemProps2.xml><?xml version="1.0" encoding="utf-8"?>
<ds:datastoreItem xmlns:ds="http://schemas.openxmlformats.org/officeDocument/2006/customXml" ds:itemID="{186B5F2E-D7CD-4AA7-BB4E-FF06D648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Brown</dc:creator>
  <cp:keywords/>
  <dc:description/>
  <cp:lastModifiedBy>Toby Newman</cp:lastModifiedBy>
  <cp:revision>5</cp:revision>
  <cp:lastPrinted>2025-07-01T09:12:00Z</cp:lastPrinted>
  <dcterms:created xsi:type="dcterms:W3CDTF">2025-07-01T10:13:00Z</dcterms:created>
  <dcterms:modified xsi:type="dcterms:W3CDTF">2025-07-01T11:43:00Z</dcterms:modified>
</cp:coreProperties>
</file>